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79" w:firstLineChars="100"/>
        <w:jc w:val="center"/>
        <w:rPr>
          <w:rFonts w:eastAsia="新宋体"/>
          <w:b/>
          <w:bCs/>
          <w:color w:val="000000" w:themeColor="text1"/>
          <w:w w:val="80"/>
          <w:position w:val="14"/>
          <w:sz w:val="72"/>
          <w14:textFill>
            <w14:solidFill>
              <w14:schemeClr w14:val="tx1"/>
            </w14:solidFill>
          </w14:textFill>
        </w:rPr>
      </w:pPr>
    </w:p>
    <w:p>
      <w:pPr>
        <w:pStyle w:val="2"/>
        <w:ind w:firstLine="560"/>
        <w:rPr>
          <w:color w:val="000000" w:themeColor="text1"/>
          <w14:textFill>
            <w14:solidFill>
              <w14:schemeClr w14:val="tx1"/>
            </w14:solidFill>
          </w14:textFill>
        </w:rPr>
      </w:pPr>
    </w:p>
    <w:p>
      <w:pPr>
        <w:tabs>
          <w:tab w:val="left" w:pos="1997"/>
          <w:tab w:val="center" w:pos="4156"/>
        </w:tabs>
        <w:adjustRightInd/>
        <w:snapToGrid/>
        <w:spacing w:before="240" w:beforeLines="100" w:line="240" w:lineRule="auto"/>
        <w:ind w:firstLine="0" w:firstLineChars="0"/>
        <w:jc w:val="center"/>
        <w:rPr>
          <w:rFonts w:eastAsia="黑体"/>
          <w:b/>
          <w:color w:val="000000" w:themeColor="text1"/>
          <w:w w:val="90"/>
          <w:kern w:val="0"/>
          <w:sz w:val="52"/>
          <w:szCs w:val="52"/>
          <w14:textFill>
            <w14:solidFill>
              <w14:schemeClr w14:val="tx1"/>
            </w14:solidFill>
          </w14:textFill>
        </w:rPr>
      </w:pPr>
      <w:r>
        <w:rPr>
          <w:rFonts w:eastAsia="黑体"/>
          <w:b/>
          <w:color w:val="000000" w:themeColor="text1"/>
          <w:w w:val="90"/>
          <w:kern w:val="0"/>
          <w:sz w:val="52"/>
          <w:szCs w:val="52"/>
          <w14:textFill>
            <w14:solidFill>
              <w14:schemeClr w14:val="tx1"/>
            </w14:solidFill>
          </w14:textFill>
        </w:rPr>
        <w:t>通川区水资源配置规划报告</w:t>
      </w:r>
    </w:p>
    <w:p>
      <w:pPr>
        <w:spacing w:line="240" w:lineRule="auto"/>
        <w:ind w:left="-140" w:leftChars="-50" w:right="-140" w:rightChars="-50" w:firstLine="76" w:firstLineChars="21"/>
        <w:jc w:val="center"/>
        <w:rPr>
          <w:rFonts w:eastAsia="楷体_GB2312"/>
          <w:b/>
          <w:color w:val="000000" w:themeColor="text1"/>
          <w:spacing w:val="91"/>
          <w:kern w:val="0"/>
          <w:sz w:val="18"/>
          <w:szCs w:val="16"/>
          <w14:textFill>
            <w14:solidFill>
              <w14:schemeClr w14:val="tx1"/>
            </w14:solidFill>
          </w14:textFill>
        </w:rPr>
      </w:pPr>
    </w:p>
    <w:p>
      <w:pPr>
        <w:spacing w:before="120" w:beforeLines="50" w:after="240"/>
        <w:ind w:left="-140" w:leftChars="-50" w:right="-140" w:rightChars="-50" w:firstLine="139" w:firstLineChars="21"/>
        <w:jc w:val="center"/>
        <w:rPr>
          <w:b/>
          <w:color w:val="000000" w:themeColor="text1"/>
          <w:kern w:val="0"/>
          <w:sz w:val="32"/>
          <w:szCs w:val="32"/>
          <w14:textFill>
            <w14:solidFill>
              <w14:schemeClr w14:val="tx1"/>
            </w14:solidFill>
          </w14:textFill>
        </w:rPr>
      </w:pPr>
      <w:r>
        <w:rPr>
          <w:rFonts w:eastAsia="楷体_GB2312"/>
          <w:b/>
          <w:color w:val="000000" w:themeColor="text1"/>
          <w:spacing w:val="91"/>
          <w:kern w:val="0"/>
          <w:sz w:val="48"/>
          <w:szCs w:val="44"/>
          <w14:textFill>
            <w14:solidFill>
              <w14:schemeClr w14:val="tx1"/>
            </w14:solidFill>
          </w14:textFill>
        </w:rPr>
        <w:t>（</w:t>
      </w:r>
      <w:r>
        <w:rPr>
          <w:rFonts w:hint="eastAsia" w:eastAsia="楷体_GB2312"/>
          <w:b/>
          <w:color w:val="000000" w:themeColor="text1"/>
          <w:spacing w:val="91"/>
          <w:kern w:val="0"/>
          <w:sz w:val="48"/>
          <w:szCs w:val="44"/>
          <w14:textFill>
            <w14:solidFill>
              <w14:schemeClr w14:val="tx1"/>
            </w14:solidFill>
          </w14:textFill>
        </w:rPr>
        <w:t>报批</w:t>
      </w:r>
      <w:r>
        <w:rPr>
          <w:rFonts w:eastAsia="楷体_GB2312"/>
          <w:b/>
          <w:color w:val="000000" w:themeColor="text1"/>
          <w:spacing w:val="91"/>
          <w:kern w:val="0"/>
          <w:sz w:val="48"/>
          <w:szCs w:val="44"/>
          <w14:textFill>
            <w14:solidFill>
              <w14:schemeClr w14:val="tx1"/>
            </w14:solidFill>
          </w14:textFill>
        </w:rPr>
        <w:t>稿</w:t>
      </w:r>
      <w:r>
        <w:rPr>
          <w:rFonts w:eastAsia="楷体_GB2312"/>
          <w:b/>
          <w:color w:val="000000" w:themeColor="text1"/>
          <w:spacing w:val="-2"/>
          <w:kern w:val="0"/>
          <w:sz w:val="48"/>
          <w:szCs w:val="44"/>
          <w14:textFill>
            <w14:solidFill>
              <w14:schemeClr w14:val="tx1"/>
            </w14:solidFill>
          </w14:textFill>
        </w:rPr>
        <w:t>）</w:t>
      </w:r>
    </w:p>
    <w:p>
      <w:pPr>
        <w:rPr>
          <w:rFonts w:eastAsia="楷体_GB2312"/>
          <w:b/>
          <w:bCs/>
          <w:color w:val="000000" w:themeColor="text1"/>
          <w:sz w:val="24"/>
          <w14:textFill>
            <w14:solidFill>
              <w14:schemeClr w14:val="tx1"/>
            </w14:solidFill>
          </w14:textFill>
        </w:rPr>
      </w:pPr>
    </w:p>
    <w:p>
      <w:pPr>
        <w:ind w:firstLine="1234"/>
        <w:jc w:val="center"/>
        <w:rPr>
          <w:rFonts w:eastAsia="华文中宋"/>
          <w:b/>
          <w:bCs/>
          <w:color w:val="000000" w:themeColor="text1"/>
          <w:spacing w:val="100"/>
          <w:w w:val="80"/>
          <w:sz w:val="52"/>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pStyle w:val="2"/>
        <w:rPr>
          <w:rFonts w:eastAsia="楷体_GB2312"/>
          <w:b/>
          <w:bCs/>
          <w:color w:val="000000" w:themeColor="text1"/>
          <w:sz w:val="24"/>
          <w14:textFill>
            <w14:solidFill>
              <w14:schemeClr w14:val="tx1"/>
            </w14:solidFill>
          </w14:textFill>
        </w:rPr>
      </w:pPr>
    </w:p>
    <w:p>
      <w:pPr>
        <w:pStyle w:val="2"/>
        <w:rPr>
          <w:rFonts w:eastAsia="楷体_GB2312"/>
          <w:b/>
          <w:bCs/>
          <w:color w:val="000000" w:themeColor="text1"/>
          <w:sz w:val="24"/>
          <w14:textFill>
            <w14:solidFill>
              <w14:schemeClr w14:val="tx1"/>
            </w14:solidFill>
          </w14:textFill>
        </w:rPr>
      </w:pPr>
    </w:p>
    <w:p>
      <w:pPr>
        <w:pStyle w:val="2"/>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p>
      <w:pPr>
        <w:rPr>
          <w:rFonts w:eastAsia="楷体_GB2312"/>
          <w:b/>
          <w:bCs/>
          <w:color w:val="000000" w:themeColor="text1"/>
          <w:sz w:val="24"/>
          <w14:textFill>
            <w14:solidFill>
              <w14:schemeClr w14:val="tx1"/>
            </w14:solidFill>
          </w14:textFill>
        </w:rPr>
      </w:pPr>
    </w:p>
    <w:tbl>
      <w:tblPr>
        <w:tblStyle w:val="40"/>
        <w:tblW w:w="0" w:type="auto"/>
        <w:jc w:val="center"/>
        <w:tblLayout w:type="fixed"/>
        <w:tblCellMar>
          <w:top w:w="0" w:type="dxa"/>
          <w:left w:w="108" w:type="dxa"/>
          <w:bottom w:w="0" w:type="dxa"/>
          <w:right w:w="108" w:type="dxa"/>
        </w:tblCellMar>
      </w:tblPr>
      <w:tblGrid>
        <w:gridCol w:w="1418"/>
        <w:gridCol w:w="4001"/>
      </w:tblGrid>
      <w:tr>
        <w:tblPrEx>
          <w:tblCellMar>
            <w:top w:w="0" w:type="dxa"/>
            <w:left w:w="108" w:type="dxa"/>
            <w:bottom w:w="0" w:type="dxa"/>
            <w:right w:w="108" w:type="dxa"/>
          </w:tblCellMar>
        </w:tblPrEx>
        <w:trPr>
          <w:trHeight w:val="624" w:hRule="atLeast"/>
          <w:jc w:val="center"/>
        </w:trPr>
        <w:tc>
          <w:tcPr>
            <w:tcW w:w="1418" w:type="dxa"/>
            <w:tcMar>
              <w:left w:w="0" w:type="dxa"/>
              <w:right w:w="0" w:type="dxa"/>
            </w:tcMar>
            <w:vAlign w:val="center"/>
          </w:tcPr>
          <w:p>
            <w:pPr>
              <w:spacing w:line="380" w:lineRule="exact"/>
              <w:ind w:right="-126" w:rightChars="-45" w:firstLine="0" w:firstLineChars="0"/>
              <w:jc w:val="center"/>
              <w:rPr>
                <w:rFonts w:eastAsia="黑体"/>
                <w:color w:val="000000" w:themeColor="text1"/>
                <w:sz w:val="30"/>
                <w:szCs w:val="28"/>
                <w14:textFill>
                  <w14:solidFill>
                    <w14:schemeClr w14:val="tx1"/>
                  </w14:solidFill>
                </w14:textFill>
              </w:rPr>
            </w:pPr>
            <w:r>
              <w:rPr>
                <w:rFonts w:eastAsia="黑体"/>
                <w:color w:val="000000" w:themeColor="text1"/>
                <w:spacing w:val="5"/>
                <w:w w:val="99"/>
                <w:kern w:val="0"/>
                <w:sz w:val="30"/>
                <w:szCs w:val="28"/>
                <w14:textFill>
                  <w14:solidFill>
                    <w14:schemeClr w14:val="tx1"/>
                  </w14:solidFill>
                </w14:textFill>
              </w:rPr>
              <w:t>委托单位</w:t>
            </w:r>
            <w:r>
              <w:rPr>
                <w:rFonts w:eastAsia="黑体"/>
                <w:color w:val="000000" w:themeColor="text1"/>
                <w:spacing w:val="-8"/>
                <w:w w:val="99"/>
                <w:kern w:val="0"/>
                <w:sz w:val="30"/>
                <w:szCs w:val="28"/>
                <w14:textFill>
                  <w14:solidFill>
                    <w14:schemeClr w14:val="tx1"/>
                  </w14:solidFill>
                </w14:textFill>
              </w:rPr>
              <w:t>：</w:t>
            </w:r>
          </w:p>
        </w:tc>
        <w:tc>
          <w:tcPr>
            <w:tcW w:w="4001" w:type="dxa"/>
            <w:vAlign w:val="center"/>
          </w:tcPr>
          <w:p>
            <w:pPr>
              <w:spacing w:line="380" w:lineRule="exact"/>
              <w:ind w:right="-140" w:rightChars="-50" w:firstLine="0" w:firstLineChars="0"/>
              <w:jc w:val="left"/>
              <w:rPr>
                <w:rFonts w:eastAsia="黑体"/>
                <w:dstrike/>
                <w:color w:val="000000" w:themeColor="text1"/>
                <w:sz w:val="30"/>
                <w:szCs w:val="30"/>
                <w14:textFill>
                  <w14:solidFill>
                    <w14:schemeClr w14:val="tx1"/>
                  </w14:solidFill>
                </w14:textFill>
              </w:rPr>
            </w:pPr>
            <w:r>
              <w:rPr>
                <w:rFonts w:eastAsia="黑体"/>
                <w:color w:val="000000" w:themeColor="text1"/>
                <w:spacing w:val="34"/>
                <w:kern w:val="0"/>
                <w:sz w:val="30"/>
                <w:szCs w:val="30"/>
                <w14:textFill>
                  <w14:solidFill>
                    <w14:schemeClr w14:val="tx1"/>
                  </w14:solidFill>
                </w14:textFill>
              </w:rPr>
              <w:t>通川区水务局</w:t>
            </w:r>
          </w:p>
        </w:tc>
      </w:tr>
      <w:tr>
        <w:tblPrEx>
          <w:tblCellMar>
            <w:top w:w="0" w:type="dxa"/>
            <w:left w:w="108" w:type="dxa"/>
            <w:bottom w:w="0" w:type="dxa"/>
            <w:right w:w="108" w:type="dxa"/>
          </w:tblCellMar>
        </w:tblPrEx>
        <w:trPr>
          <w:trHeight w:val="624" w:hRule="atLeast"/>
          <w:jc w:val="center"/>
        </w:trPr>
        <w:tc>
          <w:tcPr>
            <w:tcW w:w="1418" w:type="dxa"/>
            <w:tcMar>
              <w:left w:w="0" w:type="dxa"/>
              <w:right w:w="0" w:type="dxa"/>
            </w:tcMar>
            <w:vAlign w:val="center"/>
          </w:tcPr>
          <w:p>
            <w:pPr>
              <w:spacing w:line="380" w:lineRule="exact"/>
              <w:ind w:right="-126" w:rightChars="-45" w:firstLine="0" w:firstLineChars="0"/>
              <w:jc w:val="center"/>
              <w:rPr>
                <w:rFonts w:eastAsia="黑体"/>
                <w:color w:val="000000" w:themeColor="text1"/>
                <w:sz w:val="30"/>
                <w:szCs w:val="28"/>
                <w14:textFill>
                  <w14:solidFill>
                    <w14:schemeClr w14:val="tx1"/>
                  </w14:solidFill>
                </w14:textFill>
              </w:rPr>
            </w:pPr>
            <w:r>
              <w:rPr>
                <w:rFonts w:eastAsia="黑体"/>
                <w:color w:val="000000" w:themeColor="text1"/>
                <w:spacing w:val="5"/>
                <w:w w:val="99"/>
                <w:kern w:val="0"/>
                <w:sz w:val="30"/>
                <w:szCs w:val="28"/>
                <w14:textFill>
                  <w14:solidFill>
                    <w14:schemeClr w14:val="tx1"/>
                  </w14:solidFill>
                </w14:textFill>
              </w:rPr>
              <w:t>编制单位</w:t>
            </w:r>
            <w:r>
              <w:rPr>
                <w:rFonts w:eastAsia="黑体"/>
                <w:color w:val="000000" w:themeColor="text1"/>
                <w:spacing w:val="-8"/>
                <w:w w:val="99"/>
                <w:kern w:val="0"/>
                <w:sz w:val="30"/>
                <w:szCs w:val="28"/>
                <w14:textFill>
                  <w14:solidFill>
                    <w14:schemeClr w14:val="tx1"/>
                  </w14:solidFill>
                </w14:textFill>
              </w:rPr>
              <w:t>：</w:t>
            </w:r>
          </w:p>
        </w:tc>
        <w:tc>
          <w:tcPr>
            <w:tcW w:w="4001" w:type="dxa"/>
            <w:vAlign w:val="center"/>
          </w:tcPr>
          <w:p>
            <w:pPr>
              <w:spacing w:line="380" w:lineRule="exact"/>
              <w:ind w:right="-140" w:rightChars="-50" w:firstLine="0" w:firstLineChars="0"/>
              <w:jc w:val="left"/>
              <w:rPr>
                <w:rFonts w:eastAsia="黑体"/>
                <w:color w:val="000000" w:themeColor="text1"/>
                <w:sz w:val="30"/>
                <w:szCs w:val="28"/>
                <w14:textFill>
                  <w14:solidFill>
                    <w14:schemeClr w14:val="tx1"/>
                  </w14:solidFill>
                </w14:textFill>
              </w:rPr>
            </w:pPr>
            <w:r>
              <w:rPr>
                <w:rFonts w:eastAsia="黑体"/>
                <w:color w:val="000000" w:themeColor="text1"/>
                <w:spacing w:val="34"/>
                <w:kern w:val="0"/>
                <w:sz w:val="30"/>
                <w:szCs w:val="30"/>
                <w14:textFill>
                  <w14:solidFill>
                    <w14:schemeClr w14:val="tx1"/>
                  </w14:solidFill>
                </w14:textFill>
              </w:rPr>
              <w:t>四川省水利科学研究院</w:t>
            </w:r>
          </w:p>
        </w:tc>
      </w:tr>
    </w:tbl>
    <w:p>
      <w:pPr>
        <w:spacing w:before="120" w:beforeLines="50" w:line="240" w:lineRule="auto"/>
        <w:ind w:firstLine="0" w:firstLineChars="0"/>
        <w:jc w:val="center"/>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二Ο二</w:t>
      </w:r>
      <w:r>
        <w:rPr>
          <w:rFonts w:hint="eastAsia" w:eastAsia="黑体"/>
          <w:color w:val="000000" w:themeColor="text1"/>
          <w:sz w:val="32"/>
          <w:szCs w:val="32"/>
          <w:lang w:val="en-US" w:eastAsia="zh-CN"/>
          <w14:textFill>
            <w14:solidFill>
              <w14:schemeClr w14:val="tx1"/>
            </w14:solidFill>
          </w14:textFill>
        </w:rPr>
        <w:t>二</w:t>
      </w:r>
      <w:r>
        <w:rPr>
          <w:rFonts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九</w:t>
      </w:r>
      <w:r>
        <w:rPr>
          <w:rFonts w:eastAsia="黑体"/>
          <w:color w:val="000000" w:themeColor="text1"/>
          <w:sz w:val="32"/>
          <w:szCs w:val="32"/>
          <w14:textFill>
            <w14:solidFill>
              <w14:schemeClr w14:val="tx1"/>
            </w14:solidFill>
          </w14:textFill>
        </w:rPr>
        <w:t>月</w:t>
      </w:r>
    </w:p>
    <w:p>
      <w:pPr>
        <w:ind w:firstLine="720"/>
        <w:rPr>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531" w:bottom="1440" w:left="1531" w:header="851" w:footer="992" w:gutter="0"/>
          <w:cols w:space="720" w:num="1"/>
          <w:docGrid w:linePitch="312" w:charSpace="0"/>
        </w:sectPr>
      </w:pPr>
    </w:p>
    <w:p>
      <w:pPr>
        <w:pStyle w:val="2"/>
        <w:ind w:firstLine="560"/>
        <w:rPr>
          <w:color w:val="000000" w:themeColor="text1"/>
          <w14:textFill>
            <w14:solidFill>
              <w14:schemeClr w14:val="tx1"/>
            </w14:solidFill>
          </w14:textFill>
        </w:rPr>
      </w:pPr>
      <w:bookmarkStart w:id="397" w:name="_GoBack"/>
      <w:bookmarkEnd w:id="397"/>
    </w:p>
    <w:p>
      <w:pPr>
        <w:spacing w:line="540" w:lineRule="exact"/>
        <w:ind w:firstLine="1966" w:firstLineChars="612"/>
        <w:rPr>
          <w:b/>
          <w:bCs/>
          <w:color w:val="000000" w:themeColor="text1"/>
          <w:sz w:val="32"/>
          <w:szCs w:val="32"/>
          <w14:textFill>
            <w14:solidFill>
              <w14:schemeClr w14:val="tx1"/>
            </w14:solidFill>
          </w14:textFill>
        </w:rPr>
      </w:pPr>
    </w:p>
    <w:p>
      <w:pPr>
        <w:spacing w:line="540" w:lineRule="exact"/>
        <w:ind w:firstLine="1966" w:firstLineChars="612"/>
        <w:rPr>
          <w:b/>
          <w:bCs/>
          <w:color w:val="000000" w:themeColor="text1"/>
          <w:sz w:val="32"/>
          <w:szCs w:val="32"/>
          <w14:textFill>
            <w14:solidFill>
              <w14:schemeClr w14:val="tx1"/>
            </w14:solidFill>
          </w14:textFill>
        </w:rPr>
      </w:pPr>
    </w:p>
    <w:p>
      <w:pPr>
        <w:spacing w:line="660" w:lineRule="auto"/>
        <w:ind w:left="840" w:firstLine="0" w:firstLineChars="0"/>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批准：刘双美</w:t>
      </w:r>
    </w:p>
    <w:p>
      <w:pPr>
        <w:spacing w:line="660" w:lineRule="auto"/>
        <w:ind w:left="840" w:firstLine="0" w:firstLineChars="0"/>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审定：麻泽龙</w:t>
      </w:r>
    </w:p>
    <w:p>
      <w:pPr>
        <w:spacing w:line="660" w:lineRule="auto"/>
        <w:ind w:left="840" w:firstLine="0" w:firstLineChars="0"/>
        <w:rPr>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审查：王筱红</w:t>
      </w:r>
    </w:p>
    <w:p>
      <w:pPr>
        <w:spacing w:line="660" w:lineRule="auto"/>
        <w:ind w:left="840" w:firstLine="0" w:firstLineChars="0"/>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校核：陈礼斌    何育盛</w:t>
      </w:r>
    </w:p>
    <w:p>
      <w:pPr>
        <w:spacing w:line="660" w:lineRule="auto"/>
        <w:ind w:left="840" w:firstLine="0" w:firstLineChars="0"/>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 xml:space="preserve">编制：靳晓莉    谢  晴    巨  莉 </w:t>
      </w:r>
    </w:p>
    <w:p>
      <w:pPr>
        <w:spacing w:line="660" w:lineRule="auto"/>
        <w:ind w:left="840" w:firstLine="0" w:firstLineChars="0"/>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 xml:space="preserve">      刘小榕    匡啓兵    邱坤林</w:t>
      </w:r>
    </w:p>
    <w:p>
      <w:pPr>
        <w:spacing w:line="660" w:lineRule="auto"/>
        <w:ind w:firstLine="964" w:firstLineChars="300"/>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 xml:space="preserve"> </w:t>
      </w:r>
      <w:r>
        <w:rPr>
          <w:rFonts w:hint="eastAsia"/>
          <w:b/>
          <w:bCs/>
          <w:color w:val="000000" w:themeColor="text1"/>
          <w:sz w:val="32"/>
          <w:szCs w:val="32"/>
          <w14:textFill>
            <w14:solidFill>
              <w14:schemeClr w14:val="tx1"/>
            </w14:solidFill>
          </w14:textFill>
        </w:rPr>
        <w:t xml:space="preserve"> </w:t>
      </w:r>
      <w:r>
        <w:rPr>
          <w:b/>
          <w:bCs/>
          <w:color w:val="000000" w:themeColor="text1"/>
          <w:sz w:val="32"/>
          <w:szCs w:val="32"/>
          <w14:textFill>
            <w14:solidFill>
              <w14:schemeClr w14:val="tx1"/>
            </w14:solidFill>
          </w14:textFill>
        </w:rPr>
        <w:t xml:space="preserve">   唐  林</w:t>
      </w:r>
    </w:p>
    <w:p>
      <w:pPr>
        <w:ind w:firstLine="560"/>
        <w:rPr>
          <w:color w:val="000000" w:themeColor="text1"/>
          <w14:textFill>
            <w14:solidFill>
              <w14:schemeClr w14:val="tx1"/>
            </w14:solidFill>
          </w14:textFill>
        </w:rPr>
        <w:sectPr>
          <w:footerReference r:id="rId11" w:type="default"/>
          <w:pgSz w:w="11906" w:h="16838"/>
          <w:pgMar w:top="1440" w:right="1531" w:bottom="1440" w:left="1531" w:header="851" w:footer="992" w:gutter="0"/>
          <w:pgNumType w:start="1"/>
          <w:cols w:space="720" w:num="1"/>
          <w:docGrid w:linePitch="312" w:charSpace="0"/>
        </w:sectPr>
      </w:pPr>
    </w:p>
    <w:p>
      <w:pPr>
        <w:pStyle w:val="3"/>
        <w:spacing w:after="120" w:afterLines="50"/>
        <w:rPr>
          <w:color w:val="000000" w:themeColor="text1"/>
          <w14:textFill>
            <w14:solidFill>
              <w14:schemeClr w14:val="tx1"/>
            </w14:solidFill>
          </w14:textFill>
        </w:rPr>
      </w:pPr>
      <w:bookmarkStart w:id="0" w:name="_Toc10407"/>
      <w:bookmarkStart w:id="1" w:name="_Toc5842"/>
      <w:bookmarkStart w:id="2" w:name="_Toc28159"/>
      <w:bookmarkStart w:id="3" w:name="_Toc19756"/>
      <w:bookmarkStart w:id="4" w:name="_Toc3247"/>
      <w:bookmarkStart w:id="5" w:name="_Toc5937"/>
      <w:bookmarkStart w:id="6" w:name="_Toc95734197"/>
      <w:r>
        <w:rPr>
          <w:color w:val="000000" w:themeColor="text1"/>
          <w14:textFill>
            <w14:solidFill>
              <w14:schemeClr w14:val="tx1"/>
            </w14:solidFill>
          </w14:textFill>
        </w:rPr>
        <w:t>前  言</w:t>
      </w:r>
      <w:bookmarkEnd w:id="0"/>
      <w:bookmarkEnd w:id="1"/>
      <w:bookmarkEnd w:id="2"/>
      <w:bookmarkEnd w:id="3"/>
      <w:bookmarkEnd w:id="4"/>
      <w:bookmarkEnd w:id="5"/>
      <w:bookmarkEnd w:id="6"/>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位于川东北平行岭谷北部与大巴山南麓与盆周山区交替带，地理坐标为东径107°20′37.5″～107°39′22.5″，北纬30°07′30″～31°27′30″；东及东北面与宣汉县接壤，西面、南面与达川区为邻，西北与平昌县毗邻。西至成都420km，南到重庆220km。幅员面积888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大部分水利设施修建年代均比较早，部分乡镇的水利工程配套不完善，有些水利工程长期带病运行，存在严重安全隐患，近几年，在国家的大力支持下，通川区先后建成一大批水利基础设施，为改善城乡居民生活生产条件、促进经济社会发展发挥了巨大作用。</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bCs/>
          <w:color w:val="000000" w:themeColor="text1"/>
          <w:szCs w:val="28"/>
          <w14:textFill>
            <w14:solidFill>
              <w14:schemeClr w14:val="tx1"/>
            </w14:solidFill>
          </w14:textFill>
        </w:rPr>
        <w:t>通川区多年平均地表径流量5.17亿</w:t>
      </w:r>
      <w:r>
        <w:rPr>
          <w:rFonts w:hint="eastAsia"/>
          <w:bCs/>
          <w:color w:val="000000" w:themeColor="text1"/>
          <w:szCs w:val="28"/>
          <w14:textFill>
            <w14:solidFill>
              <w14:schemeClr w14:val="tx1"/>
            </w14:solidFill>
          </w14:textFill>
        </w:rPr>
        <w:t>m³</w:t>
      </w:r>
      <w:r>
        <w:rPr>
          <w:bCs/>
          <w:color w:val="000000" w:themeColor="text1"/>
          <w:szCs w:val="28"/>
          <w14:textFill>
            <w14:solidFill>
              <w14:schemeClr w14:val="tx1"/>
            </w14:solidFill>
          </w14:textFill>
        </w:rPr>
        <w:t>，但目前已有水库的调蓄能力不大，总的兴利库容仅0.79亿</w:t>
      </w:r>
      <w:r>
        <w:rPr>
          <w:rFonts w:hint="eastAsia"/>
          <w:bCs/>
          <w:color w:val="000000" w:themeColor="text1"/>
          <w:szCs w:val="28"/>
          <w14:textFill>
            <w14:solidFill>
              <w14:schemeClr w14:val="tx1"/>
            </w14:solidFill>
          </w14:textFill>
        </w:rPr>
        <w:t>m³</w:t>
      </w:r>
      <w:r>
        <w:rPr>
          <w:bCs/>
          <w:color w:val="000000" w:themeColor="text1"/>
          <w:szCs w:val="28"/>
          <w14:textFill>
            <w14:solidFill>
              <w14:schemeClr w14:val="tx1"/>
            </w14:solidFill>
          </w14:textFill>
        </w:rPr>
        <w:t>，占多年平均地表径流量的15%，不能满足通川区社会经济发展对水资源的需求，特别是遇枯水年份或连续干旱年份供用水矛盾更为突出。全区的水资源配置工程体系不完善，已有的灌溉设施也老化严重、配套不全，部分水库枢纽建成后多年渠系配套不完善，工程现状供水能力不能满足社会经济发展的需要，由于供水能力不足，供用水矛盾较为突出，特别是灌溉高峰期，缺水尤为突出，争水、挤水现象时有发生。</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rFonts w:hint="eastAsia"/>
          <w:color w:val="000000" w:themeColor="text1"/>
          <w:szCs w:val="28"/>
          <w:lang w:val="en-US" w:eastAsia="zh-CN"/>
          <w14:textFill>
            <w14:solidFill>
              <w14:schemeClr w14:val="tx1"/>
            </w14:solidFill>
          </w14:textFill>
        </w:rPr>
        <w:t>根据</w:t>
      </w:r>
      <w:r>
        <w:rPr>
          <w:color w:val="000000" w:themeColor="text1"/>
          <w:spacing w:val="8"/>
          <w:szCs w:val="28"/>
          <w14:textFill>
            <w14:solidFill>
              <w14:schemeClr w14:val="tx1"/>
            </w14:solidFill>
          </w14:textFill>
        </w:rPr>
        <w:t>党的十九大</w:t>
      </w:r>
      <w:r>
        <w:rPr>
          <w:rFonts w:hint="eastAsia"/>
          <w:color w:val="000000" w:themeColor="text1"/>
          <w:spacing w:val="8"/>
          <w:szCs w:val="28"/>
          <w:lang w:val="en-US" w:eastAsia="zh-CN"/>
          <w14:textFill>
            <w14:solidFill>
              <w14:schemeClr w14:val="tx1"/>
            </w14:solidFill>
          </w14:textFill>
        </w:rPr>
        <w:t>和十九届历次全会精神</w:t>
      </w:r>
      <w:r>
        <w:rPr>
          <w:color w:val="000000" w:themeColor="text1"/>
          <w:spacing w:val="8"/>
          <w:szCs w:val="28"/>
          <w14:textFill>
            <w14:solidFill>
              <w14:schemeClr w14:val="tx1"/>
            </w14:solidFill>
          </w14:textFill>
        </w:rPr>
        <w:t>精神</w:t>
      </w:r>
      <w:r>
        <w:rPr>
          <w:rFonts w:hint="eastAsia"/>
          <w:color w:val="000000" w:themeColor="text1"/>
          <w:spacing w:val="8"/>
          <w:szCs w:val="28"/>
          <w:lang w:eastAsia="zh-CN"/>
          <w14:textFill>
            <w14:solidFill>
              <w14:schemeClr w14:val="tx1"/>
            </w14:solidFill>
          </w14:textFill>
        </w:rPr>
        <w:t>，</w:t>
      </w:r>
      <w:r>
        <w:rPr>
          <w:rFonts w:hint="eastAsia"/>
          <w:color w:val="000000" w:themeColor="text1"/>
          <w:spacing w:val="8"/>
          <w:szCs w:val="28"/>
          <w14:textFill>
            <w14:solidFill>
              <w14:schemeClr w14:val="tx1"/>
            </w14:solidFill>
          </w14:textFill>
        </w:rPr>
        <w:t>以习近平</w:t>
      </w:r>
      <w:r>
        <w:rPr>
          <w:color w:val="000000" w:themeColor="text1"/>
          <w:spacing w:val="8"/>
          <w:szCs w:val="28"/>
          <w14:textFill>
            <w14:solidFill>
              <w14:schemeClr w14:val="tx1"/>
            </w14:solidFill>
          </w14:textFill>
        </w:rPr>
        <w:t>总书记提出的</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节水优先、空间均衡、系统治理、两手发力</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的</w:t>
      </w:r>
      <w:r>
        <w:rPr>
          <w:rFonts w:hint="eastAsia"/>
          <w:color w:val="000000" w:themeColor="text1"/>
          <w:spacing w:val="8"/>
          <w:szCs w:val="28"/>
          <w14:textFill>
            <w14:solidFill>
              <w14:schemeClr w14:val="tx1"/>
            </w14:solidFill>
          </w14:textFill>
        </w:rPr>
        <w:t>治水思路为指导</w:t>
      </w:r>
      <w:r>
        <w:rPr>
          <w:color w:val="000000" w:themeColor="text1"/>
          <w:spacing w:val="8"/>
          <w:szCs w:val="28"/>
          <w14:textFill>
            <w14:solidFill>
              <w14:schemeClr w14:val="tx1"/>
            </w14:solidFill>
          </w14:textFill>
        </w:rPr>
        <w:t>，</w:t>
      </w:r>
      <w:r>
        <w:rPr>
          <w:rFonts w:hint="eastAsia"/>
          <w:color w:val="000000" w:themeColor="text1"/>
          <w:spacing w:val="8"/>
          <w:szCs w:val="28"/>
          <w14:textFill>
            <w14:solidFill>
              <w14:schemeClr w14:val="tx1"/>
            </w14:solidFill>
          </w14:textFill>
        </w:rPr>
        <w:t>紧紧围绕</w:t>
      </w:r>
      <w:r>
        <w:rPr>
          <w:rFonts w:hint="eastAsia"/>
          <w:color w:val="000000" w:themeColor="text1"/>
          <w:szCs w:val="28"/>
          <w14:textFill>
            <w14:solidFill>
              <w14:schemeClr w14:val="tx1"/>
            </w14:solidFill>
          </w14:textFill>
        </w:rPr>
        <w:t>通川区区委“三城三地三片区”发展战略</w:t>
      </w:r>
      <w:r>
        <w:rPr>
          <w:rFonts w:hint="eastAsia"/>
          <w:color w:val="000000" w:themeColor="text1"/>
          <w:spacing w:val="8"/>
          <w:szCs w:val="28"/>
          <w14:textFill>
            <w14:solidFill>
              <w14:schemeClr w14:val="tx1"/>
            </w14:solidFill>
          </w14:textFill>
        </w:rPr>
        <w:t>，</w:t>
      </w:r>
      <w:r>
        <w:rPr>
          <w:color w:val="000000" w:themeColor="text1"/>
          <w:szCs w:val="28"/>
          <w14:textFill>
            <w14:solidFill>
              <w14:schemeClr w14:val="tx1"/>
            </w14:solidFill>
          </w14:textFill>
        </w:rPr>
        <w:t>通过全面建设节水型社会、合理配置和有效保护水资源、实行最严格水资源管理制度，保障饮水安全、供水安全和生态安全，促进区域经济社会的可持续发展。我院于202</w:t>
      </w:r>
      <w:r>
        <w:rPr>
          <w:rFonts w:hint="eastAsia"/>
          <w:color w:val="000000" w:themeColor="text1"/>
          <w:szCs w:val="28"/>
          <w:lang w:val="en-US" w:eastAsia="zh-CN"/>
          <w14:textFill>
            <w14:solidFill>
              <w14:schemeClr w14:val="tx1"/>
            </w14:solidFill>
          </w14:textFill>
        </w:rPr>
        <w:t>0</w:t>
      </w:r>
      <w:r>
        <w:rPr>
          <w:color w:val="000000" w:themeColor="text1"/>
          <w:szCs w:val="28"/>
          <w14:textFill>
            <w14:solidFill>
              <w14:schemeClr w14:val="tx1"/>
            </w14:solidFill>
          </w14:textFill>
        </w:rPr>
        <w:t>年</w:t>
      </w:r>
      <w:r>
        <w:rPr>
          <w:rFonts w:hint="eastAsia"/>
          <w:color w:val="000000" w:themeColor="text1"/>
          <w:szCs w:val="28"/>
          <w:lang w:val="en-US" w:eastAsia="zh-CN"/>
          <w14:textFill>
            <w14:solidFill>
              <w14:schemeClr w14:val="tx1"/>
            </w14:solidFill>
          </w14:textFill>
        </w:rPr>
        <w:t>11</w:t>
      </w:r>
      <w:r>
        <w:rPr>
          <w:color w:val="000000" w:themeColor="text1"/>
          <w:szCs w:val="28"/>
          <w14:textFill>
            <w14:solidFill>
              <w14:schemeClr w14:val="tx1"/>
            </w14:solidFill>
          </w14:textFill>
        </w:rPr>
        <w:t>月编制了《通川区水资源配置规划报告》（</w:t>
      </w:r>
      <w:r>
        <w:rPr>
          <w:rFonts w:hint="eastAsia"/>
          <w:color w:val="000000" w:themeColor="text1"/>
          <w:szCs w:val="28"/>
          <w:lang w:val="en-US" w:eastAsia="zh-CN"/>
          <w14:textFill>
            <w14:solidFill>
              <w14:schemeClr w14:val="tx1"/>
            </w14:solidFill>
          </w14:textFill>
        </w:rPr>
        <w:t>征求意见</w:t>
      </w:r>
      <w:r>
        <w:rPr>
          <w:color w:val="000000" w:themeColor="text1"/>
          <w:szCs w:val="28"/>
          <w14:textFill>
            <w14:solidFill>
              <w14:schemeClr w14:val="tx1"/>
            </w14:solidFill>
          </w14:textFill>
        </w:rPr>
        <w:t>稿），</w:t>
      </w:r>
      <w:r>
        <w:rPr>
          <w:rFonts w:hint="eastAsia"/>
          <w:color w:val="000000" w:themeColor="text1"/>
          <w:szCs w:val="28"/>
          <w14:textFill>
            <w14:solidFill>
              <w14:schemeClr w14:val="tx1"/>
            </w14:solidFill>
          </w14:textFill>
        </w:rPr>
        <w:t>并提交区级相关单位、乡镇街委、达州市水利电力勘测设计院征求意见</w:t>
      </w:r>
      <w:r>
        <w:rPr>
          <w:rFonts w:hint="eastAsia"/>
          <w:color w:val="000000" w:themeColor="text1"/>
          <w:szCs w:val="28"/>
          <w:lang w:eastAsia="zh-CN"/>
          <w14:textFill>
            <w14:solidFill>
              <w14:schemeClr w14:val="tx1"/>
            </w14:solidFill>
          </w14:textFill>
        </w:rPr>
        <w:t>；</w:t>
      </w:r>
      <w:r>
        <w:rPr>
          <w:rFonts w:hint="eastAsia"/>
          <w:color w:val="000000" w:themeColor="text1"/>
          <w:szCs w:val="28"/>
          <w:lang w:val="en-US" w:eastAsia="zh-CN"/>
          <w14:textFill>
            <w14:solidFill>
              <w14:schemeClr w14:val="tx1"/>
            </w14:solidFill>
          </w14:textFill>
        </w:rPr>
        <w:t>2021年7月编制完成送审稿；</w:t>
      </w:r>
      <w:r>
        <w:rPr>
          <w:color w:val="000000" w:themeColor="text1"/>
          <w:szCs w:val="28"/>
          <w14:textFill>
            <w14:solidFill>
              <w14:schemeClr w14:val="tx1"/>
            </w14:solidFill>
          </w14:textFill>
        </w:rPr>
        <w:t>7月9日，通川区水务局在通川组织审查会，会上形成了专家意见</w:t>
      </w:r>
      <w:r>
        <w:rPr>
          <w:rFonts w:hint="eastAsia"/>
          <w:color w:val="000000" w:themeColor="text1"/>
          <w:szCs w:val="28"/>
          <w:lang w:eastAsia="zh-CN"/>
          <w14:textFill>
            <w14:solidFill>
              <w14:schemeClr w14:val="tx1"/>
            </w14:solidFill>
          </w14:textFill>
        </w:rPr>
        <w:t>，</w:t>
      </w:r>
      <w:r>
        <w:rPr>
          <w:color w:val="000000" w:themeColor="text1"/>
          <w:szCs w:val="28"/>
          <w14:textFill>
            <w14:solidFill>
              <w14:schemeClr w14:val="tx1"/>
            </w14:solidFill>
          </w14:textFill>
        </w:rPr>
        <w:t>会后，我院根据专家意见，对报告进行完善，</w:t>
      </w:r>
      <w:r>
        <w:rPr>
          <w:rFonts w:hint="eastAsia"/>
          <w:color w:val="000000" w:themeColor="text1"/>
          <w:szCs w:val="28"/>
          <w:lang w:val="en-US" w:eastAsia="zh-CN"/>
          <w14:textFill>
            <w14:solidFill>
              <w14:schemeClr w14:val="tx1"/>
            </w14:solidFill>
          </w14:textFill>
        </w:rPr>
        <w:t>于8</w:t>
      </w:r>
      <w:r>
        <w:rPr>
          <w:color w:val="000000" w:themeColor="text1"/>
          <w:szCs w:val="28"/>
          <w14:textFill>
            <w14:solidFill>
              <w14:schemeClr w14:val="tx1"/>
            </w14:solidFill>
          </w14:textFill>
        </w:rPr>
        <w:t>月编制完成</w:t>
      </w:r>
      <w:r>
        <w:rPr>
          <w:rFonts w:hint="eastAsia"/>
          <w:color w:val="000000" w:themeColor="text1"/>
          <w:szCs w:val="28"/>
          <w14:textFill>
            <w14:solidFill>
              <w14:schemeClr w14:val="tx1"/>
            </w14:solidFill>
          </w14:textFill>
        </w:rPr>
        <w:t>报批</w:t>
      </w:r>
      <w:r>
        <w:rPr>
          <w:color w:val="000000" w:themeColor="text1"/>
          <w:szCs w:val="28"/>
          <w14:textFill>
            <w14:solidFill>
              <w14:schemeClr w14:val="tx1"/>
            </w14:solidFill>
          </w14:textFill>
        </w:rPr>
        <w:t>稿</w:t>
      </w:r>
      <w:r>
        <w:rPr>
          <w:rFonts w:hint="eastAsia"/>
          <w:color w:val="000000" w:themeColor="text1"/>
          <w:szCs w:val="28"/>
          <w:lang w:val="en-US" w:eastAsia="zh-CN"/>
          <w14:textFill>
            <w14:solidFill>
              <w14:schemeClr w14:val="tx1"/>
            </w14:solidFill>
          </w14:textFill>
        </w:rPr>
        <w:t>；2021年12月至2022年10月，区级分管领导、水务局领导多次组织召开了专题讨论会，我院根据会上各部门意见进一步修改完善，于2022年10月</w:t>
      </w:r>
      <w:r>
        <w:rPr>
          <w:rFonts w:hint="default"/>
          <w:color w:val="000000" w:themeColor="text1"/>
          <w:szCs w:val="28"/>
          <w:lang w:val="en-US" w:eastAsia="zh-CN"/>
          <w14:textFill>
            <w14:solidFill>
              <w14:schemeClr w14:val="tx1"/>
            </w14:solidFill>
          </w14:textFill>
        </w:rPr>
        <w:t>完成了终稿编制</w:t>
      </w:r>
      <w:r>
        <w:rPr>
          <w:rFonts w:hint="eastAsia"/>
          <w:color w:val="000000" w:themeColor="text1"/>
          <w:szCs w:val="2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14:textFill>
            <w14:solidFill>
              <w14:schemeClr w14:val="tx1"/>
            </w14:solidFill>
          </w14:textFill>
        </w:rPr>
        <w:t>参考《达州市水资源综合规划报告》，《通川区水资源综合规划报告》，本次水资源分区一、二、三级分区按全国水资源统一分区；然后根据自然地理条件、流域的差异分区并结合行政区划进行水量平衡分片。</w:t>
      </w:r>
      <w:r>
        <w:rPr>
          <w:color w:val="000000" w:themeColor="text1"/>
          <w:szCs w:val="28"/>
          <w14:textFill>
            <w14:solidFill>
              <w14:schemeClr w14:val="tx1"/>
            </w14:solidFill>
          </w14:textFill>
        </w:rPr>
        <w:t>根据考虑行政区划的基础上，按通川区境内3条主要河流进行划分，共划分为5个分区，分别为双龙河区、魏家河区、明月江区、长滩河区、固家河区。同时，结合已成及规划工程，在水资源五级区的基础上，提出水量平衡分片，分别为州河流域的城区片（石莲花水库片）、北部片、双河口水库片、明月江片；巴河流域的安云水库片、长滩河西片及固家河片。</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按照全国水资源综合规划技术大纲的统一要求，结合通川区实际情况，与国民经济计划一致，本次水资源综合规划基准年为2020年，规划水平年分别为2025（近期）、2030（中期）、2035年（远期）。主要规划成果为：</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1、本次规划范围为通川区全区，规划区幅员面积888k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，涉及五街十二镇一乡一委。</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2、通川区多年平均水资源量51708万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，其中地下水资源量为6300万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，全部为重复计算量。</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3、通川区现状水利设施和供用水情况</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通川区已建成蓄水工程2425处，其中：中型水库已建成2座，正在建设1座中型水库，小型水库43座，山塘堰1938处，及窖池441座。引水工程94处，泵站22处。区域内地下水以浅层地下水生产井为主，共18860处。</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14:textFill>
            <w14:solidFill>
              <w14:schemeClr w14:val="tx1"/>
            </w14:solidFill>
          </w14:textFill>
        </w:rPr>
      </w:pPr>
      <w:r>
        <w:rPr>
          <w:color w:val="000000" w:themeColor="text1"/>
          <w:szCs w:val="28"/>
          <w14:textFill>
            <w14:solidFill>
              <w14:schemeClr w14:val="tx1"/>
            </w14:solidFill>
          </w14:textFill>
        </w:rPr>
        <w:t>全</w:t>
      </w:r>
      <w:r>
        <w:rPr>
          <w:rFonts w:hint="eastAsia"/>
          <w:color w:val="000000" w:themeColor="text1"/>
          <w:szCs w:val="28"/>
          <w14:textFill>
            <w14:solidFill>
              <w14:schemeClr w14:val="tx1"/>
            </w14:solidFill>
          </w14:textFill>
        </w:rPr>
        <w:t>区</w:t>
      </w:r>
      <w:r>
        <w:rPr>
          <w:color w:val="000000" w:themeColor="text1"/>
          <w:szCs w:val="28"/>
          <w14:textFill>
            <w14:solidFill>
              <w14:schemeClr w14:val="tx1"/>
            </w14:solidFill>
          </w14:textFill>
        </w:rPr>
        <w:t>本地水源总供水量</w:t>
      </w:r>
      <w:r>
        <w:rPr>
          <w:rFonts w:hint="eastAsia"/>
          <w:color w:val="000000" w:themeColor="text1"/>
          <w14:textFill>
            <w14:solidFill>
              <w14:schemeClr w14:val="tx1"/>
            </w14:solidFill>
          </w14:textFill>
        </w:rPr>
        <w:t>14282</w:t>
      </w:r>
      <w:r>
        <w:rPr>
          <w:color w:val="000000" w:themeColor="text1"/>
          <w:szCs w:val="28"/>
          <w14:textFill>
            <w14:solidFill>
              <w14:schemeClr w14:val="tx1"/>
            </w14:solidFill>
          </w14:textFill>
        </w:rPr>
        <w:t>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。各行业总用水量</w:t>
      </w:r>
      <w:r>
        <w:rPr>
          <w:rFonts w:hint="eastAsia"/>
          <w:color w:val="000000" w:themeColor="text1"/>
          <w14:textFill>
            <w14:solidFill>
              <w14:schemeClr w14:val="tx1"/>
            </w14:solidFill>
          </w14:textFill>
        </w:rPr>
        <w:t>14282</w:t>
      </w:r>
      <w:r>
        <w:rPr>
          <w:color w:val="000000" w:themeColor="text1"/>
          <w:szCs w:val="28"/>
          <w14:textFill>
            <w14:solidFill>
              <w14:schemeClr w14:val="tx1"/>
            </w14:solidFill>
          </w14:textFill>
        </w:rPr>
        <w:t>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w:t>
      </w:r>
      <w:r>
        <w:rPr>
          <w:color w:val="000000" w:themeColor="text1"/>
          <w14:textFill>
            <w14:solidFill>
              <w14:schemeClr w14:val="tx1"/>
            </w14:solidFill>
          </w14:textFill>
        </w:rPr>
        <w:t>其中城镇和农村生活用水（含公共）</w:t>
      </w:r>
      <w:r>
        <w:rPr>
          <w:rFonts w:hint="eastAsia"/>
          <w:color w:val="000000" w:themeColor="text1"/>
          <w14:textFill>
            <w14:solidFill>
              <w14:schemeClr w14:val="tx1"/>
            </w14:solidFill>
          </w14:textFill>
        </w:rPr>
        <w:t>4089</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，农业生产用水</w:t>
      </w:r>
      <w:r>
        <w:rPr>
          <w:rFonts w:hint="eastAsia"/>
          <w:color w:val="000000" w:themeColor="text1"/>
          <w14:textFill>
            <w14:solidFill>
              <w14:schemeClr w14:val="tx1"/>
            </w14:solidFill>
          </w14:textFill>
        </w:rPr>
        <w:t>6062</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；工业用水</w:t>
      </w:r>
      <w:r>
        <w:rPr>
          <w:rFonts w:hint="eastAsia"/>
          <w:color w:val="000000" w:themeColor="text1"/>
          <w14:textFill>
            <w14:solidFill>
              <w14:schemeClr w14:val="tx1"/>
            </w14:solidFill>
          </w14:textFill>
        </w:rPr>
        <w:t>2323</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三产1058</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城镇生态环境用水</w:t>
      </w:r>
      <w:r>
        <w:rPr>
          <w:rFonts w:hint="eastAsia"/>
          <w:color w:val="000000" w:themeColor="text1"/>
          <w14:textFill>
            <w14:solidFill>
              <w14:schemeClr w14:val="tx1"/>
            </w14:solidFill>
          </w14:textFill>
        </w:rPr>
        <w:t>752</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4、需水成果</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14:textFill>
            <w14:solidFill>
              <w14:schemeClr w14:val="tx1"/>
            </w14:solidFill>
          </w14:textFill>
        </w:rPr>
      </w:pPr>
      <w:r>
        <w:rPr>
          <w:color w:val="000000" w:themeColor="text1"/>
          <w:szCs w:val="28"/>
          <w14:textFill>
            <w14:solidFill>
              <w14:schemeClr w14:val="tx1"/>
            </w14:solidFill>
          </w14:textFill>
        </w:rPr>
        <w:t>根据区域发展规划，通川区2035年辖区总人口将达160.52万人，城镇化率将达到86%。</w:t>
      </w:r>
      <w:r>
        <w:rPr>
          <w:color w:val="000000" w:themeColor="text1"/>
          <w14:textFill>
            <w14:solidFill>
              <w14:schemeClr w14:val="tx1"/>
            </w14:solidFill>
          </w14:textFill>
        </w:rPr>
        <w:t>远期规划水平年2035年，通川区毛需水量为27389万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，P=75%情形下，通川区毛需水量为28518万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，P=95%情形下，通川区毛需水量为32219万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5、供水成果</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2035水平年，通川区多年平均需水量为27389万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，水利设施或其他水资源利用合计可供水总量为26080万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，缺水量1310万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，缺水率为4.8％，基本可实现供水平衡。75%典型年需水量为28518万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，水利设施或其他水资源利用合计可供水总量为27290万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，缺水量1228万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，缺水率为4.3％。</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iCs/>
          <w:color w:val="000000" w:themeColor="text1"/>
          <w:szCs w:val="28"/>
          <w14:textFill>
            <w14:solidFill>
              <w14:schemeClr w14:val="tx1"/>
            </w14:solidFill>
          </w14:textFill>
        </w:rPr>
        <w:t>从二次供需平衡成果可以看到，通过实施建设跨行政区引调水工程，并新建一批当地径流骨干水库加强对当地水资源的开发利用，可基本缓解通川区未来经济社会的快速发展与水资源短缺的供需矛盾，实现了水资源与社会经济和生态环境保护的协调发展、人与自然环境和谐相处。</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6、通川区水利工程布局</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根据对通川区的供水现状、水资源总量和分布情况进行分析，规划水平年可供水量是在供需分析和方案比选过程中，充分考虑现有供水工程的供水潜力，考虑因工程性缺水而增加规划工程后所能提供的最大的供水量。因此，通川区规划可供水量，主要考虑跨行政区引调水工程、新建当地骨干蓄水工程、引水工程和灌区节水改造及续建配套工程。</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w:t>
      </w:r>
      <w:r>
        <w:rPr>
          <w:color w:val="000000" w:themeColor="text1"/>
          <w:szCs w:val="28"/>
          <w14:textFill>
            <w14:solidFill>
              <w14:schemeClr w14:val="tx1"/>
            </w14:solidFill>
          </w14:textFill>
        </w:rPr>
        <w:t>《达州市水资源综合规划报告》</w:t>
      </w:r>
      <w:r>
        <w:rPr>
          <w:rFonts w:hint="eastAsia"/>
          <w:color w:val="000000" w:themeColor="text1"/>
          <w:szCs w:val="28"/>
          <w14:textFill>
            <w14:solidFill>
              <w14:schemeClr w14:val="tx1"/>
            </w14:solidFill>
          </w14:textFill>
        </w:rPr>
        <w:t>，在通川区安云镇规划建设长滩湖水库，在宣汉县庆云乡规划建设长滩河水库。</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本次规划中，相应水库分别进行了名称调整，通川区安云镇规划建设安云水库，宣汉县庆云乡规划建设长滩湖水库。</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通过建设跨行政区引调水工程（</w:t>
      </w:r>
      <w:r>
        <w:rPr>
          <w:rFonts w:hint="eastAsia"/>
          <w:color w:val="000000" w:themeColor="text1"/>
          <w:szCs w:val="28"/>
          <w14:textFill>
            <w14:solidFill>
              <w14:schemeClr w14:val="tx1"/>
            </w14:solidFill>
          </w14:textFill>
        </w:rPr>
        <w:t>长滩湖</w:t>
      </w:r>
      <w:r>
        <w:rPr>
          <w:color w:val="000000" w:themeColor="text1"/>
          <w:szCs w:val="28"/>
          <w14:textFill>
            <w14:solidFill>
              <w14:schemeClr w14:val="tx1"/>
            </w14:solidFill>
          </w14:textFill>
        </w:rPr>
        <w:t>水库）、安云水库、车家河水库、老王沟水库、长滩河水库等骨干工程，结合新建一批小型水库工程（27座），提高对水资源的利用率，继而实现规划水平年水量平衡。</w:t>
      </w:r>
    </w:p>
    <w:p>
      <w:pPr>
        <w:keepNext w:val="0"/>
        <w:keepLines w:val="0"/>
        <w:pageBreakBefore w:val="0"/>
        <w:widowControl w:val="0"/>
        <w:numPr>
          <w:ilvl w:val="0"/>
          <w:numId w:val="1"/>
        </w:numPr>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实行最严格的水资源管理制度。确立水资源开发利用、用水效率、水功能区限制纳污控制</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红线</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。完善用水总量控制制度，建立用水效率控制制度，建立水功能区限制纳污制度，建立水资源管理责任和考核制度，推动最严格水资源管理制度的全面贯彻落实。</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8、本规划实施后，到2035年，总用水量从2020年</w:t>
      </w:r>
      <w:r>
        <w:rPr>
          <w:rFonts w:hint="eastAsia"/>
          <w:color w:val="000000" w:themeColor="text1"/>
          <w:szCs w:val="28"/>
          <w14:textFill>
            <w14:solidFill>
              <w14:schemeClr w14:val="tx1"/>
            </w14:solidFill>
          </w14:textFill>
        </w:rPr>
        <w:t>1.43亿m³</w:t>
      </w:r>
      <w:r>
        <w:rPr>
          <w:color w:val="000000" w:themeColor="text1"/>
          <w:szCs w:val="28"/>
          <w14:textFill>
            <w14:solidFill>
              <w14:schemeClr w14:val="tx1"/>
            </w14:solidFill>
          </w14:textFill>
        </w:rPr>
        <w:t>增加到2.61亿</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，在最严格水资源用水指标控制范围内；万元工业增加值用水量35</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降低到10</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管网漏失率从12.0%下降到8.0%，农业灌溉水利用系数0.491提高到0.63，饮用水水源地达标率100%，水功能区水质达标率100%，确保城乡居民饮用水源安全，污染物入河总量控制在纳污能力范围内，河库富营养化程度明显好转，建成环境友好型资源节约型社会。</w:t>
      </w:r>
    </w:p>
    <w:p>
      <w:pPr>
        <w:pStyle w:val="113"/>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rFonts w:ascii="Times New Roman" w:hAnsi="Times New Roman" w:eastAsia="仿宋_GB2312" w:cs="Times New Roman"/>
          <w:color w:val="000000" w:themeColor="text1"/>
          <w:sz w:val="28"/>
          <w:szCs w:val="28"/>
          <w:lang w:val="en-US" w:eastAsia="zh-CN"/>
          <w14:textFill>
            <w14:solidFill>
              <w14:schemeClr w14:val="tx1"/>
            </w14:solidFill>
          </w14:textFill>
        </w:rPr>
      </w:pPr>
      <w:r>
        <w:rPr>
          <w:rFonts w:ascii="Times New Roman" w:hAnsi="Times New Roman" w:eastAsia="仿宋_GB2312" w:cs="Times New Roman"/>
          <w:color w:val="000000" w:themeColor="text1"/>
          <w:sz w:val="28"/>
          <w:szCs w:val="28"/>
          <w:lang w:val="en-US" w:eastAsia="zh-CN"/>
          <w14:textFill>
            <w14:solidFill>
              <w14:schemeClr w14:val="tx1"/>
            </w14:solidFill>
          </w14:textFill>
        </w:rPr>
        <w:t>9、规划的安云水库、车家河水库是解决通川区工程性缺水的重要控制性骨干工程，以上两座工程是直接关系农民切身利益，保障城镇供水安全的民生工程，建议相关部门密切配合，尽早推动该工程实施；</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双龙河、魏家河水生态治理工程主要解决通川区城市发展区的水生态环境问题，为双龙河2025年、2035年年平均生态补水量分别为597万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与1381万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，为魏家河2025年、2035年年平均生态补水量分别为313万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与650万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color w:val="000000" w:themeColor="text1"/>
          <w:sz w:val="28"/>
          <w:szCs w:val="28"/>
          <w:lang w:val="en-US" w:eastAsia="zh-CN"/>
          <w14:textFill>
            <w14:solidFill>
              <w14:schemeClr w14:val="tx1"/>
            </w14:solidFill>
          </w14:textFill>
        </w:rPr>
        <w:t>达州市第二水源</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长滩湖</w:t>
      </w:r>
      <w:r>
        <w:rPr>
          <w:rFonts w:ascii="Times New Roman" w:hAnsi="Times New Roman" w:eastAsia="仿宋_GB2312" w:cs="Times New Roman"/>
          <w:color w:val="000000" w:themeColor="text1"/>
          <w:sz w:val="28"/>
          <w:szCs w:val="28"/>
          <w:lang w:val="en-US" w:eastAsia="zh-CN"/>
          <w14:textFill>
            <w14:solidFill>
              <w14:schemeClr w14:val="tx1"/>
            </w14:solidFill>
          </w14:textFill>
        </w:rPr>
        <w:t>水库为达州市城区和宣汉县提供生产生活用水，同时兼顾灌溉、旅游景观及生态用水</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w:t>
      </w:r>
      <w:r>
        <w:rPr>
          <w:rFonts w:ascii="Times New Roman" w:hAnsi="Times New Roman" w:eastAsia="仿宋_GB2312" w:cs="Times New Roman"/>
          <w:color w:val="000000" w:themeColor="text1"/>
          <w:sz w:val="28"/>
          <w:szCs w:val="28"/>
          <w:lang w:val="en-US" w:eastAsia="zh-CN"/>
          <w14:textFill>
            <w14:solidFill>
              <w14:schemeClr w14:val="tx1"/>
            </w14:solidFill>
          </w14:textFill>
        </w:rPr>
        <w:t>可为通川区区及双龙河区北部片提供5000万</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color w:val="000000" w:themeColor="text1"/>
          <w:sz w:val="28"/>
          <w:szCs w:val="28"/>
          <w:lang w:val="en-US" w:eastAsia="zh-CN"/>
          <w14:textFill>
            <w14:solidFill>
              <w14:schemeClr w14:val="tx1"/>
            </w14:solidFill>
          </w14:textFill>
        </w:rPr>
        <w:t>的生产生活供水，并为河道提供生态补水水量。水库建设对解决通川区水资源配置矛盾有重要作用，建议相关部门密切配合，尽快开展前期工作。</w:t>
      </w:r>
    </w:p>
    <w:p>
      <w:pPr>
        <w:keepNext w:val="0"/>
        <w:keepLines w:val="0"/>
        <w:pageBreakBefore w:val="0"/>
        <w:widowControl w:val="0"/>
        <w:kinsoku/>
        <w:wordWrap/>
        <w:overflowPunct/>
        <w:topLinePunct w:val="0"/>
        <w:autoSpaceDE/>
        <w:autoSpaceDN/>
        <w:bidi w:val="0"/>
        <w:adjustRightInd w:val="0"/>
        <w:snapToGrid w:val="0"/>
        <w:spacing w:line="520" w:lineRule="exact"/>
        <w:ind w:firstLine="560"/>
        <w:textAlignment w:val="auto"/>
        <w:rPr>
          <w:iCs/>
          <w:color w:val="000000" w:themeColor="text1"/>
          <w:szCs w:val="28"/>
          <w14:textFill>
            <w14:solidFill>
              <w14:schemeClr w14:val="tx1"/>
            </w14:solidFill>
          </w14:textFill>
        </w:rPr>
      </w:pPr>
      <w:r>
        <w:rPr>
          <w:color w:val="000000" w:themeColor="text1"/>
          <w:szCs w:val="28"/>
          <w14:textFill>
            <w14:solidFill>
              <w14:schemeClr w14:val="tx1"/>
            </w14:solidFill>
          </w14:textFill>
        </w:rPr>
        <w:t>在本次规划编制工作中，得到了通川区水务局等单位的大力配合与支持，在此，谨致以衷心的感谢！</w:t>
      </w:r>
    </w:p>
    <w:p>
      <w:pPr>
        <w:pStyle w:val="2"/>
        <w:ind w:firstLine="560"/>
        <w:rPr>
          <w:color w:val="000000" w:themeColor="text1"/>
          <w14:textFill>
            <w14:solidFill>
              <w14:schemeClr w14:val="tx1"/>
            </w14:solidFill>
          </w14:textFill>
        </w:rPr>
        <w:sectPr>
          <w:footerReference r:id="rId12" w:type="default"/>
          <w:pgSz w:w="11906" w:h="16838"/>
          <w:pgMar w:top="1440" w:right="1531" w:bottom="1440" w:left="1531" w:header="851" w:footer="992" w:gutter="0"/>
          <w:pgNumType w:fmt="lowerRoman" w:start="1"/>
          <w:cols w:space="720" w:num="1"/>
          <w:docGrid w:linePitch="312" w:charSpace="0"/>
        </w:sectPr>
      </w:pPr>
    </w:p>
    <w:p>
      <w:pPr>
        <w:ind w:firstLine="0" w:firstLineChars="0"/>
        <w:jc w:val="center"/>
        <w:rPr>
          <w:rFonts w:eastAsia="华文新魏"/>
          <w:color w:val="000000" w:themeColor="text1"/>
          <w:sz w:val="44"/>
          <w:szCs w:val="44"/>
          <w14:textFill>
            <w14:solidFill>
              <w14:schemeClr w14:val="tx1"/>
            </w14:solidFill>
          </w14:textFill>
        </w:rPr>
      </w:pPr>
      <w:r>
        <w:rPr>
          <w:rFonts w:eastAsia="华文新魏"/>
          <w:color w:val="000000" w:themeColor="text1"/>
          <w:sz w:val="44"/>
          <w:szCs w:val="44"/>
          <w14:textFill>
            <w14:solidFill>
              <w14:schemeClr w14:val="tx1"/>
            </w14:solidFill>
          </w14:textFill>
        </w:rPr>
        <w:t>目  录</w:t>
      </w:r>
    </w:p>
    <w:sdt>
      <w:sdtPr>
        <w:rPr>
          <w:rFonts w:ascii="宋体" w:hAnsi="宋体" w:eastAsia="宋体"/>
          <w:color w:val="000000" w:themeColor="text1"/>
          <w:sz w:val="21"/>
          <w14:textFill>
            <w14:solidFill>
              <w14:schemeClr w14:val="tx1"/>
            </w14:solidFill>
          </w14:textFill>
        </w:rPr>
        <w:id w:val="147454743"/>
        <w:docPartObj>
          <w:docPartGallery w:val="Table of Contents"/>
          <w:docPartUnique/>
        </w:docPartObj>
      </w:sdtPr>
      <w:sdtEndPr>
        <w:rPr>
          <w:rFonts w:ascii="Times New Roman" w:hAnsi="Times New Roman" w:eastAsia="华文新魏"/>
          <w:color w:val="000000" w:themeColor="text1"/>
          <w:sz w:val="28"/>
          <w:szCs w:val="44"/>
          <w14:textFill>
            <w14:solidFill>
              <w14:schemeClr w14:val="tx1"/>
            </w14:solidFill>
          </w14:textFill>
        </w:rPr>
      </w:sdtEndPr>
      <w:sdtContent>
        <w:p>
          <w:pPr>
            <w:pStyle w:val="2"/>
            <w:spacing w:after="0" w:line="240" w:lineRule="auto"/>
            <w:ind w:firstLine="0" w:firstLineChars="0"/>
            <w:jc w:val="center"/>
            <w:rPr>
              <w:rFonts w:eastAsia="华文新魏"/>
              <w:color w:val="000000" w:themeColor="text1"/>
              <w:szCs w:val="44"/>
              <w14:textFill>
                <w14:solidFill>
                  <w14:schemeClr w14:val="tx1"/>
                </w14:solidFill>
              </w14:textFill>
            </w:rPr>
          </w:pPr>
          <w:r>
            <w:rPr>
              <w:rFonts w:eastAsia="华文新魏"/>
              <w:color w:val="000000" w:themeColor="text1"/>
              <w:sz w:val="44"/>
              <w:szCs w:val="44"/>
              <w14:textFill>
                <w14:solidFill>
                  <w14:schemeClr w14:val="tx1"/>
                </w14:solidFill>
              </w14:textFill>
            </w:rPr>
            <w:fldChar w:fldCharType="begin"/>
          </w:r>
          <w:r>
            <w:rPr>
              <w:rFonts w:eastAsia="华文新魏"/>
              <w:color w:val="000000" w:themeColor="text1"/>
              <w:sz w:val="44"/>
              <w:szCs w:val="44"/>
              <w14:textFill>
                <w14:solidFill>
                  <w14:schemeClr w14:val="tx1"/>
                </w14:solidFill>
              </w14:textFill>
            </w:rPr>
            <w:instrText xml:space="preserve">TOC \o "1-3" \h \u </w:instrText>
          </w:r>
          <w:r>
            <w:rPr>
              <w:rFonts w:eastAsia="华文新魏"/>
              <w:color w:val="000000" w:themeColor="text1"/>
              <w:sz w:val="44"/>
              <w:szCs w:val="44"/>
              <w14:textFill>
                <w14:solidFill>
                  <w14:schemeClr w14:val="tx1"/>
                </w14:solidFill>
              </w14:textFill>
            </w:rPr>
            <w:fldChar w:fldCharType="separate"/>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  总体规划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"_Toc15495"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  区域概况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_Toc15495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"_Toc25166"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1.1.1  自然地理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_Toc25166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"_Toc17047"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1.1.2  社会经济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1.1.3  地形地质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"_Toc32507"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  规划指导思想、基本原则、主要依据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"_Toc8147"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1.2.1  规划的指导思想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_Toc8147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"_Toc22941"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1.2.2  规划的基本原则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"_Toc32761"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  规划的主要依据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"_Toc22444"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  规划目标水平年及规划任务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"_Toc24177"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1.3.1  规划总体目标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"_Toc5623"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  规划范围、水平年和设计保证率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"_Toc27544"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  规划的主要任务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_Toc27544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"_Toc5898"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  水文水资源调查评价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"_Toc27875"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  水资源量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2.1.1  水资源分析与计算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"_Toc5950"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2.1.2  当地水资源量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_Toc5950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"_Toc10756"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2.1.3  当地水资源量可利用量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_Toc10756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"_Toc18800"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  水资源质量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"_Toc12134"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2.2.1  废污水排放量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2.2.2  河流水质概况评价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"_Toc25896"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2.2.3  水库水质概况评价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"_Toc20603"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  水资源评价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  水资源利用现状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"_Toc9718"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  水源工程建设现状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  现状供用水量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"_Toc14677"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3.2.1  现状供用水量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"_Toc30538"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3.2.2  现状可供水量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"_Toc32416"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  现状需水量及开发利用情况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"_Toc4587"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3.3.1  现状需水量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_Toc4587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"_Toc21845"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3.3.2  开发利用情况分析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  现状供需平衡分析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"_Toc23982"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  区域水资源开发利用的存在的问题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_Toc23982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"_Toc27795"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3.5.1  当地水资源总量少，水资源分布不均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3.5.2  抗御干旱能力弱，洪涝灾害严重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_Toc17707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"_Toc25342"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3.5.3  现有工程调蓄能力不足，水资源配置体系不完善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"_Toc11365"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3.5.4  水资源环境逐渐改善，但节约保护、监督管理亟待加强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"_Toc23167"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  水资源一次供需平衡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_Toc23167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"_Toc6257"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  国民经济发展预测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"_Toc4171"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4.1.1  区域人口及牲畜发展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4.1.2  二、三产业发展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_Toc13403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"_Toc833"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4.1.3  灌溉面积发展规划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4.1.4  城镇公共绿地和环卫面积发展预测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"_Toc24910"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  节水评价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"_Toc27622"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4.2.1  现状用水水平分析与节水潜力分析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_Toc27622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"_Toc24867"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4.2.2  节水目标与指标评价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_Toc24867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"_Toc22417"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4.2.3  节水措施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"_Toc29255"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  需水预测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_Toc29255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"_Toc26324" </w:instrText>
          </w:r>
          <w:r>
            <w:rPr>
              <w:color w:val="000000" w:themeColor="text1"/>
              <w14:textFill>
                <w14:solidFill>
                  <w14:schemeClr w14:val="tx1"/>
                </w14:solidFill>
              </w14:textFill>
            </w:rPr>
            <w:fldChar w:fldCharType="separate"/>
          </w:r>
          <w:r>
            <w:rPr>
              <w:color w:val="000000" w:themeColor="text1"/>
              <w:szCs w:val="28"/>
              <w14:textFill>
                <w14:solidFill>
                  <w14:schemeClr w14:val="tx1"/>
                </w14:solidFill>
              </w14:textFill>
            </w:rPr>
            <w:t>4.3.1  用水定额预测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"_Toc16142" </w:instrText>
          </w:r>
          <w:r>
            <w:rPr>
              <w:color w:val="000000" w:themeColor="text1"/>
              <w14:textFill>
                <w14:solidFill>
                  <w14:schemeClr w14:val="tx1"/>
                </w14:solidFill>
              </w14:textFill>
            </w:rPr>
            <w:fldChar w:fldCharType="separate"/>
          </w:r>
          <w:r>
            <w:rPr>
              <w:color w:val="000000" w:themeColor="text1"/>
              <w:szCs w:val="28"/>
              <w14:textFill>
                <w14:solidFill>
                  <w14:schemeClr w14:val="tx1"/>
                </w14:solidFill>
              </w14:textFill>
            </w:rPr>
            <w:t>4.3.2  基准年需水和规划年需水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"_Toc18674" </w:instrText>
          </w:r>
          <w:r>
            <w:rPr>
              <w:color w:val="000000" w:themeColor="text1"/>
              <w14:textFill>
                <w14:solidFill>
                  <w14:schemeClr w14:val="tx1"/>
                </w14:solidFill>
              </w14:textFill>
            </w:rPr>
            <w:fldChar w:fldCharType="separate"/>
          </w:r>
          <w:r>
            <w:rPr>
              <w:color w:val="000000" w:themeColor="text1"/>
              <w:szCs w:val="28"/>
              <w14:textFill>
                <w14:solidFill>
                  <w14:schemeClr w14:val="tx1"/>
                </w14:solidFill>
              </w14:textFill>
            </w:rPr>
            <w:t>4.3.3  与用水总量控制指标相符性分析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"_Toc5887" </w:instrText>
          </w:r>
          <w:r>
            <w:rPr>
              <w:color w:val="000000" w:themeColor="text1"/>
              <w14:textFill>
                <w14:solidFill>
                  <w14:schemeClr w14:val="tx1"/>
                </w14:solidFill>
              </w14:textFill>
            </w:rPr>
            <w:fldChar w:fldCharType="separate"/>
          </w:r>
          <w:r>
            <w:rPr>
              <w:color w:val="000000" w:themeColor="text1"/>
              <w:szCs w:val="28"/>
              <w14:textFill>
                <w14:solidFill>
                  <w14:schemeClr w14:val="tx1"/>
                </w14:solidFill>
              </w14:textFill>
            </w:rPr>
            <w:t>4.3.4  经济社会需水变化情况分析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  水资源一次供需平衡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"_Toc19882"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4.4.1  原则、方法及计算参数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"_Toc4027"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4.4.2  结论及分析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"_Toc14599"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  缺水原因分析及解决途径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_Toc14599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4.5.1  缺水分析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"_Toc5063"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4.5.2  解决缺水的途径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"_Toc32401"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  工程布局及二次平衡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"_Toc27460"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  水源配置原则、思路及方针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_Toc27460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"_Toc12710"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5.1.1  配置原则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_Toc12710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"_Toc15868"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5.1.2  配置思路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_Toc15868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"_Toc11195"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5.1.3  总体方针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_Toc11195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"_Toc22188"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  水利工程布局方案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_Toc22188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"_Toc13310"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5.2.1  跨行政区引调水工程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_Toc13310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"_Toc4493"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5.2.2  当地骨干中型水库建设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_Toc4493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"_Toc10363"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5.2.3  小型水库建设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_Toc10363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"_Toc25674"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5.2.4  灌区节水改造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_Toc25674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"_Toc16581"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5.2.5  小微型水利工程建设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_Toc16581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5.2.6   地下水工程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"_Toc17055"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  规划年可供水量预测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"_Toc18568"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  水资源二次供需平衡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"_Toc8530"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  水资源配置方案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"_Toc19798"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5.5.1  区域配置方案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_Toc19798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5.5.2  供水水源配置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"_Toc21421"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lang w:eastAsia="en-US"/>
              <w14:textFill>
                <w14:solidFill>
                  <w14:schemeClr w14:val="tx1"/>
                </w14:solidFill>
              </w14:textFill>
            </w:rPr>
            <w:t>.</w:t>
          </w:r>
          <w:r>
            <w:rPr>
              <w:color w:val="000000" w:themeColor="text1"/>
              <w14:textFill>
                <w14:solidFill>
                  <w14:schemeClr w14:val="tx1"/>
                </w14:solidFill>
              </w14:textFill>
            </w:rPr>
            <w:t>5</w:t>
          </w:r>
          <w:r>
            <w:rPr>
              <w:color w:val="000000" w:themeColor="text1"/>
              <w:lang w:eastAsia="en-US"/>
              <w14:textFill>
                <w14:solidFill>
                  <w14:schemeClr w14:val="tx1"/>
                </w14:solidFill>
              </w14:textFill>
            </w:rPr>
            <w:t>.3</w:t>
          </w:r>
          <w:r>
            <w:rPr>
              <w:color w:val="000000" w:themeColor="text1"/>
              <w14:textFill>
                <w14:solidFill>
                  <w14:schemeClr w14:val="tx1"/>
                </w14:solidFill>
              </w14:textFill>
            </w:rPr>
            <w:t xml:space="preserve">  不同行业水量配置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_Toc21421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"_Toc22622"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5.5.4  区域重点地区供水解决方案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"_Toc17150"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5.5.5  水资源配置评价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"_Toc26169"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  水土保持及环境影响评价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"_Toc11173"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  水土保持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_Toc11173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"_Toc1208"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6.1.1  水土流失现状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"_Toc6507"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6.1.2  工程建设可能造成的水土流失影响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_Toc6507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"_Toc26556"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6.1.3  水土流失防治方案规划布局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"_Toc21249"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6.1.4  水土流失防治措施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_Toc21249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"_Toc23611"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6.1.5  水土保持投资估算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_Toc23611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"_Toc13921"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  环境影响评价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"_Toc417"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6.2.1  工程地区环境现状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"_Toc8510"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6.2.2  规划环境目标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"_Toc21246"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6.2.3  环境影响初步分析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_Toc21246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"_Toc3560"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6.2.4  环境保护投资预估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"_Toc9950"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  重点水源工程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"_Toc4170"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  安云水库简介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"_Toc17098"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7.1.1  工程建设必要性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"_Toc31730"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7.1.2  工程建设条件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"_Toc18352"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7.1.3  工程规模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"_Toc9937"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7.1.4  工程总布置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"_Toc24895"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7.1.5  水库淹没及工程占地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_Toc24895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"_Toc2792"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7.1.6  投资及效益分析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"_Toc27267"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  车家河水库简介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_Toc27267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7.2.1  工程建设必要性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"_Toc1918"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7.2.2  工程建设条件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"_Toc12677"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7.2.3  工程规模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_Toc12677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"_Toc26843"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7.2.4  工程总布置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_Toc26843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"_Toc13126"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7.2.5 水库淹没及工程占地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"_Toc4277"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7.2.6  投资及效益分析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"_Toc22664"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  双龙河、魏家河水生态治理工程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"_Toc24091"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  投资匡算及效益分析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"_Toc32232"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  工程投资匡算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_Toc32232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"_Toc30178"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8.1.1  编制原则及依据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"_Toc3332"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8.1.2  基础资料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"_Toc31450"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8.1.3  工程投资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"_Toc18004"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  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"_Toc22755"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8.2.1  灌溉效益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"_Toc26229"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8.2.2  供水效益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"_Toc16756"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8.2.3  社会效益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"_Toc27398" </w:instrText>
          </w:r>
          <w:r>
            <w:rPr>
              <w:color w:val="000000" w:themeColor="text1"/>
              <w14:textFill>
                <w14:solidFill>
                  <w14:schemeClr w14:val="tx1"/>
                </w14:solidFill>
              </w14:textFill>
            </w:rPr>
            <w:fldChar w:fldCharType="separate"/>
          </w:r>
          <w:r>
            <w:rPr>
              <w:bCs/>
              <w:color w:val="000000" w:themeColor="text1"/>
              <w:szCs w:val="32"/>
              <w14:textFill>
                <w14:solidFill>
                  <w14:schemeClr w14:val="tx1"/>
                </w14:solidFill>
              </w14:textFill>
            </w:rPr>
            <w:t>8.2.4 生态效益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  工程分期及近期实施意见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"_Toc6994"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  工程分期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_Toc6994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"_Toc6223"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9.1.1  分期原则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844"/>
            </w:tabs>
            <w:spacing w:line="240" w:lineRule="auto"/>
            <w:ind w:left="112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"_Toc23383"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9.1.2  工程分期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_Toc23383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"_Toc32310"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  一期重点工程实施意见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"_Toc17382"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  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7"/>
            <w:tabs>
              <w:tab w:val="right" w:leader="dot" w:pos="8844"/>
            </w:tabs>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"_Toc20835"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  保障措施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_Toc20835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"_Toc4340"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  健全法制，强化依法管水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"_Toc20247"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  改革体制，强化综合管理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  加大投入，拓宽融资渠道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"_Toc19193"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  科学管水，加强能力建设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tabs>
              <w:tab w:val="right" w:leader="dot" w:pos="8844"/>
            </w:tabs>
            <w:spacing w:line="240" w:lineRule="auto"/>
            <w:ind w:left="560"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"_Toc15759"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  加强领导，落实职责分工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line="240" w:lineRule="auto"/>
            <w:ind w:firstLine="0" w:firstLineChars="0"/>
            <w:jc w:val="center"/>
            <w:rPr>
              <w:rFonts w:eastAsia="华文新魏"/>
              <w:color w:val="000000" w:themeColor="text1"/>
              <w:sz w:val="44"/>
              <w:szCs w:val="44"/>
              <w14:textFill>
                <w14:solidFill>
                  <w14:schemeClr w14:val="tx1"/>
                </w14:solidFill>
              </w14:textFill>
            </w:rPr>
          </w:pPr>
          <w:r>
            <w:rPr>
              <w:rFonts w:eastAsia="华文新魏"/>
              <w:color w:val="000000" w:themeColor="text1"/>
              <w:szCs w:val="44"/>
              <w14:textFill>
                <w14:solidFill>
                  <w14:schemeClr w14:val="tx1"/>
                </w14:solidFill>
              </w14:textFill>
            </w:rPr>
            <w:fldChar w:fldCharType="end"/>
          </w:r>
        </w:p>
      </w:sdtContent>
    </w:sdt>
    <w:p>
      <w:pPr>
        <w:pStyle w:val="2"/>
        <w:ind w:firstLine="880"/>
        <w:rPr>
          <w:rFonts w:eastAsia="华文新魏"/>
          <w:color w:val="000000" w:themeColor="text1"/>
          <w:sz w:val="44"/>
          <w:szCs w:val="44"/>
          <w14:textFill>
            <w14:solidFill>
              <w14:schemeClr w14:val="tx1"/>
            </w14:solidFill>
          </w14:textFill>
        </w:rPr>
      </w:pPr>
    </w:p>
    <w:p>
      <w:pPr>
        <w:widowControl/>
        <w:adjustRightInd/>
        <w:snapToGrid/>
        <w:spacing w:line="240" w:lineRule="auto"/>
        <w:ind w:firstLine="0" w:firstLineChars="0"/>
        <w:jc w:val="left"/>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pPr>
        <w:spacing w:line="520" w:lineRule="exact"/>
        <w:ind w:firstLine="0" w:firstLineChars="0"/>
        <w:rPr>
          <w:b/>
          <w:bCs/>
          <w:color w:val="000000" w:themeColor="text1"/>
          <w14:textFill>
            <w14:solidFill>
              <w14:schemeClr w14:val="tx1"/>
            </w14:solidFill>
          </w14:textFill>
        </w:rPr>
      </w:pPr>
      <w:bookmarkStart w:id="7" w:name="_Toc16050"/>
      <w:r>
        <w:rPr>
          <w:b/>
          <w:bCs/>
          <w:color w:val="000000" w:themeColor="text1"/>
          <w14:textFill>
            <w14:solidFill>
              <w14:schemeClr w14:val="tx1"/>
            </w14:solidFill>
          </w14:textFill>
        </w:rPr>
        <w:t>附图：</w:t>
      </w:r>
      <w:bookmarkEnd w:id="7"/>
    </w:p>
    <w:p>
      <w:pPr>
        <w:spacing w:line="520" w:lineRule="exact"/>
        <w:ind w:firstLine="560"/>
        <w:rPr>
          <w:color w:val="000000" w:themeColor="text1"/>
          <w14:textFill>
            <w14:solidFill>
              <w14:schemeClr w14:val="tx1"/>
            </w14:solidFill>
          </w14:textFill>
        </w:rPr>
      </w:pPr>
      <w:bookmarkStart w:id="8" w:name="_Toc3276"/>
      <w:r>
        <w:rPr>
          <w:color w:val="000000" w:themeColor="text1"/>
          <w14:textFill>
            <w14:solidFill>
              <w14:schemeClr w14:val="tx1"/>
            </w14:solidFill>
          </w14:textFill>
        </w:rPr>
        <w:t>附图1 通川区行政区划图</w:t>
      </w:r>
      <w:bookmarkEnd w:id="8"/>
    </w:p>
    <w:p>
      <w:pPr>
        <w:spacing w:line="520" w:lineRule="exact"/>
        <w:ind w:firstLine="560"/>
        <w:rPr>
          <w:color w:val="000000" w:themeColor="text1"/>
          <w14:textFill>
            <w14:solidFill>
              <w14:schemeClr w14:val="tx1"/>
            </w14:solidFill>
          </w14:textFill>
        </w:rPr>
      </w:pPr>
      <w:bookmarkStart w:id="9" w:name="_Toc19646"/>
      <w:r>
        <w:rPr>
          <w:color w:val="000000" w:themeColor="text1"/>
          <w14:textFill>
            <w14:solidFill>
              <w14:schemeClr w14:val="tx1"/>
            </w14:solidFill>
          </w14:textFill>
        </w:rPr>
        <w:t>附图2 通川区水系图</w:t>
      </w:r>
      <w:bookmarkEnd w:id="9"/>
    </w:p>
    <w:p>
      <w:pPr>
        <w:spacing w:line="520" w:lineRule="exact"/>
        <w:ind w:firstLine="560"/>
        <w:rPr>
          <w:color w:val="000000" w:themeColor="text1"/>
          <w14:textFill>
            <w14:solidFill>
              <w14:schemeClr w14:val="tx1"/>
            </w14:solidFill>
          </w14:textFill>
        </w:rPr>
      </w:pPr>
      <w:bookmarkStart w:id="10" w:name="_Toc15698"/>
      <w:r>
        <w:rPr>
          <w:color w:val="000000" w:themeColor="text1"/>
          <w14:textFill>
            <w14:solidFill>
              <w14:schemeClr w14:val="tx1"/>
            </w14:solidFill>
          </w14:textFill>
        </w:rPr>
        <w:t>附图3 通川区及邻近流域水系及水文站网分布图</w:t>
      </w:r>
      <w:bookmarkEnd w:id="10"/>
    </w:p>
    <w:p>
      <w:pPr>
        <w:spacing w:line="520" w:lineRule="exact"/>
        <w:ind w:firstLine="560"/>
        <w:rPr>
          <w:color w:val="000000" w:themeColor="text1"/>
          <w14:textFill>
            <w14:solidFill>
              <w14:schemeClr w14:val="tx1"/>
            </w14:solidFill>
          </w14:textFill>
        </w:rPr>
      </w:pPr>
      <w:bookmarkStart w:id="11" w:name="_Toc3273"/>
      <w:r>
        <w:rPr>
          <w:color w:val="000000" w:themeColor="text1"/>
          <w14:textFill>
            <w14:solidFill>
              <w14:schemeClr w14:val="tx1"/>
            </w14:solidFill>
          </w14:textFill>
        </w:rPr>
        <w:t>附图4 通川区水资源分区示意图</w:t>
      </w:r>
      <w:bookmarkEnd w:id="11"/>
    </w:p>
    <w:p>
      <w:pPr>
        <w:spacing w:line="520" w:lineRule="exact"/>
        <w:ind w:firstLine="560"/>
        <w:rPr>
          <w:color w:val="000000" w:themeColor="text1"/>
          <w14:textFill>
            <w14:solidFill>
              <w14:schemeClr w14:val="tx1"/>
            </w14:solidFill>
          </w14:textFill>
        </w:rPr>
      </w:pPr>
      <w:bookmarkStart w:id="12" w:name="_Toc25470"/>
      <w:r>
        <w:rPr>
          <w:color w:val="000000" w:themeColor="text1"/>
          <w14:textFill>
            <w14:solidFill>
              <w14:schemeClr w14:val="tx1"/>
            </w14:solidFill>
          </w14:textFill>
        </w:rPr>
        <w:t>附图5 通川区多年平均降雨等值线图</w:t>
      </w:r>
      <w:bookmarkEnd w:id="12"/>
    </w:p>
    <w:p>
      <w:pPr>
        <w:spacing w:line="520" w:lineRule="exact"/>
        <w:ind w:firstLine="560"/>
        <w:rPr>
          <w:color w:val="000000" w:themeColor="text1"/>
          <w14:textFill>
            <w14:solidFill>
              <w14:schemeClr w14:val="tx1"/>
            </w14:solidFill>
          </w14:textFill>
        </w:rPr>
      </w:pPr>
      <w:bookmarkStart w:id="13" w:name="_Toc22021"/>
      <w:r>
        <w:rPr>
          <w:color w:val="000000" w:themeColor="text1"/>
          <w14:textFill>
            <w14:solidFill>
              <w14:schemeClr w14:val="tx1"/>
            </w14:solidFill>
          </w14:textFill>
        </w:rPr>
        <w:t>附图6 通川区多年平均径流深等值线图</w:t>
      </w:r>
      <w:bookmarkEnd w:id="13"/>
    </w:p>
    <w:p>
      <w:pPr>
        <w:spacing w:line="520" w:lineRule="exact"/>
        <w:ind w:firstLine="560"/>
        <w:rPr>
          <w:color w:val="000000" w:themeColor="text1"/>
          <w14:textFill>
            <w14:solidFill>
              <w14:schemeClr w14:val="tx1"/>
            </w14:solidFill>
          </w14:textFill>
        </w:rPr>
      </w:pPr>
      <w:bookmarkStart w:id="14" w:name="_Toc18277"/>
      <w:r>
        <w:rPr>
          <w:color w:val="000000" w:themeColor="text1"/>
          <w14:textFill>
            <w14:solidFill>
              <w14:schemeClr w14:val="tx1"/>
            </w14:solidFill>
          </w14:textFill>
        </w:rPr>
        <w:t>附图7 通川区水利工程分布图</w:t>
      </w:r>
      <w:bookmarkEnd w:id="14"/>
    </w:p>
    <w:p>
      <w:pPr>
        <w:spacing w:line="520" w:lineRule="exact"/>
        <w:ind w:firstLine="560"/>
        <w:rPr>
          <w:color w:val="000000" w:themeColor="text1"/>
          <w14:textFill>
            <w14:solidFill>
              <w14:schemeClr w14:val="tx1"/>
            </w14:solidFill>
          </w14:textFill>
        </w:rPr>
      </w:pPr>
      <w:bookmarkStart w:id="15" w:name="_Toc26325"/>
      <w:r>
        <w:rPr>
          <w:color w:val="000000" w:themeColor="text1"/>
          <w14:textFill>
            <w14:solidFill>
              <w14:schemeClr w14:val="tx1"/>
            </w14:solidFill>
          </w14:textFill>
        </w:rPr>
        <w:t>附图8 通川区水资源开发总体布置图</w:t>
      </w:r>
      <w:bookmarkEnd w:id="15"/>
    </w:p>
    <w:p>
      <w:pPr>
        <w:spacing w:line="520" w:lineRule="exact"/>
        <w:ind w:firstLine="560"/>
        <w:rPr>
          <w:color w:val="000000" w:themeColor="text1"/>
          <w14:textFill>
            <w14:solidFill>
              <w14:schemeClr w14:val="tx1"/>
            </w14:solidFill>
          </w14:textFill>
        </w:rPr>
      </w:pPr>
      <w:bookmarkStart w:id="16" w:name="_Toc5818"/>
      <w:r>
        <w:rPr>
          <w:color w:val="000000" w:themeColor="text1"/>
          <w14:textFill>
            <w14:solidFill>
              <w14:schemeClr w14:val="tx1"/>
            </w14:solidFill>
          </w14:textFill>
        </w:rPr>
        <w:t>附图9 通川区生态环境需水控制断面分布图</w:t>
      </w:r>
      <w:bookmarkEnd w:id="16"/>
    </w:p>
    <w:p>
      <w:pPr>
        <w:spacing w:line="520" w:lineRule="exact"/>
        <w:ind w:firstLine="560"/>
        <w:rPr>
          <w:color w:val="000000" w:themeColor="text1"/>
          <w14:textFill>
            <w14:solidFill>
              <w14:schemeClr w14:val="tx1"/>
            </w14:solidFill>
          </w14:textFill>
        </w:rPr>
      </w:pPr>
      <w:bookmarkStart w:id="17" w:name="_Toc14746"/>
      <w:r>
        <w:rPr>
          <w:color w:val="000000" w:themeColor="text1"/>
          <w14:textFill>
            <w14:solidFill>
              <w14:schemeClr w14:val="tx1"/>
            </w14:solidFill>
          </w14:textFill>
        </w:rPr>
        <w:t>附图10 通川区安云水库坝址方案示意图</w:t>
      </w:r>
      <w:bookmarkEnd w:id="17"/>
    </w:p>
    <w:p>
      <w:pPr>
        <w:spacing w:line="520" w:lineRule="exact"/>
        <w:ind w:firstLine="560"/>
        <w:rPr>
          <w:color w:val="000000" w:themeColor="text1"/>
          <w14:textFill>
            <w14:solidFill>
              <w14:schemeClr w14:val="tx1"/>
            </w14:solidFill>
          </w14:textFill>
        </w:rPr>
      </w:pPr>
      <w:bookmarkStart w:id="18" w:name="_Toc25021"/>
      <w:r>
        <w:rPr>
          <w:color w:val="000000" w:themeColor="text1"/>
          <w14:textFill>
            <w14:solidFill>
              <w14:schemeClr w14:val="tx1"/>
            </w14:solidFill>
          </w14:textFill>
        </w:rPr>
        <w:t>附图11 通川区车家河水库坝址方案示意图</w:t>
      </w:r>
      <w:bookmarkEnd w:id="18"/>
    </w:p>
    <w:p>
      <w:pPr>
        <w:ind w:firstLine="560"/>
        <w:rPr>
          <w:color w:val="000000" w:themeColor="text1"/>
          <w14:textFill>
            <w14:solidFill>
              <w14:schemeClr w14:val="tx1"/>
            </w14:solidFill>
          </w14:textFill>
        </w:rPr>
      </w:pPr>
    </w:p>
    <w:p>
      <w:pPr>
        <w:ind w:firstLine="560"/>
        <w:rPr>
          <w:color w:val="000000" w:themeColor="text1"/>
          <w14:textFill>
            <w14:solidFill>
              <w14:schemeClr w14:val="tx1"/>
            </w14:solidFill>
          </w14:textFill>
        </w:rPr>
        <w:sectPr>
          <w:footerReference r:id="rId13" w:type="default"/>
          <w:pgSz w:w="11906" w:h="16838"/>
          <w:pgMar w:top="1440" w:right="1531" w:bottom="1440" w:left="1531" w:header="851" w:footer="992" w:gutter="0"/>
          <w:pgNumType w:fmt="upperRoman" w:start="1"/>
          <w:cols w:space="720" w:num="1"/>
          <w:docGrid w:linePitch="312" w:charSpace="0"/>
        </w:sectPr>
      </w:pPr>
    </w:p>
    <w:p>
      <w:pPr>
        <w:pStyle w:val="3"/>
        <w:rPr>
          <w:color w:val="000000" w:themeColor="text1"/>
          <w14:textFill>
            <w14:solidFill>
              <w14:schemeClr w14:val="tx1"/>
            </w14:solidFill>
          </w14:textFill>
        </w:rPr>
      </w:pPr>
      <w:bookmarkStart w:id="19" w:name="_Toc27345"/>
      <w:bookmarkStart w:id="20" w:name="_Toc121"/>
      <w:bookmarkStart w:id="21" w:name="_Toc836"/>
      <w:bookmarkStart w:id="22" w:name="_Toc24082"/>
      <w:bookmarkStart w:id="23" w:name="_Toc7007"/>
      <w:r>
        <w:rPr>
          <w:color w:val="000000" w:themeColor="text1"/>
          <w14:textFill>
            <w14:solidFill>
              <w14:schemeClr w14:val="tx1"/>
            </w14:solidFill>
          </w14:textFill>
        </w:rPr>
        <w:t>1  总体规划</w:t>
      </w:r>
      <w:bookmarkEnd w:id="19"/>
      <w:bookmarkEnd w:id="20"/>
      <w:bookmarkEnd w:id="21"/>
      <w:bookmarkEnd w:id="22"/>
      <w:bookmarkEnd w:id="23"/>
    </w:p>
    <w:p>
      <w:pPr>
        <w:pStyle w:val="4"/>
        <w:rPr>
          <w:rFonts w:ascii="Times New Roman" w:hAnsi="Times New Roman" w:cs="Times New Roman"/>
          <w:color w:val="000000" w:themeColor="text1"/>
          <w14:textFill>
            <w14:solidFill>
              <w14:schemeClr w14:val="tx1"/>
            </w14:solidFill>
          </w14:textFill>
        </w:rPr>
      </w:pPr>
      <w:bookmarkStart w:id="24" w:name="_Toc16934"/>
      <w:bookmarkStart w:id="25" w:name="_Toc5753"/>
      <w:bookmarkStart w:id="26" w:name="_Toc30119"/>
      <w:bookmarkStart w:id="27" w:name="_Toc12892"/>
      <w:bookmarkStart w:id="28" w:name="_Toc15495"/>
      <w:r>
        <w:rPr>
          <w:rFonts w:ascii="Times New Roman" w:hAnsi="Times New Roman" w:cs="Times New Roman"/>
          <w:color w:val="000000" w:themeColor="text1"/>
          <w14:textFill>
            <w14:solidFill>
              <w14:schemeClr w14:val="tx1"/>
            </w14:solidFill>
          </w14:textFill>
        </w:rPr>
        <w:t>1.1  区域概况</w:t>
      </w:r>
      <w:bookmarkEnd w:id="24"/>
      <w:bookmarkEnd w:id="25"/>
      <w:bookmarkEnd w:id="26"/>
      <w:bookmarkEnd w:id="27"/>
      <w:bookmarkEnd w:id="28"/>
    </w:p>
    <w:p>
      <w:pPr>
        <w:pStyle w:val="5"/>
        <w:rPr>
          <w:rFonts w:ascii="Times New Roman" w:hAnsi="Times New Roman"/>
          <w:color w:val="000000" w:themeColor="text1"/>
          <w14:textFill>
            <w14:solidFill>
              <w14:schemeClr w14:val="tx1"/>
            </w14:solidFill>
          </w14:textFill>
        </w:rPr>
      </w:pPr>
      <w:bookmarkStart w:id="29" w:name="_Toc25166"/>
      <w:r>
        <w:rPr>
          <w:rFonts w:ascii="Times New Roman" w:hAnsi="Times New Roman"/>
          <w:color w:val="000000" w:themeColor="text1"/>
          <w14:textFill>
            <w14:solidFill>
              <w14:schemeClr w14:val="tx1"/>
            </w14:solidFill>
          </w14:textFill>
        </w:rPr>
        <w:t>1.1.1  自然地理</w:t>
      </w:r>
      <w:bookmarkEnd w:id="29"/>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地理位置</w:t>
      </w:r>
    </w:p>
    <w:p>
      <w:pPr>
        <w:spacing w:line="520" w:lineRule="exact"/>
        <w:ind w:firstLine="560"/>
        <w:rPr>
          <w:color w:val="000000" w:themeColor="text1"/>
          <w14:textFill>
            <w14:solidFill>
              <w14:schemeClr w14:val="tx1"/>
            </w14:solidFill>
          </w14:textFill>
        </w:rPr>
      </w:pPr>
      <w:r>
        <w:rPr>
          <w:color w:val="000000" w:themeColor="text1"/>
          <w:szCs w:val="28"/>
          <w14:textFill>
            <w14:solidFill>
              <w14:schemeClr w14:val="tx1"/>
            </w14:solidFill>
          </w14:textFill>
        </w:rPr>
        <w:t>通川区位于川东北平行岭谷北部与大巴山南麓与盆周山区交替带，地理坐标</w:t>
      </w:r>
      <w:r>
        <w:rPr>
          <w:rFonts w:hint="eastAsia"/>
          <w:color w:val="000000" w:themeColor="text1"/>
          <w:szCs w:val="28"/>
          <w14:textFill>
            <w14:solidFill>
              <w14:schemeClr w14:val="tx1"/>
            </w14:solidFill>
          </w14:textFill>
        </w:rPr>
        <w:t>位于</w:t>
      </w:r>
      <w:r>
        <w:rPr>
          <w:color w:val="000000" w:themeColor="text1"/>
          <w:szCs w:val="28"/>
          <w14:textFill>
            <w14:solidFill>
              <w14:schemeClr w14:val="tx1"/>
            </w14:solidFill>
          </w14:textFill>
        </w:rPr>
        <w:t>东径107°20′37.5″～107°39′22.5″，北纬30°07′30″～31°27′30″；东及东北面与宣汉县接壤，西面、南面与达川区为邻，西北与平昌县毗邻。西至成都420km，南到重庆220km。</w:t>
      </w:r>
      <w:r>
        <w:rPr>
          <w:rFonts w:hint="eastAsia"/>
          <w:color w:val="000000" w:themeColor="text1"/>
          <w:szCs w:val="28"/>
          <w14:textFill>
            <w14:solidFill>
              <w14:schemeClr w14:val="tx1"/>
            </w14:solidFill>
          </w14:textFill>
        </w:rPr>
        <w:t>全区</w:t>
      </w:r>
      <w:r>
        <w:rPr>
          <w:color w:val="000000" w:themeColor="text1"/>
          <w:szCs w:val="28"/>
          <w14:textFill>
            <w14:solidFill>
              <w14:schemeClr w14:val="tx1"/>
            </w14:solidFill>
          </w14:textFill>
        </w:rPr>
        <w:t>幅员面积888k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w:t>
      </w:r>
    </w:p>
    <w:p>
      <w:pPr>
        <w:spacing w:line="52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气候条件</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属中亚热带季风性湿润气候类型。气候温和，热量丰富，四季分明，春早夏长秋短冬适中；降水充沛，分布不均，盛夏多干旱，秋冬多阴雨；无霜期长，云雾多，日照少；农业灾害性天气频繁，山区立体气候明显。</w:t>
      </w:r>
    </w:p>
    <w:p>
      <w:pPr>
        <w:spacing w:line="520" w:lineRule="exact"/>
        <w:ind w:firstLine="560"/>
        <w:rPr>
          <w:color w:val="000000" w:themeColor="text1"/>
          <w14:textFill>
            <w14:solidFill>
              <w14:schemeClr w14:val="tx1"/>
            </w14:solidFill>
          </w14:textFill>
        </w:rPr>
      </w:pPr>
      <w:r>
        <w:rPr>
          <w:color w:val="000000" w:themeColor="text1"/>
          <w:szCs w:val="28"/>
          <w14:textFill>
            <w14:solidFill>
              <w14:schemeClr w14:val="tx1"/>
            </w14:solidFill>
          </w14:textFill>
        </w:rPr>
        <w:t>区境纬度较低，大阳高度角最大时（夏至日82°），最小（冬至日32°），地面获得太阳辐射热量较多。东距太平洋不远，夏季季风从海洋带来大量水气，受南低北高地势抬升和秦岭、大巴山阻挡，容易形成地形雨，降水多集中在夏季。冬季受西北干冷季风影响，空气干燥雨水少，同时北高部高山使寒潮入侵强度减弱。全区境内多年平均气温17.2</w:t>
      </w:r>
      <w:r>
        <w:rPr>
          <w:rFonts w:eastAsia="宋体"/>
          <w:color w:val="000000" w:themeColor="text1"/>
          <w:szCs w:val="28"/>
          <w14:textFill>
            <w14:solidFill>
              <w14:schemeClr w14:val="tx1"/>
            </w14:solidFill>
          </w14:textFill>
        </w:rPr>
        <w:t>℃</w:t>
      </w:r>
      <w:r>
        <w:rPr>
          <w:color w:val="000000" w:themeColor="text1"/>
          <w:szCs w:val="28"/>
          <w14:textFill>
            <w14:solidFill>
              <w14:schemeClr w14:val="tx1"/>
            </w14:solidFill>
          </w14:textFill>
        </w:rPr>
        <w:t>。</w:t>
      </w:r>
    </w:p>
    <w:p>
      <w:pPr>
        <w:spacing w:line="520" w:lineRule="exact"/>
        <w:ind w:left="56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河流水系</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通川区境内河流纵横，溪河密布，区内有大小溪河41条，集水面积在50k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以上的有11条，巴河、州河是境内最大河流</w:t>
      </w:r>
      <w:r>
        <w:rPr>
          <w:rFonts w:hint="eastAsia"/>
          <w:color w:val="000000" w:themeColor="text1"/>
          <w14:textFill>
            <w14:solidFill>
              <w14:schemeClr w14:val="tx1"/>
            </w14:solidFill>
          </w14:textFill>
        </w:rPr>
        <w:t>，其他主要河流还有长滩河、洞滩河、明月江、魏家河、双龙河、固家河、梓桐河、大堰河、施家河等。</w:t>
      </w:r>
    </w:p>
    <w:p>
      <w:pPr>
        <w:pStyle w:val="2"/>
        <w:ind w:firstLine="560"/>
        <w:rPr>
          <w:color w:val="000000" w:themeColor="text1"/>
          <w14:textFill>
            <w14:solidFill>
              <w14:schemeClr w14:val="tx1"/>
            </w14:solidFill>
          </w14:textFill>
        </w:rPr>
      </w:pPr>
    </w:p>
    <w:p>
      <w:pPr>
        <w:spacing w:line="520" w:lineRule="exact"/>
        <w:ind w:left="56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土壤</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依据通川区土壤类型情况，全区土壤质地多属壤土类型，耕层物理性粘粒(粒径＜0.01mm)平均含量为44.1%，其中旱地41.7%，水稻土46.6%，稻田比旱地物理性粘粒平均高4.9%；农耕地按质地分：轻壤以下占4.9%，中壤44.8%，重壤30.1%，轻粘占0.7%，其它砾石土占19.5%；土壤质地划分标准：以物理性粘粒(粒径＜0.01mm)含量为准：＞60%为粘土，45～60%为重壤，30～45%为中壤，20～30%为轻壤，10～20%为沙壤土，10%＜为沙土。</w:t>
      </w:r>
    </w:p>
    <w:p>
      <w:pPr>
        <w:pStyle w:val="5"/>
        <w:widowControl w:val="0"/>
        <w:spacing w:before="120" w:after="120"/>
        <w:rPr>
          <w:rFonts w:ascii="Times New Roman" w:hAnsi="Times New Roman"/>
          <w:color w:val="000000" w:themeColor="text1"/>
          <w14:textFill>
            <w14:solidFill>
              <w14:schemeClr w14:val="tx1"/>
            </w14:solidFill>
          </w14:textFill>
        </w:rPr>
      </w:pPr>
      <w:bookmarkStart w:id="30" w:name="_Toc17047"/>
      <w:r>
        <w:rPr>
          <w:rFonts w:ascii="Times New Roman" w:hAnsi="Times New Roman"/>
          <w:color w:val="000000" w:themeColor="text1"/>
          <w14:textFill>
            <w14:solidFill>
              <w14:schemeClr w14:val="tx1"/>
            </w14:solidFill>
          </w14:textFill>
        </w:rPr>
        <w:t>1.1.2  社会经济</w:t>
      </w:r>
      <w:bookmarkEnd w:id="30"/>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  行政区划</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目前通川区辖东城、西城、朝阳、凤西、凤北5个街道，莲花湖管委会，复兴、蒲家、罗江、双龙、东岳、磐石、北山、江陵、碑庙、金石、梓桐、青宁12个镇，安云1个乡，共18个乡镇级政区。2020年末全区户籍人口为59.2万人，常住人口90.57万人。</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  国民经济概况</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2020年达州市通川区实现地区生产总值（GDP）340.7亿元，按可比价格计算，同比增长4.3%。其中，第一产业实现增加值27.4亿元，增长5.5%；第二产业实现增加值110.7亿元，增长6%；第三产业（服务业）实现增加值202.6亿元，增长2.9%，三次产业结构比为8:32.5:59.5。</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  农业</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全年粮食播种面积31978公顷，比上年下降0.36%。其中，稻谷12567公顷，下降0.34%；玉米6300公顷，下降1.7%；薯类6370公顷，下降2.32%；油料种植面积9619公顷，增长26.75%；蔬菜种植面积11322公顷，增长4.66%。</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全年粮食产量184009吨，比上年减少1388吨，下降0.75%；油料产量24215吨，增长27.5%。</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通川区2020年社会经济情况表见表1.1.1。</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表1.1.1  通川区2020年社会经济情况表</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15"/>
        <w:gridCol w:w="2715"/>
        <w:gridCol w:w="2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通川区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幅员面积(k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街道办事处（个）</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镇（个）</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乡（个）</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常住人口（万人）</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人口密度（万人/k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国民生产总值(亿元)</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340.7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二产(亿元)</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58" w:type="pct"/>
            <w:gridSpan w:val="2"/>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耕地面积（万亩）</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29" w:type="pct"/>
            <w:vMerge w:val="restar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其中</w:t>
            </w:r>
          </w:p>
        </w:tc>
        <w:tc>
          <w:tcPr>
            <w:tcW w:w="1629"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田</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29" w:type="pct"/>
            <w:vMerge w:val="continue"/>
            <w:tcMar>
              <w:top w:w="15" w:type="dxa"/>
              <w:left w:w="15" w:type="dxa"/>
              <w:right w:w="15" w:type="dxa"/>
            </w:tcMar>
            <w:vAlign w:val="center"/>
          </w:tcPr>
          <w:p>
            <w:pPr>
              <w:pStyle w:val="50"/>
              <w:spacing w:before="0" w:beforeLines="0"/>
              <w:rPr>
                <w:color w:val="000000" w:themeColor="text1"/>
                <w14:textFill>
                  <w14:solidFill>
                    <w14:schemeClr w14:val="tx1"/>
                  </w14:solidFill>
                </w14:textFill>
              </w:rPr>
            </w:pPr>
          </w:p>
        </w:tc>
        <w:tc>
          <w:tcPr>
            <w:tcW w:w="1629"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土</w:t>
            </w:r>
          </w:p>
        </w:tc>
        <w:tc>
          <w:tcPr>
            <w:tcW w:w="1742" w:type="pct"/>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20.51</w:t>
            </w:r>
          </w:p>
        </w:tc>
      </w:tr>
    </w:tbl>
    <w:p>
      <w:pPr>
        <w:spacing w:line="520" w:lineRule="exact"/>
        <w:ind w:firstLine="560"/>
        <w:rPr>
          <w:color w:val="000000" w:themeColor="text1"/>
          <w14:textFill>
            <w14:solidFill>
              <w14:schemeClr w14:val="tx1"/>
            </w14:solidFill>
          </w14:textFill>
        </w:rPr>
      </w:pPr>
      <w:bookmarkStart w:id="31" w:name="_Toc20117"/>
    </w:p>
    <w:p>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1.1.3  地形地质</w:t>
      </w:r>
      <w:bookmarkEnd w:id="31"/>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1、地形地貌</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属川东北平行岭谷区北部，区内山岭受构造控制，山势呈北东—南西向。其地貌基本顺应了地质构造的形态。概观全区地貌，平均海拔500m左右，境内最高海拔1068.6m，最低海拔265m。主要河道为州河、明月江、双龙河、魏家河，它们与众多的小溪构成了树枝状的州河水系，排泄多余水量。全区有低山28.3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，深丘101.1k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，有浅丘宽谷271.6k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和少量河成阶地四种地貌类型。</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2、地质概况</w:t>
      </w:r>
    </w:p>
    <w:p>
      <w:pPr>
        <w:spacing w:line="520" w:lineRule="exact"/>
        <w:ind w:firstLine="560"/>
        <w:rPr>
          <w:bCs/>
          <w:color w:val="000000" w:themeColor="text1"/>
          <w14:textFill>
            <w14:solidFill>
              <w14:schemeClr w14:val="tx1"/>
            </w14:solidFill>
          </w14:textFill>
        </w:rPr>
      </w:pPr>
      <w:r>
        <w:rPr>
          <w:color w:val="000000" w:themeColor="text1"/>
          <w:szCs w:val="28"/>
          <w14:textFill>
            <w14:solidFill>
              <w14:schemeClr w14:val="tx1"/>
            </w14:solidFill>
          </w14:textFill>
        </w:rPr>
        <w:t>在地质条件上，我区处于新华夏系第三沉降带，是四川盆地的东部，川东弧形构造的组成部分，构造形迹以北北东—北东向褶皱构造为主，东北为大巴山弧形构造带，西北角突入川中地块仪陇、平昌莲花状构造的边缘。新华夏系在我区主要包括华蓥山背斜与明月峡背斜之间的平行褶皱构造，由于构造作用力不均，背斜褶皱紧密，向斜开阔，成典型的隔挡式构造，断裂以压性为主，一般沿背斜轴部分布。出露地层有三迭系，白垩系及第四系，以侏罗系为主。</w:t>
      </w:r>
    </w:p>
    <w:p>
      <w:pPr>
        <w:pStyle w:val="4"/>
        <w:rPr>
          <w:rFonts w:ascii="Times New Roman" w:hAnsi="Times New Roman" w:cs="Times New Roman"/>
          <w:color w:val="000000" w:themeColor="text1"/>
          <w14:textFill>
            <w14:solidFill>
              <w14:schemeClr w14:val="tx1"/>
            </w14:solidFill>
          </w14:textFill>
        </w:rPr>
      </w:pPr>
      <w:bookmarkStart w:id="32" w:name="_Toc9687"/>
      <w:bookmarkStart w:id="33" w:name="_Toc24802"/>
      <w:bookmarkStart w:id="34" w:name="_Toc32507"/>
      <w:bookmarkStart w:id="35" w:name="_Toc15578"/>
      <w:bookmarkStart w:id="36" w:name="_Toc19728"/>
      <w:r>
        <w:rPr>
          <w:rFonts w:ascii="Times New Roman" w:hAnsi="Times New Roman" w:cs="Times New Roman"/>
          <w:color w:val="000000" w:themeColor="text1"/>
          <w14:textFill>
            <w14:solidFill>
              <w14:schemeClr w14:val="tx1"/>
            </w14:solidFill>
          </w14:textFill>
        </w:rPr>
        <w:t>1.2  规划指导思想、基本原则、主要依据</w:t>
      </w:r>
      <w:bookmarkEnd w:id="32"/>
      <w:bookmarkEnd w:id="33"/>
      <w:bookmarkEnd w:id="34"/>
      <w:bookmarkEnd w:id="35"/>
      <w:bookmarkEnd w:id="36"/>
    </w:p>
    <w:p>
      <w:pPr>
        <w:pStyle w:val="5"/>
        <w:rPr>
          <w:rFonts w:ascii="Times New Roman" w:hAnsi="Times New Roman"/>
          <w:color w:val="000000" w:themeColor="text1"/>
          <w14:textFill>
            <w14:solidFill>
              <w14:schemeClr w14:val="tx1"/>
            </w14:solidFill>
          </w14:textFill>
        </w:rPr>
      </w:pPr>
      <w:bookmarkStart w:id="37" w:name="_Toc44337328"/>
      <w:bookmarkStart w:id="38" w:name="_Toc8147"/>
      <w:r>
        <w:rPr>
          <w:rFonts w:ascii="Times New Roman" w:hAnsi="Times New Roman"/>
          <w:color w:val="000000" w:themeColor="text1"/>
          <w14:textFill>
            <w14:solidFill>
              <w14:schemeClr w14:val="tx1"/>
            </w14:solidFill>
          </w14:textFill>
        </w:rPr>
        <w:t>1.2.1  规划的指导思想</w:t>
      </w:r>
      <w:bookmarkEnd w:id="37"/>
      <w:bookmarkEnd w:id="38"/>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深入贯彻落实</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以人为本，全面、协调、可持续</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的科学发展观、党的十九大精神以及习总书记提出的</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节水优先、空间均衡、系统治理、两手发力</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的新时期水利工作方针，结合变化环境下经济社会发展战略布局对水资源保障的需求，依照</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四个全面</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战略布局，以全面建设小康社会、构建和谐社会提供可靠的水资源及水环境保障为核心；以</w:t>
      </w:r>
      <w:r>
        <w:rPr>
          <w:rFonts w:hint="eastAsia"/>
          <w:color w:val="000000" w:themeColor="text1"/>
          <w:spacing w:val="8"/>
          <w:szCs w:val="28"/>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"https://baike.baidu.com/item/%E7%BB%8F%E6%B5%8E/403149" \t "https://baike.baidu.com/item/%E4%BA%94%E4%BD%8D%E4%B8%80%E4%BD%93%E5%85%A8%E9%9D%A2%E5%B0%8F%E5%BA%B7/_blank" </w:instrText>
      </w:r>
      <w:r>
        <w:rPr>
          <w:color w:val="000000" w:themeColor="text1"/>
          <w14:textFill>
            <w14:solidFill>
              <w14:schemeClr w14:val="tx1"/>
            </w14:solidFill>
          </w14:textFill>
        </w:rPr>
        <w:fldChar w:fldCharType="separate"/>
      </w:r>
      <w:r>
        <w:rPr>
          <w:color w:val="000000" w:themeColor="text1"/>
          <w:spacing w:val="8"/>
          <w:szCs w:val="28"/>
          <w14:textFill>
            <w14:solidFill>
              <w14:schemeClr w14:val="tx1"/>
            </w14:solidFill>
          </w14:textFill>
        </w:rPr>
        <w:t>经济</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"https://baike.baidu.com/item/%E6%94%BF%E6%B2%BB/169778" \t "https://baike.baidu.com/item/%E4%BA%94%E4%BD%8D%E4%B8%80%E4%BD%93%E5%85%A8%E9%9D%A2%E5%B0%8F%E5%BA%B7/_blank" </w:instrText>
      </w:r>
      <w:r>
        <w:rPr>
          <w:color w:val="000000" w:themeColor="text1"/>
          <w14:textFill>
            <w14:solidFill>
              <w14:schemeClr w14:val="tx1"/>
            </w14:solidFill>
          </w14:textFill>
        </w:rPr>
        <w:fldChar w:fldCharType="separate"/>
      </w:r>
      <w:r>
        <w:rPr>
          <w:color w:val="000000" w:themeColor="text1"/>
          <w:spacing w:val="8"/>
          <w:szCs w:val="28"/>
          <w14:textFill>
            <w14:solidFill>
              <w14:schemeClr w14:val="tx1"/>
            </w14:solidFill>
          </w14:textFill>
        </w:rPr>
        <w:t>政治</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"https://baike.baidu.com/item/%E6%96%87%E5%8C%96/23624" \t "https://baike.baidu.com/item/%E4%BA%94%E4%BD%8D%E4%B8%80%E4%BD%93%E5%85%A8%E9%9D%A2%E5%B0%8F%E5%BA%B7/_blank" </w:instrText>
      </w:r>
      <w:r>
        <w:rPr>
          <w:color w:val="000000" w:themeColor="text1"/>
          <w14:textFill>
            <w14:solidFill>
              <w14:schemeClr w14:val="tx1"/>
            </w14:solidFill>
          </w14:textFill>
        </w:rPr>
        <w:fldChar w:fldCharType="separate"/>
      </w:r>
      <w:r>
        <w:rPr>
          <w:color w:val="000000" w:themeColor="text1"/>
          <w:spacing w:val="8"/>
          <w:szCs w:val="28"/>
          <w14:textFill>
            <w14:solidFill>
              <w14:schemeClr w14:val="tx1"/>
            </w14:solidFill>
          </w14:textFill>
        </w:rPr>
        <w:t>文化</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"https://baike.baidu.com/item/%E7%A4%BE%E4%BC%9A/73320" \t "https://baike.baidu.com/item/%E4%BA%94%E4%BD%8D%E4%B8%80%E4%BD%93%E5%85%A8%E9%9D%A2%E5%B0%8F%E5%BA%B7/_blank" </w:instrText>
      </w:r>
      <w:r>
        <w:rPr>
          <w:color w:val="000000" w:themeColor="text1"/>
          <w14:textFill>
            <w14:solidFill>
              <w14:schemeClr w14:val="tx1"/>
            </w14:solidFill>
          </w14:textFill>
        </w:rPr>
        <w:fldChar w:fldCharType="separate"/>
      </w:r>
      <w:r>
        <w:rPr>
          <w:color w:val="000000" w:themeColor="text1"/>
          <w:spacing w:val="8"/>
          <w:szCs w:val="28"/>
          <w14:textFill>
            <w14:solidFill>
              <w14:schemeClr w14:val="tx1"/>
            </w14:solidFill>
          </w14:textFill>
        </w:rPr>
        <w:t>社会</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"https://baike.baidu.com/item/%E7%94%9F%E6%80%81/259459" \t "https://baike.baidu.com/item/%E4%BA%94%E4%BD%8D%E4%B8%80%E4%BD%93%E5%85%A8%E9%9D%A2%E5%B0%8F%E5%BA%B7/_blank" </w:instrText>
      </w:r>
      <w:r>
        <w:rPr>
          <w:color w:val="000000" w:themeColor="text1"/>
          <w14:textFill>
            <w14:solidFill>
              <w14:schemeClr w14:val="tx1"/>
            </w14:solidFill>
          </w14:textFill>
        </w:rPr>
        <w:fldChar w:fldCharType="separate"/>
      </w:r>
      <w:r>
        <w:rPr>
          <w:color w:val="000000" w:themeColor="text1"/>
          <w:spacing w:val="8"/>
          <w:szCs w:val="28"/>
          <w14:textFill>
            <w14:solidFill>
              <w14:schemeClr w14:val="tx1"/>
            </w14:solidFill>
          </w14:textFill>
        </w:rPr>
        <w:t>生态</w:t>
      </w:r>
      <w:r>
        <w:rPr>
          <w:color w:val="000000" w:themeColor="text1"/>
          <w:spacing w:val="8"/>
          <w:szCs w:val="28"/>
          <w14:textFill>
            <w14:solidFill>
              <w14:schemeClr w14:val="tx1"/>
            </w14:solidFill>
          </w14:textFill>
        </w:rPr>
        <w:fldChar w:fldCharType="end"/>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五位一体全面小康为今后的主攻方向；按照建设资源节约型、环境友好型社会的要求，处理好需要与可能、发展与保护等关系；充分利用已有规划和研究成果，认真研究灌溉与供水、维系优良生态与环境等社会公共利益和经济社会可持续发展的重点问题；协调好水资源开发、利用、配置、节约、保护之间的关系；按照水资源和水环境承载能力，提出经济社会发展布局建议意见；合理开发、综合利用水资源，提升水利服务于经济社会发展的综合能力，切实保障城乡供水安全；进一步完善水生态与环境保护体系建设；通过加强社会管理和公共服务管理，进一步提高水资源社会管理和公共服务的能力与水平。以水安全和水资源的可持续利用支撑经济社会的可持续发展，促进人水和谐。</w:t>
      </w:r>
    </w:p>
    <w:p>
      <w:pPr>
        <w:pStyle w:val="5"/>
        <w:rPr>
          <w:rFonts w:ascii="Times New Roman" w:hAnsi="Times New Roman"/>
          <w:color w:val="000000" w:themeColor="text1"/>
          <w14:textFill>
            <w14:solidFill>
              <w14:schemeClr w14:val="tx1"/>
            </w14:solidFill>
          </w14:textFill>
        </w:rPr>
      </w:pPr>
      <w:bookmarkStart w:id="39" w:name="_Toc22941"/>
      <w:r>
        <w:rPr>
          <w:rFonts w:ascii="Times New Roman" w:hAnsi="Times New Roman"/>
          <w:color w:val="000000" w:themeColor="text1"/>
          <w14:textFill>
            <w14:solidFill>
              <w14:schemeClr w14:val="tx1"/>
            </w14:solidFill>
          </w14:textFill>
        </w:rPr>
        <w:t>1.2.2  规划的基本原则</w:t>
      </w:r>
      <w:bookmarkEnd w:id="39"/>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（1）坚持节水优先</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深入贯彻</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节水优先</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方针，以实施国家节水行动为抓手，完善节水制度标准，加强节水宣传教育，强化节水监督管理，使节约用水真正成为水资源开发、利用、保护、配置、调度的前提。</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（2）坚持以人为本</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水利发展应从提高人民群众的生活水平和生活质量的实际要求出发，把人民群众的根本利益作为水利工作的出发点，着力解决好与人民切身利益密切相关的水利问题，满足人民群众对供水安全和生态环境用水等方面的需求。</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（3）坚持总量控制</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对经济社会用水实行总量控制和调控，分区域分行业确定供求关系调控目标，实行节约用水和科学用水，在保障经济社会发展和生态环境保护合理用水需求的前提下，优化用水结构，抑制用水的过快增长，保证用水总量不突破</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三条红线</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控制指标。</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（4）坚持供需协调</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加强供需双向调节，强化水资源的合理配置，统筹生活、生产和生态用水，开源节流并重，常规水源和非常规水源、地表水和地下水、当地水和过境水优化组合，工程措施和管理措施相结合，在合理调控需求的前提下采取多种措施保障供水安全。</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（5）坚持高效利用</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以提高用水效率为核心，加快用水方式转变，把厉行节约、高效节水放在突出位置，运用工程、技术、经济、法律、行政等综合手段，促进农业、工业、生活节水，实现水资源的可持续和高效利用，以有限的水资源支撑经济社会又好又快发展，保证用水效率指标不突破</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三条红线</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控制指标。</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（6）坚持保护生态</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有效保障生态基本用水，维护河湖健康，改善生态环境状况。加强水资源保护，实现优质优用，保证水功能区水质达标率不突破</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三条红线</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控制指标。</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（7）坚持重点保障</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合理规划供水布局，优化水源结构，因地制宜合理利用地表水和地下水，加大非常规水源利用，增加水的有效供给，重点保障城乡居民、粮食主产区、重点区域的供水安全，提高应对干旱和突发事件应急供水保障能力。</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（8）坚持严格管理</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实行最严格的水资源管理制度，落实水资源管理控制</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红线</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，完善水资源管理政策和制度体系，严格控制水资源无序开发和过度开发，强化水资源统一管理，加强水资源科学度和集约利用，提高水资源综合保障能力。</w:t>
      </w:r>
    </w:p>
    <w:p>
      <w:pPr>
        <w:pStyle w:val="5"/>
        <w:rPr>
          <w:rFonts w:ascii="Times New Roman" w:hAnsi="Times New Roman"/>
          <w:color w:val="000000" w:themeColor="text1"/>
          <w14:textFill>
            <w14:solidFill>
              <w14:schemeClr w14:val="tx1"/>
            </w14:solidFill>
          </w14:textFill>
        </w:rPr>
      </w:pPr>
      <w:bookmarkStart w:id="40" w:name="_Toc32761"/>
      <w:bookmarkStart w:id="41" w:name="_Toc44337330"/>
      <w:r>
        <w:rPr>
          <w:rFonts w:ascii="Times New Roman" w:hAnsi="Times New Roman"/>
          <w:color w:val="000000" w:themeColor="text1"/>
          <w14:textFill>
            <w14:solidFill>
              <w14:schemeClr w14:val="tx1"/>
            </w14:solidFill>
          </w14:textFill>
        </w:rPr>
        <w:t>1.2.3  规划的主要依据</w:t>
      </w:r>
      <w:bookmarkEnd w:id="40"/>
      <w:bookmarkEnd w:id="41"/>
    </w:p>
    <w:p>
      <w:pPr>
        <w:spacing w:line="520" w:lineRule="atLeas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（1）法律法规及规范性文件</w:t>
      </w:r>
    </w:p>
    <w:p>
      <w:pPr>
        <w:spacing w:line="520" w:lineRule="atLeas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中华人民共和国水法》、《中华人民共和国防洪法》、《中华人民共和国水污染防治法》、《中华人民共和国土地管理法》、《中华人民共和国森林法》、《中华人民共和国环境影保护法》、《中华人民共和国水土保持法》、《中华人民共和国环境影响评价法》、《中华人民共和国河道管理条例》、《中华人民共和国水文条例》、《中华人民共和国基本农田保护条例》、《中华人民共和国抗旱条例》、《中共中央国务院关于加快水利改革发展的决定》、《国务院关于实行最严格水资源管理制度的意见》、《水利工程供水价格管理办法》、《水量分配暂行办法》、《水功能区管理办法》、《全国重要江河湖泊水功能区划》、《四川省&lt;中华人民共和国水法&gt;实施办法》、《四川省城市供水条例》、《四川省饮用水水源保护管理条例》、《四川省河道管理实施办法》、《四川省人民政府关于全面推进节水型社会建设的意见》、《四川省水功能区划报告》、《四川省用水定额（2021版）》、《全国水资源综合规划》、《长江流域水资源综合规划》、《黄河流域水资源综合规划》等。</w:t>
      </w:r>
    </w:p>
    <w:p>
      <w:pPr>
        <w:spacing w:line="520" w:lineRule="atLeas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（2）规程规范及技术标准</w:t>
      </w:r>
    </w:p>
    <w:p>
      <w:pPr>
        <w:spacing w:line="520" w:lineRule="atLeas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全国水资源综合规划任务书》、《全国水资源综合规划技术大纲》、《全国水资源综合规划技术细则》、《长江流域、西南诸河（澜沧江以西）、西北诸河（西藏境内）水资源综合规划工作大纲》、《长江流域、西南诸河（澜沧江以西）、西北诸河（西藏境内）水资源综合规划技术细则》、《黄河流域水资源综合规划工作大纲》、《黄河流域水资源综合规划技术细则》、《四川省水资源综合规划工作大纲》。</w:t>
      </w:r>
    </w:p>
    <w:p>
      <w:pPr>
        <w:spacing w:line="520" w:lineRule="atLeas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水文调查规范》、《水资源评价导则》、《水资源供需预测分析技术规范》、《村镇供水工程技术规范》、《镇规划标准》、《灌溉与排水工程设计规范》、《城市给水工程规划规范》、《城市园林绿化评价标准》、《生活饮用水卫生标准》、《农田灌溉水质标准》、《污水综合排放标准》、《地表水环境质量标准》、《水域纳污能力计算规程》、《水利工程水利计算规范》、《江河流域规划环境影响评价规范》；《地表水资源质量评价技术规程》、《环境影响评价技术导则（地面水环境）》等。</w:t>
      </w:r>
    </w:p>
    <w:p>
      <w:pPr>
        <w:spacing w:line="520" w:lineRule="atLeas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（3）参考资料</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1、《全国水资源综合规划技术大纲》</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2、《全国水资源综合规划技术细则》</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3、《全国水资源综合规划（2010～2030年）》</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4、《全国重要江河湖泊水功能区划（2011～2030年）》</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5、《西南五省（自治区、直辖市）重点水源工程近期建设规划》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6、《四川省水资源综合规划》。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7、《四川省水资源开发总体规划》。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8、《四川省用水定额》（2021版）。</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9、《四川省人民政府办公厅关于实行最严格水资源管理制度考核办法的通知》，川办发〔2014〕27号。</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10、达州市实行最严格水资源管理制度考核工作领导小组办公室关于印发《达州市水资源消耗总量和强度双控行动实施方案及用水强度控制目标》的通知，达水严领〔2017〕4号。</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11、《达州市水资源综合规划报告》</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12、《达州市城市总体规划》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13、《达州市水资源公报（2020年）》</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14、《通川区国民经济和社会发展第十三个五年规划纲要》</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15、《通川区市总体规划》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16、《通川区水利发展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十三五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17、《通川区农田水利综合规划》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18、《通川区水资源综合规划》</w:t>
      </w:r>
    </w:p>
    <w:p>
      <w:pPr>
        <w:spacing w:line="520" w:lineRule="atLeast"/>
        <w:ind w:firstLine="560"/>
        <w:rPr>
          <w:color w:val="000000" w:themeColor="text1"/>
          <w14:textFill>
            <w14:solidFill>
              <w14:schemeClr w14:val="tx1"/>
            </w14:solidFill>
          </w14:textFill>
        </w:rPr>
      </w:pPr>
      <w:r>
        <w:rPr>
          <w:color w:val="000000" w:themeColor="text1"/>
          <w14:textFill>
            <w14:solidFill>
              <w14:schemeClr w14:val="tx1"/>
            </w14:solidFill>
          </w14:textFill>
        </w:rPr>
        <w:t>19、《通川区年鉴》</w:t>
      </w:r>
    </w:p>
    <w:p>
      <w:pPr>
        <w:spacing w:line="520" w:lineRule="atLeast"/>
        <w:ind w:firstLine="560"/>
        <w:rPr>
          <w:rFonts w:eastAsia="华文仿宋"/>
          <w:color w:val="000000" w:themeColor="text1"/>
          <w14:textFill>
            <w14:solidFill>
              <w14:schemeClr w14:val="tx1"/>
            </w14:solidFill>
          </w14:textFill>
        </w:rPr>
      </w:pPr>
      <w:r>
        <w:rPr>
          <w:color w:val="000000" w:themeColor="text1"/>
          <w14:textFill>
            <w14:solidFill>
              <w14:schemeClr w14:val="tx1"/>
            </w14:solidFill>
          </w14:textFill>
        </w:rPr>
        <w:t>20、《达州市通川区河长制办公室通川区12条（座）主要河库2020年1-12月水质情况通报》</w:t>
      </w:r>
    </w:p>
    <w:p>
      <w:pPr>
        <w:pStyle w:val="4"/>
        <w:rPr>
          <w:rFonts w:ascii="Times New Roman" w:hAnsi="Times New Roman" w:cs="Times New Roman"/>
          <w:color w:val="000000" w:themeColor="text1"/>
          <w14:textFill>
            <w14:solidFill>
              <w14:schemeClr w14:val="tx1"/>
            </w14:solidFill>
          </w14:textFill>
        </w:rPr>
      </w:pPr>
      <w:bookmarkStart w:id="42" w:name="_Toc13612"/>
      <w:bookmarkStart w:id="43" w:name="_Toc28397"/>
      <w:bookmarkStart w:id="44" w:name="_Toc22444"/>
      <w:bookmarkStart w:id="45" w:name="_Toc11318"/>
      <w:bookmarkStart w:id="46" w:name="_Toc14094"/>
      <w:r>
        <w:rPr>
          <w:rFonts w:ascii="Times New Roman" w:hAnsi="Times New Roman" w:cs="Times New Roman"/>
          <w:color w:val="000000" w:themeColor="text1"/>
          <w14:textFill>
            <w14:solidFill>
              <w14:schemeClr w14:val="tx1"/>
            </w14:solidFill>
          </w14:textFill>
        </w:rPr>
        <w:t>1.3  规划目标水平年及规划任务</w:t>
      </w:r>
      <w:bookmarkEnd w:id="42"/>
      <w:bookmarkEnd w:id="43"/>
      <w:bookmarkEnd w:id="44"/>
      <w:bookmarkEnd w:id="45"/>
      <w:bookmarkEnd w:id="46"/>
    </w:p>
    <w:p>
      <w:pPr>
        <w:pStyle w:val="5"/>
        <w:rPr>
          <w:rFonts w:ascii="Times New Roman" w:hAnsi="Times New Roman"/>
          <w:color w:val="000000" w:themeColor="text1"/>
          <w14:textFill>
            <w14:solidFill>
              <w14:schemeClr w14:val="tx1"/>
            </w14:solidFill>
          </w14:textFill>
        </w:rPr>
      </w:pPr>
      <w:bookmarkStart w:id="47" w:name="_Toc24177"/>
      <w:bookmarkStart w:id="48" w:name="_Toc44337333"/>
      <w:r>
        <w:rPr>
          <w:rFonts w:ascii="Times New Roman" w:hAnsi="Times New Roman"/>
          <w:color w:val="000000" w:themeColor="text1"/>
          <w14:textFill>
            <w14:solidFill>
              <w14:schemeClr w14:val="tx1"/>
            </w14:solidFill>
          </w14:textFill>
        </w:rPr>
        <w:t>1.3.1  规划总体目标</w:t>
      </w:r>
      <w:bookmarkEnd w:id="47"/>
      <w:bookmarkEnd w:id="48"/>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总体目标以保障水资源可持续利用为主线，以满足社会经济发展和改善环境、维系生态平衡为根本出发点，以保障饮水安全、粮食安全、城市供水安全和生态安全为重点，逐步建立与国家西部大开发战略、城乡统筹发展战略相适应的水资源合理配置格局，扭转不合理的水资源开发利用方式，实现水资源的可持续利用，保障社会经济平稳较快发展和维系良好的生态环境，保障通川区水资源安全。</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（1）用水总量控制目标</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按照最严格水资源管理制度要求，在保障社会经济发展和改善生态环境用水的前提下，设置今后一段时期流域和行政区域用水上限控制指标，建立总量控制与定额管理相结合的用水管理制度。按照全国2030年的用水总量控制指标要求，在保障社会经济发展和改善生态环境用水状况的前提下，为实现到2030年四川省用水总量分别控制在339.43亿</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以内，通川区2030年用水总量分别控制在2.61亿</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以内，2035年用水总量控制在2030年总量指标以内。</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（2）水资源节约与高效利用</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全面推进节水型社会建设，转变用水方式，提高水资源利用效率和效益。到2025年，全区万元工业增加值用水量分别降25</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以下，农田灌溉水有效利用系数提高到0.55以上；到2030年，全区万元工业增加值用水量分别降低到18</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以下，农田灌溉水有效利用系数提高到0.60以上；到2035年，万元工业增加值用水量分别降低10</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以下，农田灌溉水有效利用系数提高到0.63以上。</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（3）水资源质量保护目标</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加强水功能区管理、控制污染物入河总量，建立饮用水水源保护区管理制度，有效保护水资源。2025年，城市供水水源地、全国重要江河湖库水功能区水质达标率提高到100%；2030年和2035年，城市供水水源地、全国重要江河湖库水功能区水质达标率提高到100%，水库、湖泊等水体富营养化状况得到显著改善。</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到2025年，县城以上集中式饮用水水源地水质达到或优于</w:t>
      </w:r>
      <w:r>
        <w:rPr>
          <w:color w:val="000000" w:themeColor="text1"/>
          <w:spacing w:val="8"/>
          <w:szCs w:val="28"/>
          <w14:textFill>
            <w14:solidFill>
              <w14:schemeClr w14:val="tx1"/>
            </w14:solidFill>
          </w14:textFill>
        </w:rPr>
        <w:fldChar w:fldCharType="begin"/>
      </w:r>
      <w:r>
        <w:rPr>
          <w:color w:val="000000" w:themeColor="text1"/>
          <w:spacing w:val="8"/>
          <w:szCs w:val="28"/>
          <w14:textFill>
            <w14:solidFill>
              <w14:schemeClr w14:val="tx1"/>
            </w14:solidFill>
          </w14:textFill>
        </w:rPr>
        <w:instrText xml:space="preserve"> = 3 \* ROMAN \* MERGEFORMAT </w:instrText>
      </w:r>
      <w:r>
        <w:rPr>
          <w:color w:val="000000" w:themeColor="text1"/>
          <w:spacing w:val="8"/>
          <w:szCs w:val="28"/>
          <w14:textFill>
            <w14:solidFill>
              <w14:schemeClr w14:val="tx1"/>
            </w14:solidFill>
          </w14:textFill>
        </w:rPr>
        <w:fldChar w:fldCharType="separate"/>
      </w:r>
      <w:r>
        <w:rPr>
          <w:color w:val="000000" w:themeColor="text1"/>
          <w:spacing w:val="8"/>
          <w:szCs w:val="28"/>
          <w14:textFill>
            <w14:solidFill>
              <w14:schemeClr w14:val="tx1"/>
            </w14:solidFill>
          </w14:textFill>
        </w:rPr>
        <w:t>III</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类的比例达到100%，农村集中式饮用水水源地水质达到或优于</w:t>
      </w:r>
      <w:r>
        <w:rPr>
          <w:color w:val="000000" w:themeColor="text1"/>
          <w:spacing w:val="8"/>
          <w:szCs w:val="28"/>
          <w14:textFill>
            <w14:solidFill>
              <w14:schemeClr w14:val="tx1"/>
            </w14:solidFill>
          </w14:textFill>
        </w:rPr>
        <w:fldChar w:fldCharType="begin"/>
      </w:r>
      <w:r>
        <w:rPr>
          <w:color w:val="000000" w:themeColor="text1"/>
          <w:spacing w:val="8"/>
          <w:szCs w:val="28"/>
          <w14:textFill>
            <w14:solidFill>
              <w14:schemeClr w14:val="tx1"/>
            </w14:solidFill>
          </w14:textFill>
        </w:rPr>
        <w:instrText xml:space="preserve"> = 3 \* ROMAN \* MERGEFORMAT </w:instrText>
      </w:r>
      <w:r>
        <w:rPr>
          <w:color w:val="000000" w:themeColor="text1"/>
          <w:spacing w:val="8"/>
          <w:szCs w:val="28"/>
          <w14:textFill>
            <w14:solidFill>
              <w14:schemeClr w14:val="tx1"/>
            </w14:solidFill>
          </w14:textFill>
        </w:rPr>
        <w:fldChar w:fldCharType="separate"/>
      </w:r>
      <w:r>
        <w:rPr>
          <w:color w:val="000000" w:themeColor="text1"/>
          <w:spacing w:val="8"/>
          <w:szCs w:val="28"/>
          <w14:textFill>
            <w14:solidFill>
              <w14:schemeClr w14:val="tx1"/>
            </w14:solidFill>
          </w14:textFill>
        </w:rPr>
        <w:t>III</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类的比例达到90%以上，水源地规范化建设比例达到90%以上</w:t>
      </w:r>
      <w:r>
        <w:rPr>
          <w:rFonts w:hint="eastAsia"/>
          <w:color w:val="000000" w:themeColor="text1"/>
          <w:spacing w:val="8"/>
          <w:szCs w:val="28"/>
          <w14:textFill>
            <w14:solidFill>
              <w14:schemeClr w14:val="tx1"/>
            </w14:solidFill>
          </w14:textFill>
        </w:rPr>
        <w:t>；</w:t>
      </w:r>
      <w:r>
        <w:rPr>
          <w:color w:val="000000" w:themeColor="text1"/>
          <w:spacing w:val="8"/>
          <w:szCs w:val="28"/>
          <w14:textFill>
            <w14:solidFill>
              <w14:schemeClr w14:val="tx1"/>
            </w14:solidFill>
          </w14:textFill>
        </w:rPr>
        <w:t>到2030年和2035年，县城以上集中式饮用水水源地水质达到或优于</w:t>
      </w:r>
      <w:r>
        <w:rPr>
          <w:color w:val="000000" w:themeColor="text1"/>
          <w:spacing w:val="8"/>
          <w:szCs w:val="28"/>
          <w14:textFill>
            <w14:solidFill>
              <w14:schemeClr w14:val="tx1"/>
            </w14:solidFill>
          </w14:textFill>
        </w:rPr>
        <w:fldChar w:fldCharType="begin"/>
      </w:r>
      <w:r>
        <w:rPr>
          <w:color w:val="000000" w:themeColor="text1"/>
          <w:spacing w:val="8"/>
          <w:szCs w:val="28"/>
          <w14:textFill>
            <w14:solidFill>
              <w14:schemeClr w14:val="tx1"/>
            </w14:solidFill>
          </w14:textFill>
        </w:rPr>
        <w:instrText xml:space="preserve"> = 3 \* ROMAN \* MERGEFORMAT </w:instrText>
      </w:r>
      <w:r>
        <w:rPr>
          <w:color w:val="000000" w:themeColor="text1"/>
          <w:spacing w:val="8"/>
          <w:szCs w:val="28"/>
          <w14:textFill>
            <w14:solidFill>
              <w14:schemeClr w14:val="tx1"/>
            </w14:solidFill>
          </w14:textFill>
        </w:rPr>
        <w:fldChar w:fldCharType="separate"/>
      </w:r>
      <w:r>
        <w:rPr>
          <w:color w:val="000000" w:themeColor="text1"/>
          <w:spacing w:val="8"/>
          <w:szCs w:val="28"/>
          <w14:textFill>
            <w14:solidFill>
              <w14:schemeClr w14:val="tx1"/>
            </w14:solidFill>
          </w14:textFill>
        </w:rPr>
        <w:t>III</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类的比例达到100%，农村集中式饮用水水源地水质达到或优于</w:t>
      </w:r>
      <w:r>
        <w:rPr>
          <w:color w:val="000000" w:themeColor="text1"/>
          <w:spacing w:val="8"/>
          <w:szCs w:val="28"/>
          <w14:textFill>
            <w14:solidFill>
              <w14:schemeClr w14:val="tx1"/>
            </w14:solidFill>
          </w14:textFill>
        </w:rPr>
        <w:fldChar w:fldCharType="begin"/>
      </w:r>
      <w:r>
        <w:rPr>
          <w:color w:val="000000" w:themeColor="text1"/>
          <w:spacing w:val="8"/>
          <w:szCs w:val="28"/>
          <w14:textFill>
            <w14:solidFill>
              <w14:schemeClr w14:val="tx1"/>
            </w14:solidFill>
          </w14:textFill>
        </w:rPr>
        <w:instrText xml:space="preserve"> = 3 \* ROMAN \* MERGEFORMAT </w:instrText>
      </w:r>
      <w:r>
        <w:rPr>
          <w:color w:val="000000" w:themeColor="text1"/>
          <w:spacing w:val="8"/>
          <w:szCs w:val="28"/>
          <w14:textFill>
            <w14:solidFill>
              <w14:schemeClr w14:val="tx1"/>
            </w14:solidFill>
          </w14:textFill>
        </w:rPr>
        <w:fldChar w:fldCharType="separate"/>
      </w:r>
      <w:r>
        <w:rPr>
          <w:color w:val="000000" w:themeColor="text1"/>
          <w:spacing w:val="8"/>
          <w:szCs w:val="28"/>
          <w14:textFill>
            <w14:solidFill>
              <w14:schemeClr w14:val="tx1"/>
            </w14:solidFill>
          </w14:textFill>
        </w:rPr>
        <w:t>III</w:t>
      </w:r>
      <w:r>
        <w:rPr>
          <w:color w:val="000000" w:themeColor="text1"/>
          <w:spacing w:val="8"/>
          <w:szCs w:val="28"/>
          <w14:textFill>
            <w14:solidFill>
              <w14:schemeClr w14:val="tx1"/>
            </w14:solidFill>
          </w14:textFill>
        </w:rPr>
        <w:fldChar w:fldCharType="end"/>
      </w:r>
      <w:r>
        <w:rPr>
          <w:color w:val="000000" w:themeColor="text1"/>
          <w:spacing w:val="8"/>
          <w:szCs w:val="28"/>
          <w14:textFill>
            <w14:solidFill>
              <w14:schemeClr w14:val="tx1"/>
            </w14:solidFill>
          </w14:textFill>
        </w:rPr>
        <w:t>类的比例达到95%以上，水源地规范化建设比例达到95%以上。</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（4）水生态保护与修复目标</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合理调配生活、生产、生态用水，建立生态环境用水保障制度，维护河湖水功能区正常功能，水生生物资源得到有效养护。到2025年，重点地区、水资源过度开发地区以及生态环境脆弱地区的水生态环境状况得到显著改善；到2030年，全区水生态环境状况得到改善；到2035年，现状挤占的生态环境用水基本得到退减，河湖湿地生态环境用水基本得到保障。</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（5）供水安全保障目标</w:t>
      </w:r>
    </w:p>
    <w:p>
      <w:pPr>
        <w:spacing w:line="520" w:lineRule="exact"/>
        <w:ind w:firstLine="592"/>
        <w:rPr>
          <w:color w:val="000000" w:themeColor="text1"/>
          <w:spacing w:val="8"/>
          <w:szCs w:val="28"/>
          <w14:textFill>
            <w14:solidFill>
              <w14:schemeClr w14:val="tx1"/>
            </w14:solidFill>
          </w14:textFill>
        </w:rPr>
        <w:sectPr>
          <w:headerReference r:id="rId14" w:type="default"/>
          <w:footerReference r:id="rId15" w:type="default"/>
          <w:pgSz w:w="11906" w:h="16838"/>
          <w:pgMar w:top="1440" w:right="1800" w:bottom="1440" w:left="1800" w:header="851" w:footer="737" w:gutter="0"/>
          <w:pgNumType w:start="1"/>
          <w:cols w:space="720" w:num="1"/>
          <w:docGrid w:type="lines" w:linePitch="381" w:charSpace="0"/>
        </w:sectPr>
      </w:pPr>
      <w:r>
        <w:rPr>
          <w:color w:val="000000" w:themeColor="text1"/>
          <w:spacing w:val="8"/>
          <w:szCs w:val="28"/>
          <w14:textFill>
            <w14:solidFill>
              <w14:schemeClr w14:val="tx1"/>
            </w14:solidFill>
          </w14:textFill>
        </w:rPr>
        <w:t>合理调配水资源，完善供水体系，提高水资源对社会经济可持续发展的支撑与保障能力。到2025年基本建成城乡饮水安全保障体系，重点地区缺水状况得到有效缓解，城乡居民普遍享有安全清洁的饮用水；到2030年全区缺水状况得到有效缓解，城乡居民基本享有安全清洁的饮用水；到2035年，水资源安全保障体系基本建立，重点城镇、重点区域基本建立双水源供水体系及应急备用水源体系，抗御干旱的能力显著提高，特殊干旱年份城乡居民生活和重点行业用水得到保障，供水安全基本得到有效保障。</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表1.3.1  通川区水资源开发利用主要规划目标表</w:t>
      </w:r>
    </w:p>
    <w:tbl>
      <w:tblPr>
        <w:tblStyle w:val="40"/>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76"/>
        <w:gridCol w:w="649"/>
        <w:gridCol w:w="930"/>
        <w:gridCol w:w="1117"/>
        <w:gridCol w:w="86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vMerge w:val="restar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bookmarkStart w:id="49" w:name="_Toc44337332"/>
            <w:r>
              <w:rPr>
                <w:rFonts w:eastAsia="宋体"/>
                <w:color w:val="000000" w:themeColor="text1"/>
                <w:sz w:val="24"/>
                <w14:textFill>
                  <w14:solidFill>
                    <w14:schemeClr w14:val="tx1"/>
                  </w14:solidFill>
                </w14:textFill>
              </w:rPr>
              <w:t>项目</w:t>
            </w:r>
          </w:p>
        </w:tc>
        <w:tc>
          <w:tcPr>
            <w:tcW w:w="389" w:type="pct"/>
            <w:vMerge w:val="restar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单位</w:t>
            </w:r>
          </w:p>
        </w:tc>
        <w:tc>
          <w:tcPr>
            <w:tcW w:w="2286" w:type="pct"/>
            <w:gridSpan w:val="4"/>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本报告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89"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2020年</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2025年</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2030年</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全区用水总量控制指标</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亿</w:t>
            </w:r>
            <w:r>
              <w:rPr>
                <w:rFonts w:hint="eastAsia" w:eastAsia="宋体"/>
                <w:color w:val="000000" w:themeColor="text1"/>
                <w:sz w:val="24"/>
                <w14:textFill>
                  <w14:solidFill>
                    <w14:schemeClr w14:val="tx1"/>
                  </w14:solidFill>
                </w14:textFill>
              </w:rPr>
              <w:t>m³</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2.49</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2.61</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2.61</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万元工业增加值用水</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m³</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34</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25</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18</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农田灌溉综合定额</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m³</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158</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150</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150</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农田灌溉水利用系数</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0.49</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0.55</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0.60</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灌溉面积</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万亩</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11.96</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19.68</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34.54</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城镇供水管网漏损率</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12</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城市集中供水水源地水质达标率</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25"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国家级重要水功能区水质达标率</w:t>
            </w:r>
          </w:p>
        </w:tc>
        <w:tc>
          <w:tcPr>
            <w:tcW w:w="38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p>
        </w:tc>
        <w:tc>
          <w:tcPr>
            <w:tcW w:w="558"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60</w:t>
            </w:r>
          </w:p>
        </w:tc>
        <w:tc>
          <w:tcPr>
            <w:tcW w:w="670"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w:t>
            </w:r>
          </w:p>
        </w:tc>
        <w:tc>
          <w:tcPr>
            <w:tcW w:w="518" w:type="pct"/>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w:t>
            </w:r>
          </w:p>
        </w:tc>
        <w:tc>
          <w:tcPr>
            <w:tcW w:w="539" w:type="pct"/>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w:t>
            </w:r>
          </w:p>
        </w:tc>
      </w:tr>
    </w:tbl>
    <w:p>
      <w:pPr>
        <w:pStyle w:val="5"/>
        <w:rPr>
          <w:rFonts w:ascii="Times New Roman" w:hAnsi="Times New Roman"/>
          <w:color w:val="000000" w:themeColor="text1"/>
          <w14:textFill>
            <w14:solidFill>
              <w14:schemeClr w14:val="tx1"/>
            </w14:solidFill>
          </w14:textFill>
        </w:rPr>
      </w:pPr>
      <w:bookmarkStart w:id="50" w:name="_Toc5623"/>
      <w:r>
        <w:rPr>
          <w:rFonts w:ascii="Times New Roman" w:hAnsi="Times New Roman"/>
          <w:color w:val="000000" w:themeColor="text1"/>
          <w14:textFill>
            <w14:solidFill>
              <w14:schemeClr w14:val="tx1"/>
            </w14:solidFill>
          </w14:textFill>
        </w:rPr>
        <w:t>1.3.2  规划范围、水平年</w:t>
      </w:r>
      <w:bookmarkEnd w:id="49"/>
      <w:r>
        <w:rPr>
          <w:rFonts w:ascii="Times New Roman" w:hAnsi="Times New Roman"/>
          <w:color w:val="000000" w:themeColor="text1"/>
          <w14:textFill>
            <w14:solidFill>
              <w14:schemeClr w14:val="tx1"/>
            </w14:solidFill>
          </w14:textFill>
        </w:rPr>
        <w:t>和设计保证率</w:t>
      </w:r>
      <w:bookmarkEnd w:id="50"/>
    </w:p>
    <w:p>
      <w:pPr>
        <w:spacing w:line="520" w:lineRule="exact"/>
        <w:ind w:firstLine="560"/>
        <w:rPr>
          <w:color w:val="000000" w:themeColor="text1"/>
          <w:spacing w:val="8"/>
          <w:szCs w:val="28"/>
          <w14:textFill>
            <w14:solidFill>
              <w14:schemeClr w14:val="tx1"/>
            </w14:solidFill>
          </w14:textFill>
        </w:rPr>
      </w:pPr>
      <w:r>
        <w:rPr>
          <w:color w:val="000000" w:themeColor="text1"/>
          <w14:textFill>
            <w14:solidFill>
              <w14:schemeClr w14:val="tx1"/>
            </w14:solidFill>
          </w14:textFill>
        </w:rPr>
        <w:t>本次规划范围为通川区全区，规划区幅员面积888k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，涉及</w:t>
      </w:r>
      <w:r>
        <w:rPr>
          <w:color w:val="000000" w:themeColor="text1"/>
          <w:szCs w:val="28"/>
          <w14:textFill>
            <w14:solidFill>
              <w14:schemeClr w14:val="tx1"/>
            </w14:solidFill>
          </w14:textFill>
        </w:rPr>
        <w:t>五街十二镇一乡一委</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参照《全国水资源综合规划工作大纲》规定，</w:t>
      </w:r>
      <w:r>
        <w:rPr>
          <w:color w:val="000000" w:themeColor="text1"/>
          <w:spacing w:val="8"/>
          <w:szCs w:val="28"/>
          <w14:textFill>
            <w14:solidFill>
              <w14:schemeClr w14:val="tx1"/>
            </w14:solidFill>
          </w14:textFill>
        </w:rPr>
        <w:t>依据通川区的国民经济发展规划、城市总体规划，结合水利建设发展规划，</w:t>
      </w:r>
      <w:r>
        <w:rPr>
          <w:color w:val="000000" w:themeColor="text1"/>
          <w14:textFill>
            <w14:solidFill>
              <w14:schemeClr w14:val="tx1"/>
            </w14:solidFill>
          </w14:textFill>
        </w:rPr>
        <w:t>本报告以2020年作为现状年和基准年，近期规划水平年为2025年，中期规划水平年为2030年，远期规划水平年为2035年。</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按供水对象的不同，供水保证率分别确定：</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1、工业生活、农村人畜保证率95%。</w:t>
      </w:r>
    </w:p>
    <w:p>
      <w:pPr>
        <w:spacing w:line="520" w:lineRule="exact"/>
        <w:ind w:firstLine="592"/>
        <w:rPr>
          <w:color w:val="000000" w:themeColor="text1"/>
          <w:szCs w:val="28"/>
          <w14:textFill>
            <w14:solidFill>
              <w14:schemeClr w14:val="tx1"/>
            </w14:solidFill>
          </w14:textFill>
        </w:rPr>
      </w:pPr>
      <w:r>
        <w:rPr>
          <w:color w:val="000000" w:themeColor="text1"/>
          <w:spacing w:val="8"/>
          <w:szCs w:val="28"/>
          <w14:textFill>
            <w14:solidFill>
              <w14:schemeClr w14:val="tx1"/>
            </w14:solidFill>
          </w14:textFill>
        </w:rPr>
        <w:t>2、</w:t>
      </w:r>
      <w:r>
        <w:rPr>
          <w:color w:val="000000" w:themeColor="text1"/>
          <w:szCs w:val="28"/>
          <w14:textFill>
            <w14:solidFill>
              <w14:schemeClr w14:val="tx1"/>
            </w14:solidFill>
          </w14:textFill>
        </w:rPr>
        <w:t>灌溉设计保证率取75%。</w:t>
      </w:r>
    </w:p>
    <w:p>
      <w:pPr>
        <w:pStyle w:val="5"/>
        <w:rPr>
          <w:rFonts w:ascii="Times New Roman" w:hAnsi="Times New Roman"/>
          <w:color w:val="000000" w:themeColor="text1"/>
          <w14:textFill>
            <w14:solidFill>
              <w14:schemeClr w14:val="tx1"/>
            </w14:solidFill>
          </w14:textFill>
        </w:rPr>
      </w:pPr>
      <w:bookmarkStart w:id="51" w:name="_Toc27544"/>
      <w:r>
        <w:rPr>
          <w:rFonts w:ascii="Times New Roman" w:hAnsi="Times New Roman"/>
          <w:color w:val="000000" w:themeColor="text1"/>
          <w14:textFill>
            <w14:solidFill>
              <w14:schemeClr w14:val="tx1"/>
            </w14:solidFill>
          </w14:textFill>
        </w:rPr>
        <w:t>1.3.3  规划的主要任务</w:t>
      </w:r>
      <w:bookmarkEnd w:id="51"/>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1、建立科学用水模式</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转变用水方式，控制用水总量。按照强化节水的用水模式，控制用水总量的过度增长。转变经济增长方式和用水方式，按照建立循环经济要求降低经济社会发展对水资源的消耗。按照提高水资源利用效率的要求，严格用水定额，控制不合理的需求，通过节水及治污减少排污量、保护水环境，各乡镇与用水行业均要严格控制用水量的增长速度。</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提高水资源利用效率和效益。加大对现有水资源利用设施的配套与节水改造，推广使用高效用水设施和高效用水技术，逐步建立设施齐备、配套完善、调控自如、用水高效的水资源高效利用工程保障和技术保障体系，提高水资源利用率和效益，实行经济合理的节水定额，用水水平达到省内同类地区的先进水平。</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建设节水型农业、节水型工业和节水型服务业。农业节水以提高灌溉用水利用系数为核心，结合发展循环型农业，调整农业种植结构，加快灌区配套与节水改造，积极推广和普及田间节水技术。工业节水要通过控制用水总量和严格定额管理、取水许可审批、用水与节水计划考核等加强工业用水和节水的管理；通过改造用水工艺和技术、提高工业用水的重复利用率，降低单位产品的取水量。生活节水要以用水量较多的相关行业为重点，加快节水性服务行业的建设。</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2、制定水资源配置方案</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完善水资源配置格局。根据当地水资源承载能力，合理规划、加强水资源调蓄和配置工程建设，通过水资源的配置，提高水资源整体承载能力，缓解水资源供需矛盾。要优化供水结构，合理调配水资源，形成地表水与地下水、本地水与过境水、新鲜水与再生水联合调配，蓄引提相结合的供水网络，完善水资源配置格局，建立水资源配置合理、调度运行自如、安全保障程度高、抗御干旱能力强、生态环境友好的水资源合理配置格局和城乡安全供水保障体系，保障经济社会可持续发展对水资源的合理要求。</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保障重点区域的供水安全。在节约用水的前提下，合理调配水源，改造和扩建现有水源地，科学规划现有水源地，提高供水能力，保障城乡饮水安全；在已有灌区大力加强配套改造，提高农业用水效率和效益的基础上，在水土资源较匹配的地区适度发展灌溉面积，为粮食安全提供水资源保障；合理配置工业园区和城镇供水水源，重点保障城镇供水安全，缓解水资源供需矛盾突出地区的缺水状况，同时也要保证水源工程的安全。</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提高水资源应急调配能力。推进城镇与工业园区多水源建设，加强水源地之间和供水系统之间的联合调配。制定特枯水年和连续枯水年等紧急情况下供水量分配方案和水量调度预案以及重要水库与供水工程应急供水调度预案等。建立健全从水源地到供水末端供水安全监测体系，制定和完善应急供水预案，提高特枯水年、连续枯水年以及突发事件的应对能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3、加强水资源保护</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实行污染物入河总量控制。以保障用水安全、恢复和保护水体功能、改善水环境为前提，根据水功能区保护目标要求核定水域纳污能力，提出污染物入河限制排放总量的意见，取缔饮水水源保护区内的排污口，综合整治入河排污口，逐步建立起以水源地保护为重点，以水功能区为基础的水资源保护制度，形成水资源消耗少、废污水排放量少、污染物入河总控制、入河排污口有效监督、水质动态监测、超标预警的水资源保护体系。</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加强点污染源和非点污染源的治理与控制。通过部门协作，加大水污染治理力度，工业企业废污水全部实现达标排放，加快城镇污水管网和处理设施建设，提高污水处理程度和处理水平，减少废污水和污染物的排放量；加强对重要水源地和引水工程沿线水污染防治和水资源保护力度。采用有利于生态环境保护的土地使用方式和农业耕作方式，科学使用化肥、农药，加强农村生态环境综合整治、水土流失防治等综合治理措施，逐步控制非点源污染负荷，减少非点源污染物入河量。</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4、加强水资源综合管理</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建立健全水资源综合管理体制。建立适应社会主义市场经济要求的集中统一、依法行政、具有权威的水资源综合管理体制。加强水行政主管部门对全区水资源统一规划、统一调配和综合管理职责。</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建立以水功能保护区为基础的水资源保护制度。制定水功能区管理条例，根据郪江及其支流河段水功能区纳污能力控制入河排污量，加强对入河排污口的登记、审批和监督管理，实行入河排污总量控制；制定重大水污染事件应急预案；合理划定城镇饮用水源地的保护范围，加强对饮用水源地的保护和安全监督管理。</w:t>
      </w:r>
    </w:p>
    <w:p>
      <w:pPr>
        <w:spacing w:line="520" w:lineRule="exact"/>
        <w:ind w:firstLine="560"/>
        <w:rPr>
          <w:rFonts w:eastAsia="华文仿宋"/>
          <w:color w:val="000000" w:themeColor="text1"/>
          <w14:textFill>
            <w14:solidFill>
              <w14:schemeClr w14:val="tx1"/>
            </w14:solidFill>
          </w14:textFill>
        </w:rPr>
      </w:pPr>
      <w:r>
        <w:rPr>
          <w:color w:val="000000" w:themeColor="text1"/>
          <w14:textFill>
            <w14:solidFill>
              <w14:schemeClr w14:val="tx1"/>
            </w14:solidFill>
          </w14:textFill>
        </w:rPr>
        <w:t>逐步建立水生态保护制度。根据水资源承载能力，按照通川区郪江及其支流段生态用水标准，在水资源配置中统筹协调人与自然用水，建立生态用水保障机制和生态补偿机制，维持河流健康生命。</w:t>
      </w:r>
    </w:p>
    <w:p>
      <w:pPr>
        <w:widowControl/>
        <w:adjustRightInd/>
        <w:snapToGrid/>
        <w:spacing w:line="240" w:lineRule="auto"/>
        <w:ind w:firstLine="0" w:firstLineChars="0"/>
        <w:jc w:val="left"/>
        <w:rPr>
          <w:rFonts w:eastAsia="华文仿宋"/>
          <w:color w:val="000000" w:themeColor="text1"/>
          <w14:textFill>
            <w14:solidFill>
              <w14:schemeClr w14:val="tx1"/>
            </w14:solidFill>
          </w14:textFill>
        </w:rPr>
      </w:pPr>
      <w:r>
        <w:rPr>
          <w:rFonts w:eastAsia="华文仿宋"/>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52" w:name="_Toc5898"/>
      <w:bookmarkStart w:id="53" w:name="_Toc5987"/>
      <w:bookmarkStart w:id="54" w:name="_Toc26257"/>
      <w:bookmarkStart w:id="55" w:name="_Toc25486"/>
      <w:bookmarkStart w:id="56" w:name="_Toc9020"/>
      <w:r>
        <w:rPr>
          <w:color w:val="000000" w:themeColor="text1"/>
          <w14:textFill>
            <w14:solidFill>
              <w14:schemeClr w14:val="tx1"/>
            </w14:solidFill>
          </w14:textFill>
        </w:rPr>
        <w:t>2  水文水资源调查评价</w:t>
      </w:r>
      <w:bookmarkEnd w:id="52"/>
      <w:bookmarkEnd w:id="53"/>
      <w:bookmarkEnd w:id="54"/>
      <w:bookmarkEnd w:id="55"/>
      <w:bookmarkEnd w:id="56"/>
    </w:p>
    <w:p>
      <w:pPr>
        <w:pStyle w:val="4"/>
        <w:rPr>
          <w:rFonts w:ascii="Times New Roman" w:hAnsi="Times New Roman" w:cs="Times New Roman"/>
          <w:color w:val="000000" w:themeColor="text1"/>
          <w14:textFill>
            <w14:solidFill>
              <w14:schemeClr w14:val="tx1"/>
            </w14:solidFill>
          </w14:textFill>
        </w:rPr>
      </w:pPr>
      <w:bookmarkStart w:id="57" w:name="_Toc6030"/>
      <w:bookmarkStart w:id="58" w:name="_Toc27875"/>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"_Toc7599" </w:instrText>
      </w:r>
      <w:r>
        <w:rPr>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2.1  水资源量</w:t>
      </w:r>
      <w:r>
        <w:rPr>
          <w:rFonts w:ascii="Times New Roman" w:hAnsi="Times New Roman" w:cs="Times New Roman"/>
          <w:color w:val="000000" w:themeColor="text1"/>
          <w14:textFill>
            <w14:solidFill>
              <w14:schemeClr w14:val="tx1"/>
            </w14:solidFill>
          </w14:textFill>
        </w:rPr>
        <w:fldChar w:fldCharType="end"/>
      </w:r>
      <w:bookmarkEnd w:id="57"/>
      <w:bookmarkEnd w:id="58"/>
    </w:p>
    <w:p>
      <w:pPr>
        <w:pStyle w:val="5"/>
        <w:rPr>
          <w:color w:val="000000" w:themeColor="text1"/>
          <w14:textFill>
            <w14:solidFill>
              <w14:schemeClr w14:val="tx1"/>
            </w14:solidFill>
          </w14:textFill>
        </w:rPr>
      </w:pPr>
      <w:bookmarkStart w:id="59" w:name="_Toc2874"/>
      <w:r>
        <w:rPr>
          <w:color w:val="000000" w:themeColor="text1"/>
          <w14:textFill>
            <w14:solidFill>
              <w14:schemeClr w14:val="tx1"/>
            </w14:solidFill>
          </w14:textFill>
        </w:rPr>
        <w:t>2.1.1  水资源分析与计算</w:t>
      </w:r>
      <w:bookmarkEnd w:id="59"/>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2.1.1.1  河流水系</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通川区境内河流纵横，溪河密布，区内有大小溪河41条，集水面积在50k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以上的有11条，巴河、州河是境内最大河流。通川区主要河流特征值见表2.1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（1）巴河</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巴河为渠江主要支流，地理位置介于东经106°17'～108°00'、北纬31°02'～32°50'之间。上源于平昌县城江口镇处分为通江河、南江河两支，均发源于陕西省米仓山南麓。前者为主流，发源于陕西省南郑县广家店乡境内大红岩，海拔高程2500m，由北向南流，经陕西省广家店、碑坝，入川后经平溪、涪阳、通江县城诺江镇、广纳、云台至平昌县城江口镇与南江河汇合后称巴河。继续南流经白衣、石梯、文崇至渠县三汇镇入渠江，流域形状呈扇形，控制面积19927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，368.4km，其中，巴河通川区入境处控制流域面积15730k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，巴河通川区境内主河长约9.3km。</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（2）州河</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州河属渠江一级支流，地理位置介于东经107°10'～109°01'、北纬30°37'～32°15'之间，上源分前、中、后河三支，均发源于大巴山南麓。前河为主流，发源于城口县燕麦乡光头山，海拔2685m，自北东向西南流，至宣汉县城附近与后河汇合后始称州河，继续西南流，经宣汉、达州至三汇镇汇入渠江。流域形状呈扇形，主河长310km，控制流域面积11165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。其中，州河通川区入境处控制流域面积6766k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，州河通川区境内主河长约21.9km。</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（3）长滩河</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长滩河为巴河左岸一支流，发源于宣汉县西北红峰乡的四方山，南流折西南流经沿山、马渡（左纳花池河），右纳平昌县的笔山，南流鲁班河，折南流经庆云（左纳关门河），入通川境至碑庙上游佐纳梅家沟河），下游（右纳大滩沟）。继续西南流，经高坪、新溪乡，于新溪乡吴家沟注入巴河。控制流域面积925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r>
        <w:rPr>
          <w:color w:val="000000" w:themeColor="text1"/>
          <w:lang w:val="zh-CN"/>
          <w14:textFill>
            <w14:solidFill>
              <w14:schemeClr w14:val="tx1"/>
            </w14:solidFill>
          </w14:textFill>
        </w:rPr>
        <w:t>主笠</w:t>
      </w:r>
      <w:r>
        <w:rPr>
          <w:color w:val="000000" w:themeColor="text1"/>
          <w14:textFill>
            <w14:solidFill>
              <w14:schemeClr w14:val="tx1"/>
            </w14:solidFill>
          </w14:textFill>
        </w:rPr>
        <w:t>75km，平均坡降7.82%。其中，长滩河通川区入境处控制流域面积428.7k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，长滩河通川区境内主河长约33.0km。</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（4）洞滩河</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洞滩河为巴河左岸一级支流，发源于平昌县泰家山一带，由北向南流，经平昌县柏树岭、大河地、应和寨等，于龙台寺白林湾处转西流，经高兴银、谢家碣后，于三溪口与右岸刘家沟汇合后转南流，经石板坪、刘家碣后，在梅家坝与右岸麻洞沟汇合后继续南流，经大磨坪、牛场坪、大石口后于达川区江陵处汇入巴河左岸，主河道长29.9km，控制流域面积148.3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，平均比降5.89%。其中，洞滩河通川区入境处控制流域面积114.9k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，洞滩河通川区境内主河长约10.8km。</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（5）明月江</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明月江为州河左岸支流，发源于开江县梅家坝乡北隅分水岭。上源称白岩河，过梅家坝、大堰塘，入宝石桥水库区，出库过宝塔坝、明月寺、踏滩河，以下称明月江，过葫芦乡、大滩乡、麻柳镇、大风乡、魏家洞，至江阳乡入达州市境。过李家溪、磐石镇，于小河嘴汇入州河。流域面积1923.9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，河道全长115km，平均比降4.2%。其中，明月江通川区入境处控制流域面积1841k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，明月江通川区境内主河长约15.5km。</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表2.1.1  通川区主要河流征值表</w:t>
      </w:r>
    </w:p>
    <w:tbl>
      <w:tblPr>
        <w:tblStyle w:val="40"/>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8"/>
        <w:gridCol w:w="811"/>
        <w:gridCol w:w="886"/>
        <w:gridCol w:w="901"/>
        <w:gridCol w:w="2828"/>
        <w:gridCol w:w="799"/>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序号</w:t>
            </w:r>
          </w:p>
          <w:p>
            <w:pPr>
              <w:pStyle w:val="51"/>
              <w:ind w:firstLine="448"/>
              <w:rPr>
                <w:rFonts w:cs="Times New Roman"/>
                <w:color w:val="000000" w:themeColor="text1"/>
                <w:sz w:val="24"/>
                <w14:textFill>
                  <w14:solidFill>
                    <w14:schemeClr w14:val="tx1"/>
                  </w14:solidFill>
                </w14:textFill>
              </w:rPr>
            </w:pP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河流</w:t>
            </w:r>
          </w:p>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名称</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流域总面积(k</w:t>
            </w:r>
            <w:r>
              <w:rPr>
                <w:rFonts w:hint="eastAsia"/>
                <w:color w:val="000000" w:themeColor="text1"/>
                <w:szCs w:val="24"/>
                <w14:textFill>
                  <w14:solidFill>
                    <w14:schemeClr w14:val="tx1"/>
                  </w14:solidFill>
                </w14:textFill>
              </w:rPr>
              <w:t>m²</w:t>
            </w:r>
            <w:r>
              <w:rPr>
                <w:color w:val="000000" w:themeColor="text1"/>
                <w:szCs w:val="24"/>
                <w14:textFill>
                  <w14:solidFill>
                    <w14:schemeClr w14:val="tx1"/>
                  </w14:solidFill>
                </w14:textFill>
              </w:rPr>
              <w:t>)</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区境内河流长度（km）</w:t>
            </w:r>
          </w:p>
        </w:tc>
        <w:tc>
          <w:tcPr>
            <w:tcW w:w="1691"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通川区境内起止位置</w:t>
            </w:r>
          </w:p>
        </w:tc>
        <w:tc>
          <w:tcPr>
            <w:tcW w:w="478"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上一级  河流</w:t>
            </w:r>
          </w:p>
        </w:tc>
        <w:tc>
          <w:tcPr>
            <w:tcW w:w="1003"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通川区境内流经乡镇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州河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11100</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21.9</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从通川区罗江镇入境，于凤西街道龙家庙村入达川区。</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渠江</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罗江镇、凤北街道、东办、西办、朝办、凤西街道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巴河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38913</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9.3</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从通川区江陵镇棋盘村入境，后从棋盘村入达川区。</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渠江</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江陵镇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915.5</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33</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从通川区青宁镇永丰村入境，于江陵镇集山村入巴河。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巴河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青宁镇、碑庙镇、北山镇、金石镇、江陵镇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洞滩河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147.5</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10.8</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从通川区北山镇剑锋村入境，江陵镇石楼村汇入巴河。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巴河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江陵镇、北山镇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1923.9</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15.5</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从通川区磐石镇入境，于凤北街道张家坝社区汇入州河。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州河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磐石镇、凤北街道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6</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魏家河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86.3</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19</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发源于通川区蒲家镇，于罗江镇三桥社区入州河。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州河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蒲家镇、罗江镇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109.4</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34</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发源于通川区东岳镇，于凤西街道西河社区汇入州河。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州河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东岳镇、双龙镇、复兴镇、凤西街道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323.8</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11.8</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起源于金石镇吹角村入双龙镇挖断山村，经玉坪寨村流入沙滩河水库。</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巴河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金石镇、双龙镇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梓桐河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140.8</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12.4（境内）</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从通川区梓桐镇洞沟村入境，于碑庙镇三关村汇入长滩河。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梓桐镇、碑庙镇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10</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大堰河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114</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16.4</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起源于通川区金石镇金山村，经双龙镇硐庙村汇入达川区。</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巴河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金石镇、双龙镇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74"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11</w:t>
            </w:r>
          </w:p>
        </w:tc>
        <w:tc>
          <w:tcPr>
            <w:tcW w:w="485"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施家河</w:t>
            </w:r>
          </w:p>
        </w:tc>
        <w:tc>
          <w:tcPr>
            <w:tcW w:w="530"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109.6</w:t>
            </w:r>
          </w:p>
        </w:tc>
        <w:tc>
          <w:tcPr>
            <w:tcW w:w="539" w:type="pct"/>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19.7（境内）</w:t>
            </w:r>
          </w:p>
        </w:tc>
        <w:tc>
          <w:tcPr>
            <w:tcW w:w="301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发源宣汉县隘口乡，于碑庙镇万福村汇入长滩河。</w:t>
            </w:r>
          </w:p>
        </w:tc>
        <w:tc>
          <w:tcPr>
            <w:tcW w:w="851"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1786" w:type="dxa"/>
            <w:vAlign w:val="center"/>
          </w:tcPr>
          <w:p>
            <w:pPr>
              <w:pStyle w:val="50"/>
              <w:spacing w:before="190"/>
              <w:rPr>
                <w:color w:val="000000" w:themeColor="text1"/>
                <w:szCs w:val="24"/>
                <w14:textFill>
                  <w14:solidFill>
                    <w14:schemeClr w14:val="tx1"/>
                  </w14:solidFill>
                </w14:textFill>
              </w:rPr>
            </w:pPr>
            <w:r>
              <w:rPr>
                <w:color w:val="000000" w:themeColor="text1"/>
                <w:szCs w:val="24"/>
                <w14:textFill>
                  <w14:solidFill>
                    <w14:schemeClr w14:val="tx1"/>
                  </w14:solidFill>
                </w14:textFill>
              </w:rPr>
              <w:t>安云乡、碑庙镇、青宁镇</w:t>
            </w:r>
          </w:p>
        </w:tc>
      </w:tr>
    </w:tbl>
    <w:p>
      <w:pPr>
        <w:ind w:firstLine="0" w:firstLineChars="0"/>
        <w:rPr>
          <w:color w:val="000000" w:themeColor="text1"/>
          <w14:textFill>
            <w14:solidFill>
              <w14:schemeClr w14:val="tx1"/>
            </w14:solidFill>
          </w14:textFill>
        </w:rPr>
      </w:pPr>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2.1.1.2  气象特征</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属亚热带湿润季风气候区，气候温和，冬无严寒，夏季炎热，雨量相对集中，气温由北向南呈递增趋势，多年平均气温14.7°C～17.2°C，极端最低气温-4.0°C～-9.4°C，最高气温39.2°C～42.3°C，降水在域内由南向北呈递减趋势，全区多年平均降雨量1211.3mm左右，中部及南部片区降雨量较大，平均年降雨量1232.6mm，西部及北部片区降水量较小，平均年降雨量1190.3mm，降雨年内分配不均，主要集中在7月～9月，其它月份相对较少。</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降水量呈地区分布不均匀特点，降水量在1150mm～1250mm之间。西部片区降水量在1160mm～1250mm之间；中部片区降水量在1250mm左右；北部片区降水量在1190mm左右；南部片区降水量在1210mm左右。降水量年际变化较明显，境内年降水量变差系数在0.15～0.27之间，通川区年降水最大1695.3mm（1963年），最小842.1mm（1961年），倍比达2.01倍；降水量年内分配不均，主要集中在5～10月，其降水量占全年总量的75.0%～79.6%；6～9月降水量较多，占全年的48.9%～58.4%；冬季12月和1月降水量较少。</w:t>
      </w:r>
    </w:p>
    <w:p>
      <w:pPr>
        <w:pStyle w:val="5"/>
        <w:spacing w:before="156" w:after="156"/>
        <w:rPr>
          <w:rFonts w:ascii="Times New Roman" w:hAnsi="Times New Roman"/>
          <w:color w:val="000000" w:themeColor="text1"/>
          <w14:textFill>
            <w14:solidFill>
              <w14:schemeClr w14:val="tx1"/>
            </w14:solidFill>
          </w14:textFill>
        </w:rPr>
      </w:pPr>
      <w:bookmarkStart w:id="60" w:name="_Toc5950"/>
      <w:r>
        <w:rPr>
          <w:rFonts w:ascii="Times New Roman" w:hAnsi="Times New Roman"/>
          <w:color w:val="000000" w:themeColor="text1"/>
          <w14:textFill>
            <w14:solidFill>
              <w14:schemeClr w14:val="tx1"/>
            </w14:solidFill>
          </w14:textFill>
        </w:rPr>
        <w:t>2.1.2  当地水资源量</w:t>
      </w:r>
      <w:bookmarkEnd w:id="60"/>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2.1.2.1  水资源分区</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（1）分区的目的</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水资源分区是水资源量计算和供需平衡分析的基本单元。水资源的开发利用和水环境的保护和治理受自然地理条件、社会经济情况、工农业布局、城镇发展、水资源特点以及水利工程设施等诸多因素的制约。为了因地制宜、合理开发利用水资源、保护和治理水环境，既反映各地区的特点，又探索共同的规律，展望同类型地区的开发前景，需要对水资源供需分析，揭示其供需矛盾，提出解决不同类型供需矛盾的相应措施。</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（2）分区的原则</w:t>
      </w:r>
    </w:p>
    <w:p>
      <w:pPr>
        <w:spacing w:line="520" w:lineRule="exact"/>
        <w:ind w:firstLine="560"/>
        <w:rPr>
          <w:color w:val="000000" w:themeColor="text1"/>
          <w14:textFill>
            <w14:solidFill>
              <w14:schemeClr w14:val="tx1"/>
            </w14:solidFill>
          </w14:textFill>
        </w:rPr>
      </w:pPr>
      <w:bookmarkStart w:id="61" w:name="bookmark25"/>
      <w:r>
        <w:rPr>
          <w:color w:val="000000" w:themeColor="text1"/>
          <w14:textFill>
            <w14:solidFill>
              <w14:schemeClr w14:val="tx1"/>
            </w14:solidFill>
          </w14:textFill>
        </w:rPr>
        <w:t>1</w:t>
      </w:r>
      <w:bookmarkEnd w:id="61"/>
      <w:r>
        <w:rPr>
          <w:color w:val="000000" w:themeColor="text1"/>
          <w14:textFill>
            <w14:solidFill>
              <w14:schemeClr w14:val="tx1"/>
            </w14:solidFill>
          </w14:textFill>
        </w:rPr>
        <w:t>）与通川区提出的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三城三地三片区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（实力之城、活力之城、魅力之城，通达开放前沿地、城郊旅游目的地、幸福宜居首选地，都市商贸物流集聚片区、环凤产城一体发展片区、北部农旅融合发展片区）发展战略充分协调；</w:t>
      </w:r>
    </w:p>
    <w:p>
      <w:pPr>
        <w:spacing w:line="520" w:lineRule="exact"/>
        <w:ind w:firstLine="560"/>
        <w:rPr>
          <w:color w:val="000000" w:themeColor="text1"/>
          <w14:textFill>
            <w14:solidFill>
              <w14:schemeClr w14:val="tx1"/>
            </w14:solidFill>
          </w14:textFill>
        </w:rPr>
      </w:pPr>
      <w:bookmarkStart w:id="62" w:name="bookmark26"/>
      <w:r>
        <w:rPr>
          <w:color w:val="000000" w:themeColor="text1"/>
          <w14:textFill>
            <w14:solidFill>
              <w14:schemeClr w14:val="tx1"/>
            </w14:solidFill>
          </w14:textFill>
        </w:rPr>
        <w:t>2</w:t>
      </w:r>
      <w:bookmarkEnd w:id="62"/>
      <w:r>
        <w:rPr>
          <w:color w:val="000000" w:themeColor="text1"/>
          <w14:textFill>
            <w14:solidFill>
              <w14:schemeClr w14:val="tx1"/>
            </w14:solidFill>
          </w14:textFill>
        </w:rPr>
        <w:t>）照顾流域、水系和供水工程系统的完整性；</w:t>
      </w:r>
    </w:p>
    <w:p>
      <w:pPr>
        <w:spacing w:line="520" w:lineRule="exact"/>
        <w:ind w:firstLine="560"/>
        <w:rPr>
          <w:color w:val="000000" w:themeColor="text1"/>
          <w14:textFill>
            <w14:solidFill>
              <w14:schemeClr w14:val="tx1"/>
            </w14:solidFill>
          </w14:textFill>
        </w:rPr>
      </w:pPr>
      <w:bookmarkStart w:id="63" w:name="bookmark27"/>
      <w:r>
        <w:rPr>
          <w:color w:val="000000" w:themeColor="text1"/>
          <w14:textFill>
            <w14:solidFill>
              <w14:schemeClr w14:val="tx1"/>
            </w14:solidFill>
          </w14:textFill>
        </w:rPr>
        <w:t>3</w:t>
      </w:r>
      <w:bookmarkEnd w:id="63"/>
      <w:r>
        <w:rPr>
          <w:color w:val="000000" w:themeColor="text1"/>
          <w14:textFill>
            <w14:solidFill>
              <w14:schemeClr w14:val="tx1"/>
            </w14:solidFill>
          </w14:textFill>
        </w:rPr>
        <w:t>）分区要体现自然地理条件的相似性和水资源开发利用条件的类似性；</w:t>
      </w:r>
    </w:p>
    <w:p>
      <w:pPr>
        <w:spacing w:line="520" w:lineRule="exact"/>
        <w:ind w:firstLine="560"/>
        <w:rPr>
          <w:color w:val="000000" w:themeColor="text1"/>
          <w14:textFill>
            <w14:solidFill>
              <w14:schemeClr w14:val="tx1"/>
            </w14:solidFill>
          </w14:textFill>
        </w:rPr>
      </w:pPr>
      <w:bookmarkStart w:id="64" w:name="bookmark28"/>
      <w:r>
        <w:rPr>
          <w:color w:val="000000" w:themeColor="text1"/>
          <w14:textFill>
            <w14:solidFill>
              <w14:schemeClr w14:val="tx1"/>
            </w14:solidFill>
          </w14:textFill>
        </w:rPr>
        <w:t>4</w:t>
      </w:r>
      <w:bookmarkEnd w:id="64"/>
      <w:r>
        <w:rPr>
          <w:color w:val="000000" w:themeColor="text1"/>
          <w14:textFill>
            <w14:solidFill>
              <w14:schemeClr w14:val="tx1"/>
            </w14:solidFill>
          </w14:textFill>
        </w:rPr>
        <w:t>）尽可能保持行政区的完整性，以利于水资源的统一管理、统一规划、调配和取水许可制度的实施；</w:t>
      </w:r>
    </w:p>
    <w:p>
      <w:pPr>
        <w:spacing w:line="520" w:lineRule="exact"/>
        <w:ind w:firstLine="560"/>
        <w:rPr>
          <w:color w:val="000000" w:themeColor="text1"/>
          <w14:textFill>
            <w14:solidFill>
              <w14:schemeClr w14:val="tx1"/>
            </w14:solidFill>
          </w14:textFill>
        </w:rPr>
      </w:pPr>
      <w:bookmarkStart w:id="65" w:name="bookmark29"/>
      <w:r>
        <w:rPr>
          <w:color w:val="000000" w:themeColor="text1"/>
          <w14:textFill>
            <w14:solidFill>
              <w14:schemeClr w14:val="tx1"/>
            </w14:solidFill>
          </w14:textFill>
        </w:rPr>
        <w:t>5</w:t>
      </w:r>
      <w:bookmarkEnd w:id="65"/>
      <w:r>
        <w:rPr>
          <w:color w:val="000000" w:themeColor="text1"/>
          <w14:textFill>
            <w14:solidFill>
              <w14:schemeClr w14:val="tx1"/>
            </w14:solidFill>
          </w14:textFill>
        </w:rPr>
        <w:t>）考虑已建、在建水利工程，有利于进行分区水资源量计算和供需平衡分析。</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（3）分区概况</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分区采用区域规划的有关规定和方法，在水资源高级分区中以形成地表水的流域、水系为主；在低级分区中，考虑供需系统及行政区域。水资源分区与行政区域有机结合，保持行政区域和流域分区的统一性、组合性与完整性，适应水资源评价、供需分析、综合治理、合理配置、节约保护和管理等工作需要。</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上述原则，参考《达州市水资源综合规划报告》，《通川区水资源综合规划报告》，本次水资源分区一、二、三级分区按全国水资源统一分区；然后根据自然地理条件、流域的差异分区并结合行政区划进行水量平衡分片。分区成果如下：</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一级分区：长江流域区；</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二级分区：长江流域区的嘉陵江区；</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三级分区：嘉陵江区的渠江区；</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水平衡区：渠江中南部区；</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分类片区：根据考虑行政区划的基础上，按通川区境内3条主要河流进行划分，共划分为5个分区7个分片，5个分区分别为双龙河区、魏家河区、明月江区、长滩河区、固家河区。七个分片分别为州河流域的城区片（石莲花水库片）、北部片、双河口水库片、明月江片；巴河流域的安云水库片、长滩河西片及固家河片。</w:t>
      </w:r>
    </w:p>
    <w:p>
      <w:pPr>
        <w:spacing w:line="50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分类片区是规划中数据调查和规划结果统计的最基本信息单元。通川区有18个乡镇（街道），本次规划以水量平衡分片套乡镇作为计算分区，全区共分为19个计算分区，详见表2.1.2。通川区水资源分区见附图4。</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表2.1.2  通川区水资源计算分区</w:t>
      </w:r>
    </w:p>
    <w:tbl>
      <w:tblPr>
        <w:tblStyle w:val="40"/>
        <w:tblW w:w="4998" w:type="pct"/>
        <w:tblInd w:w="0" w:type="dxa"/>
        <w:tblLayout w:type="autofit"/>
        <w:tblCellMar>
          <w:top w:w="0" w:type="dxa"/>
          <w:left w:w="0" w:type="dxa"/>
          <w:bottom w:w="0" w:type="dxa"/>
          <w:right w:w="0" w:type="dxa"/>
        </w:tblCellMar>
      </w:tblPr>
      <w:tblGrid>
        <w:gridCol w:w="980"/>
        <w:gridCol w:w="980"/>
        <w:gridCol w:w="2660"/>
        <w:gridCol w:w="1560"/>
        <w:gridCol w:w="1460"/>
        <w:gridCol w:w="12"/>
        <w:gridCol w:w="671"/>
      </w:tblGrid>
      <w:tr>
        <w:tblPrEx>
          <w:tblCellMar>
            <w:top w:w="0" w:type="dxa"/>
            <w:left w:w="0" w:type="dxa"/>
            <w:bottom w:w="0" w:type="dxa"/>
            <w:right w:w="0" w:type="dxa"/>
          </w:tblCellMar>
        </w:tblPrEx>
        <w:trPr>
          <w:trHeight w:val="340" w:hRule="atLeast"/>
        </w:trPr>
        <w:tc>
          <w:tcPr>
            <w:tcW w:w="58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水平衡区</w:t>
            </w:r>
          </w:p>
        </w:tc>
        <w:tc>
          <w:tcPr>
            <w:tcW w:w="2186"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分类片区</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乡镇</w:t>
            </w:r>
          </w:p>
        </w:tc>
        <w:tc>
          <w:tcPr>
            <w:tcW w:w="87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城市分片</w:t>
            </w:r>
          </w:p>
        </w:tc>
        <w:tc>
          <w:tcPr>
            <w:tcW w:w="408" w:type="pct"/>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面积</w:t>
            </w: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(km²)</w:t>
            </w:r>
          </w:p>
        </w:tc>
      </w:tr>
      <w:tr>
        <w:tblPrEx>
          <w:tblCellMar>
            <w:top w:w="0" w:type="dxa"/>
            <w:left w:w="0" w:type="dxa"/>
            <w:bottom w:w="0" w:type="dxa"/>
            <w:right w:w="0" w:type="dxa"/>
          </w:tblCellMar>
        </w:tblPrEx>
        <w:trPr>
          <w:trHeight w:val="340" w:hRule="atLeast"/>
        </w:trPr>
        <w:tc>
          <w:tcPr>
            <w:tcW w:w="588" w:type="pct"/>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spacing w:line="240" w:lineRule="auto"/>
              <w:ind w:firstLine="560"/>
              <w:rPr>
                <w:color w:val="000000" w:themeColor="text1"/>
                <w14:textFill>
                  <w14:solidFill>
                    <w14:schemeClr w14:val="tx1"/>
                  </w14:solidFill>
                </w14:textFill>
              </w:rPr>
            </w:pP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渠江中南部区</w:t>
            </w:r>
          </w:p>
        </w:tc>
        <w:tc>
          <w:tcPr>
            <w:tcW w:w="588"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双龙河区</w:t>
            </w:r>
          </w:p>
        </w:tc>
        <w:tc>
          <w:tcPr>
            <w:tcW w:w="1597"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城区片（石莲花水库片）</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东城街道</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2.94 </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西城街道</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2.57 </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朝阳街道</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17.00 </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凤西街道</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26.39 </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北部片</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蒲家镇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城乡融合片区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61.49 </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复兴镇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40.71</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东岳镇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城乡融合片区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34.67</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城乡融合片区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33.03</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魏家河区</w:t>
            </w:r>
          </w:p>
        </w:tc>
        <w:tc>
          <w:tcPr>
            <w:tcW w:w="1597"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双河口水库片</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凤北街道</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41.94</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罗江镇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70.67</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明月江区</w:t>
            </w:r>
          </w:p>
        </w:tc>
        <w:tc>
          <w:tcPr>
            <w:tcW w:w="159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明月江片</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磐石镇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城市片区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74.19</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长滩河区</w:t>
            </w:r>
          </w:p>
        </w:tc>
        <w:tc>
          <w:tcPr>
            <w:tcW w:w="1597"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安云水库片</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碑庙镇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59.77</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安云乡</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66.07</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青宁镇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37.54</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金石镇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59.74</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长滩河西片</w:t>
            </w:r>
          </w:p>
        </w:tc>
        <w:tc>
          <w:tcPr>
            <w:tcW w:w="9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梓桐镇</w:t>
            </w:r>
          </w:p>
        </w:tc>
        <w:tc>
          <w:tcPr>
            <w:tcW w:w="87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32.01</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auto"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江陵镇</w:t>
            </w:r>
          </w:p>
        </w:tc>
        <w:tc>
          <w:tcPr>
            <w:tcW w:w="877" w:type="pct"/>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70.13</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9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auto"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北山镇</w:t>
            </w:r>
          </w:p>
        </w:tc>
        <w:tc>
          <w:tcPr>
            <w:tcW w:w="877" w:type="pct"/>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57.11</w:t>
            </w:r>
          </w:p>
        </w:tc>
      </w:tr>
      <w:tr>
        <w:tblPrEx>
          <w:tblCellMar>
            <w:top w:w="0" w:type="dxa"/>
            <w:left w:w="0" w:type="dxa"/>
            <w:bottom w:w="0" w:type="dxa"/>
            <w:right w:w="0" w:type="dxa"/>
          </w:tblCellMar>
        </w:tblPrEx>
        <w:trPr>
          <w:trHeight w:val="340" w:hRule="atLeast"/>
        </w:trPr>
        <w:tc>
          <w:tcPr>
            <w:tcW w:w="588" w:type="pct"/>
            <w:vMerge w:val="continue"/>
            <w:tcBorders>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固家河区</w:t>
            </w:r>
          </w:p>
        </w:tc>
        <w:tc>
          <w:tcPr>
            <w:tcW w:w="159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固家河片</w:t>
            </w:r>
          </w:p>
        </w:tc>
        <w:tc>
          <w:tcPr>
            <w:tcW w:w="938" w:type="pct"/>
            <w:tcBorders>
              <w:top w:val="single" w:color="000000" w:sz="4" w:space="0"/>
              <w:left w:val="single" w:color="000000" w:sz="4" w:space="0"/>
              <w:bottom w:val="single" w:color="000000" w:sz="4" w:space="0"/>
              <w:right w:val="single" w:color="auto"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双龙镇</w:t>
            </w:r>
          </w:p>
        </w:tc>
        <w:tc>
          <w:tcPr>
            <w:tcW w:w="877" w:type="pct"/>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农村片区</w:t>
            </w:r>
          </w:p>
        </w:tc>
        <w:tc>
          <w:tcPr>
            <w:tcW w:w="408" w:type="pct"/>
            <w:gridSpan w:val="2"/>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100.03</w:t>
            </w:r>
          </w:p>
        </w:tc>
      </w:tr>
      <w:tr>
        <w:tblPrEx>
          <w:tblCellMar>
            <w:top w:w="0" w:type="dxa"/>
            <w:left w:w="0" w:type="dxa"/>
            <w:bottom w:w="0" w:type="dxa"/>
            <w:right w:w="0" w:type="dxa"/>
          </w:tblCellMar>
        </w:tblPrEx>
        <w:trPr>
          <w:trHeight w:val="340" w:hRule="atLeast"/>
        </w:trPr>
        <w:tc>
          <w:tcPr>
            <w:tcW w:w="4595" w:type="pct"/>
            <w:gridSpan w:val="6"/>
            <w:tcBorders>
              <w:top w:val="single" w:color="000000" w:sz="4" w:space="0"/>
              <w:left w:val="single" w:color="000000" w:sz="4" w:space="0"/>
              <w:bottom w:val="single" w:color="000000" w:sz="4" w:space="0"/>
              <w:right w:val="single" w:color="auto"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合计</w:t>
            </w:r>
          </w:p>
        </w:tc>
        <w:tc>
          <w:tcPr>
            <w:tcW w:w="404" w:type="pct"/>
            <w:tcBorders>
              <w:top w:val="single" w:color="000000" w:sz="4" w:space="0"/>
              <w:left w:val="single" w:color="auto"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888</w:t>
            </w:r>
          </w:p>
        </w:tc>
      </w:tr>
    </w:tbl>
    <w:p>
      <w:pPr>
        <w:ind w:firstLine="560"/>
        <w:rPr>
          <w:color w:val="000000" w:themeColor="text1"/>
          <w14:textFill>
            <w14:solidFill>
              <w14:schemeClr w14:val="tx1"/>
            </w14:solidFill>
          </w14:textFill>
        </w:rPr>
      </w:pPr>
    </w:p>
    <w:p>
      <w:pPr>
        <w:ind w:firstLine="560"/>
        <w:rPr>
          <w:color w:val="000000" w:themeColor="text1"/>
          <w14:textFill>
            <w14:solidFill>
              <w14:schemeClr w14:val="tx1"/>
            </w14:solidFill>
          </w14:textFill>
        </w:rPr>
      </w:pPr>
      <w:r>
        <w:rPr>
          <w:color w:val="000000" w:themeColor="text1"/>
          <w14:textFill>
            <w14:solidFill>
              <w14:schemeClr w14:val="tx1"/>
            </w14:solidFill>
          </w14:textFill>
        </w:rPr>
        <w:t>从以上关系可以看出水资源计算分片城区片、双河口水库片和明月江片属于城市片区，北部片大多属于城乡融合片，其余片属于农村片区，水资源分区和城市分片基本是协调的。</w:t>
      </w:r>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2.1.2.2  水文基本资料</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区内水文站点较少，仅长滩河永红水文站，其余均位于通川区以外，如明月江大风水文站、州河东林水文站、巴河风滩水文站等，区域及邻近流域各主要水文、雨量站简况如表2.1.3。</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表2.1.3  通川区及邻近域内水文站点基本情况表</w:t>
      </w:r>
    </w:p>
    <w:tbl>
      <w:tblPr>
        <w:tblStyle w:val="40"/>
        <w:tblW w:w="4996" w:type="pct"/>
        <w:tblInd w:w="0" w:type="dxa"/>
        <w:tblLayout w:type="fixed"/>
        <w:tblCellMar>
          <w:top w:w="0" w:type="dxa"/>
          <w:left w:w="0" w:type="dxa"/>
          <w:bottom w:w="0" w:type="dxa"/>
          <w:right w:w="0" w:type="dxa"/>
        </w:tblCellMar>
      </w:tblPr>
      <w:tblGrid>
        <w:gridCol w:w="504"/>
        <w:gridCol w:w="988"/>
        <w:gridCol w:w="988"/>
        <w:gridCol w:w="903"/>
        <w:gridCol w:w="829"/>
        <w:gridCol w:w="1226"/>
        <w:gridCol w:w="1469"/>
        <w:gridCol w:w="1412"/>
      </w:tblGrid>
      <w:tr>
        <w:tblPrEx>
          <w:tblCellMar>
            <w:top w:w="0" w:type="dxa"/>
            <w:left w:w="0" w:type="dxa"/>
            <w:bottom w:w="0" w:type="dxa"/>
            <w:right w:w="0" w:type="dxa"/>
          </w:tblCellMar>
        </w:tblPrEx>
        <w:trPr>
          <w:trHeight w:val="397" w:hRule="atLeast"/>
        </w:trPr>
        <w:tc>
          <w:tcPr>
            <w:tcW w:w="302"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序号</w:t>
            </w:r>
          </w:p>
        </w:tc>
        <w:tc>
          <w:tcPr>
            <w:tcW w:w="59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河名</w:t>
            </w:r>
          </w:p>
        </w:tc>
        <w:tc>
          <w:tcPr>
            <w:tcW w:w="59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站名</w:t>
            </w:r>
          </w:p>
        </w:tc>
        <w:tc>
          <w:tcPr>
            <w:tcW w:w="54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站别</w:t>
            </w:r>
          </w:p>
        </w:tc>
        <w:tc>
          <w:tcPr>
            <w:tcW w:w="498"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集雨</w:t>
            </w: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面积</w:t>
            </w: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（k</w:t>
            </w:r>
            <w:r>
              <w:rPr>
                <w:rFonts w:hint="eastAsia"/>
                <w:color w:val="000000" w:themeColor="text1"/>
                <w:szCs w:val="24"/>
                <w14:textFill>
                  <w14:solidFill>
                    <w14:schemeClr w14:val="tx1"/>
                  </w14:solidFill>
                </w14:textFill>
              </w:rPr>
              <w:t>m²</w:t>
            </w:r>
            <w:r>
              <w:rPr>
                <w:color w:val="000000" w:themeColor="text1"/>
                <w:szCs w:val="24"/>
                <w14:textFill>
                  <w14:solidFill>
                    <w14:schemeClr w14:val="tx1"/>
                  </w14:solidFill>
                </w14:textFill>
              </w:rPr>
              <w:t>）</w:t>
            </w:r>
          </w:p>
        </w:tc>
        <w:tc>
          <w:tcPr>
            <w:tcW w:w="2469" w:type="pct"/>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资料起讫时间</w:t>
            </w:r>
          </w:p>
        </w:tc>
      </w:tr>
      <w:tr>
        <w:tblPrEx>
          <w:tblCellMar>
            <w:top w:w="0" w:type="dxa"/>
            <w:left w:w="0" w:type="dxa"/>
            <w:bottom w:w="0" w:type="dxa"/>
            <w:right w:w="0" w:type="dxa"/>
          </w:tblCellMar>
        </w:tblPrEx>
        <w:trPr>
          <w:trHeight w:val="397" w:hRule="atLeast"/>
        </w:trPr>
        <w:tc>
          <w:tcPr>
            <w:tcW w:w="30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4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498"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水位</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流量</w:t>
            </w:r>
          </w:p>
        </w:tc>
        <w:tc>
          <w:tcPr>
            <w:tcW w:w="8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降水</w:t>
            </w: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永红</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水文站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605</w:t>
            </w: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1971至今</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1971至今</w:t>
            </w:r>
          </w:p>
        </w:tc>
        <w:tc>
          <w:tcPr>
            <w:tcW w:w="8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1971至今</w:t>
            </w: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tc>
        <w:tc>
          <w:tcPr>
            <w:tcW w:w="59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明月潭</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水文站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736</w:t>
            </w: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1954～2003</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1954～1983；</w:t>
            </w: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1985～1987</w:t>
            </w: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tc>
        <w:tc>
          <w:tcPr>
            <w:tcW w:w="59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大风</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水文站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1125</w:t>
            </w: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2004～今</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2004～今</w:t>
            </w: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州河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东林</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水文站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6462</w:t>
            </w: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1954.6至今</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1954.7～2010</w:t>
            </w:r>
          </w:p>
        </w:tc>
        <w:tc>
          <w:tcPr>
            <w:tcW w:w="8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1954.7～2010</w:t>
            </w: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巴河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风滩</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水文站</w:t>
            </w:r>
          </w:p>
        </w:tc>
        <w:tc>
          <w:tcPr>
            <w:tcW w:w="49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16595</w:t>
            </w: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1953.4～今</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1953.4～今</w:t>
            </w:r>
          </w:p>
        </w:tc>
        <w:tc>
          <w:tcPr>
            <w:tcW w:w="8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1953.4～今</w:t>
            </w: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59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程家河</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276</w:t>
            </w:r>
          </w:p>
        </w:tc>
        <w:tc>
          <w:tcPr>
            <w:tcW w:w="73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1969～1978</w:t>
            </w:r>
          </w:p>
        </w:tc>
        <w:tc>
          <w:tcPr>
            <w:tcW w:w="88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1969～1978</w:t>
            </w:r>
          </w:p>
        </w:tc>
        <w:tc>
          <w:tcPr>
            <w:tcW w:w="8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1969～1988</w:t>
            </w: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墩子河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明星水库</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亭子铺</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赵家</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10</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檬双</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11</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堡子</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山河滩河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双河</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13</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北山</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14</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长垭</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15</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马渡</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16</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花池</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17</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澌滩河</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澌滩</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18</w:t>
            </w: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渡市</w:t>
            </w:r>
          </w:p>
        </w:tc>
        <w:tc>
          <w:tcPr>
            <w:tcW w:w="5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雨量站</w:t>
            </w:r>
          </w:p>
        </w:tc>
        <w:tc>
          <w:tcPr>
            <w:tcW w:w="49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8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r>
    </w:tbl>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2.1.2.3  降水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根据通川区境内及其附近站网布设状况，选择域内及邻近已有水文站点进行统计分析，参考《达州市水资源综合规划》及《通川区水资源综合规划》成果，选择北山、永红等15座水文（雨量）站1971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2018年多年平均降雨资料，绘制通川区多年平均降雨等值线图（附图5）。根据绘制的通川多年平均降雨等值线图，采用面积加权读出各分区的多年平均降水量。各分区及乡镇降水量分别见表2.1.4、表2.1.5。</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表2.1.4 各分区降雨成果表</w:t>
      </w:r>
    </w:p>
    <w:tbl>
      <w:tblPr>
        <w:tblStyle w:val="40"/>
        <w:tblW w:w="4997" w:type="pct"/>
        <w:tblInd w:w="0" w:type="dxa"/>
        <w:tblLayout w:type="autofit"/>
        <w:tblCellMar>
          <w:top w:w="0" w:type="dxa"/>
          <w:left w:w="0" w:type="dxa"/>
          <w:bottom w:w="0" w:type="dxa"/>
          <w:right w:w="0" w:type="dxa"/>
        </w:tblCellMar>
      </w:tblPr>
      <w:tblGrid>
        <w:gridCol w:w="500"/>
        <w:gridCol w:w="2572"/>
        <w:gridCol w:w="2587"/>
        <w:gridCol w:w="680"/>
        <w:gridCol w:w="874"/>
        <w:gridCol w:w="1108"/>
      </w:tblGrid>
      <w:tr>
        <w:tblPrEx>
          <w:tblCellMar>
            <w:top w:w="0" w:type="dxa"/>
            <w:left w:w="0" w:type="dxa"/>
            <w:bottom w:w="0" w:type="dxa"/>
            <w:right w:w="0" w:type="dxa"/>
          </w:tblCellMar>
        </w:tblPrEx>
        <w:trPr>
          <w:trHeight w:val="397" w:hRule="atLeast"/>
        </w:trPr>
        <w:tc>
          <w:tcPr>
            <w:tcW w:w="287"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序号</w:t>
            </w:r>
          </w:p>
        </w:tc>
        <w:tc>
          <w:tcPr>
            <w:tcW w:w="3141" w:type="pct"/>
            <w:gridSpan w:val="2"/>
            <w:vMerge w:val="restart"/>
            <w:tcBorders>
              <w:top w:val="single" w:color="000000" w:sz="4" w:space="0"/>
              <w:left w:val="single" w:color="000000" w:sz="4" w:space="0"/>
              <w:right w:val="single" w:color="000000" w:sz="4" w:space="0"/>
            </w:tcBorders>
            <w:noWrap/>
            <w:tcMar>
              <w:top w:w="10" w:type="dxa"/>
              <w:left w:w="10" w:type="dxa"/>
              <w:right w:w="10" w:type="dxa"/>
            </w:tcMar>
            <w:vAlign w:val="center"/>
          </w:tcPr>
          <w:p>
            <w:pPr>
              <w:ind w:firstLine="560"/>
              <w:jc w:val="center"/>
              <w:rPr>
                <w:color w:val="000000" w:themeColor="text1"/>
                <w14:textFill>
                  <w14:solidFill>
                    <w14:schemeClr w14:val="tx1"/>
                  </w14:solidFill>
                </w14:textFill>
              </w:rPr>
            </w:pPr>
            <w:r>
              <w:rPr>
                <w:color w:val="000000" w:themeColor="text1"/>
                <w14:textFill>
                  <w14:solidFill>
                    <w14:schemeClr w14:val="tx1"/>
                  </w14:solidFill>
                </w14:textFill>
              </w:rPr>
              <w:t>分类片区</w:t>
            </w:r>
          </w:p>
        </w:tc>
        <w:tc>
          <w:tcPr>
            <w:tcW w:w="40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面积</w:t>
            </w:r>
          </w:p>
        </w:tc>
        <w:tc>
          <w:tcPr>
            <w:tcW w:w="1169"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降雨</w:t>
            </w:r>
          </w:p>
        </w:tc>
      </w:tr>
      <w:tr>
        <w:tblPrEx>
          <w:tblCellMar>
            <w:top w:w="0" w:type="dxa"/>
            <w:left w:w="0" w:type="dxa"/>
            <w:bottom w:w="0" w:type="dxa"/>
            <w:right w:w="0" w:type="dxa"/>
          </w:tblCellMar>
        </w:tblPrEx>
        <w:trPr>
          <w:trHeight w:val="397" w:hRule="atLeast"/>
        </w:trPr>
        <w:tc>
          <w:tcPr>
            <w:tcW w:w="287"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3141" w:type="pct"/>
            <w:gridSpan w:val="2"/>
            <w:vMerge w:val="continue"/>
            <w:tcBorders>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40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1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（mm）</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（万</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tc>
        <w:tc>
          <w:tcPr>
            <w:tcW w:w="1566" w:type="pct"/>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双龙河区</w:t>
            </w:r>
          </w:p>
        </w:tc>
        <w:tc>
          <w:tcPr>
            <w:tcW w:w="157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城区片</w:t>
            </w: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（石莲花水库片）</w:t>
            </w:r>
          </w:p>
        </w:tc>
        <w:tc>
          <w:tcPr>
            <w:tcW w:w="40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48.9</w:t>
            </w:r>
          </w:p>
        </w:tc>
        <w:tc>
          <w:tcPr>
            <w:tcW w:w="51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1211</w:t>
            </w:r>
          </w:p>
        </w:tc>
        <w:tc>
          <w:tcPr>
            <w:tcW w:w="65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5922</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tc>
        <w:tc>
          <w:tcPr>
            <w:tcW w:w="1566" w:type="pct"/>
            <w:vMerge w:val="continue"/>
            <w:tcBorders>
              <w:left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7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北部片</w:t>
            </w:r>
          </w:p>
        </w:tc>
        <w:tc>
          <w:tcPr>
            <w:tcW w:w="40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169.9</w:t>
            </w:r>
          </w:p>
        </w:tc>
        <w:tc>
          <w:tcPr>
            <w:tcW w:w="51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1223</w:t>
            </w:r>
          </w:p>
        </w:tc>
        <w:tc>
          <w:tcPr>
            <w:tcW w:w="65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20775</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tc>
        <w:tc>
          <w:tcPr>
            <w:tcW w:w="1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魏家河区</w:t>
            </w:r>
          </w:p>
        </w:tc>
        <w:tc>
          <w:tcPr>
            <w:tcW w:w="157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双河口水库片</w:t>
            </w:r>
          </w:p>
        </w:tc>
        <w:tc>
          <w:tcPr>
            <w:tcW w:w="4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112.61</w:t>
            </w:r>
          </w:p>
        </w:tc>
        <w:tc>
          <w:tcPr>
            <w:tcW w:w="51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1243</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13999</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c>
          <w:tcPr>
            <w:tcW w:w="1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明月江区</w:t>
            </w:r>
          </w:p>
        </w:tc>
        <w:tc>
          <w:tcPr>
            <w:tcW w:w="157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明月江片</w:t>
            </w:r>
          </w:p>
        </w:tc>
        <w:tc>
          <w:tcPr>
            <w:tcW w:w="4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74.19</w:t>
            </w:r>
          </w:p>
        </w:tc>
        <w:tc>
          <w:tcPr>
            <w:tcW w:w="51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1240</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9200</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tc>
        <w:tc>
          <w:tcPr>
            <w:tcW w:w="1566" w:type="pct"/>
            <w:vMerge w:val="restart"/>
            <w:tcBorders>
              <w:top w:val="single" w:color="000000" w:sz="4" w:space="0"/>
              <w:left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长滩河区</w:t>
            </w:r>
          </w:p>
        </w:tc>
        <w:tc>
          <w:tcPr>
            <w:tcW w:w="157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安云水库片</w:t>
            </w:r>
          </w:p>
        </w:tc>
        <w:tc>
          <w:tcPr>
            <w:tcW w:w="4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223.12</w:t>
            </w:r>
          </w:p>
        </w:tc>
        <w:tc>
          <w:tcPr>
            <w:tcW w:w="51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1202</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26825</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w:t>
            </w:r>
          </w:p>
        </w:tc>
        <w:tc>
          <w:tcPr>
            <w:tcW w:w="1566" w:type="pct"/>
            <w:vMerge w:val="continue"/>
            <w:tcBorders>
              <w:left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157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长滩河西片</w:t>
            </w:r>
          </w:p>
        </w:tc>
        <w:tc>
          <w:tcPr>
            <w:tcW w:w="4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159.25</w:t>
            </w:r>
          </w:p>
        </w:tc>
        <w:tc>
          <w:tcPr>
            <w:tcW w:w="51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1163</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18514</w:t>
            </w:r>
          </w:p>
        </w:tc>
      </w:tr>
      <w:tr>
        <w:tblPrEx>
          <w:tblCellMar>
            <w:top w:w="0" w:type="dxa"/>
            <w:left w:w="0" w:type="dxa"/>
            <w:bottom w:w="0" w:type="dxa"/>
            <w:right w:w="0" w:type="dxa"/>
          </w:tblCellMar>
        </w:tblPrEx>
        <w:trPr>
          <w:trHeight w:val="397" w:hRule="atLeast"/>
        </w:trPr>
        <w:tc>
          <w:tcPr>
            <w:tcW w:w="287"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tc>
        <w:tc>
          <w:tcPr>
            <w:tcW w:w="1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固家河区</w:t>
            </w:r>
          </w:p>
        </w:tc>
        <w:tc>
          <w:tcPr>
            <w:tcW w:w="157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固家河片</w:t>
            </w:r>
          </w:p>
        </w:tc>
        <w:tc>
          <w:tcPr>
            <w:tcW w:w="4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100.03</w:t>
            </w:r>
          </w:p>
        </w:tc>
        <w:tc>
          <w:tcPr>
            <w:tcW w:w="51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1230</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12304</w:t>
            </w:r>
          </w:p>
        </w:tc>
      </w:tr>
      <w:tr>
        <w:tblPrEx>
          <w:tblCellMar>
            <w:top w:w="0" w:type="dxa"/>
            <w:left w:w="0" w:type="dxa"/>
            <w:bottom w:w="0" w:type="dxa"/>
            <w:right w:w="0" w:type="dxa"/>
          </w:tblCellMar>
        </w:tblPrEx>
        <w:trPr>
          <w:trHeight w:val="397" w:hRule="atLeast"/>
        </w:trPr>
        <w:tc>
          <w:tcPr>
            <w:tcW w:w="3428"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合计</w:t>
            </w:r>
          </w:p>
        </w:tc>
        <w:tc>
          <w:tcPr>
            <w:tcW w:w="4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888</w:t>
            </w:r>
          </w:p>
        </w:tc>
        <w:tc>
          <w:tcPr>
            <w:tcW w:w="51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1211</w:t>
            </w:r>
          </w:p>
        </w:tc>
        <w:tc>
          <w:tcPr>
            <w:tcW w:w="65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107538</w:t>
            </w:r>
          </w:p>
        </w:tc>
      </w:tr>
    </w:tbl>
    <w:p>
      <w:pPr>
        <w:pStyle w:val="2"/>
        <w:ind w:firstLine="560"/>
        <w:rPr>
          <w:color w:val="000000" w:themeColor="text1"/>
          <w14:textFill>
            <w14:solidFill>
              <w14:schemeClr w14:val="tx1"/>
            </w14:solidFill>
          </w14:textFill>
        </w:rPr>
      </w:pPr>
    </w:p>
    <w:p>
      <w:pPr>
        <w:pStyle w:val="50"/>
        <w:spacing w:before="190"/>
        <w:rPr>
          <w:rFonts w:eastAsia="黑体"/>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表2.1.5 各分区套乡镇降雨成果表</w:t>
      </w:r>
    </w:p>
    <w:tbl>
      <w:tblPr>
        <w:tblStyle w:val="40"/>
        <w:tblW w:w="4997" w:type="pct"/>
        <w:tblInd w:w="0" w:type="dxa"/>
        <w:tblLayout w:type="autofit"/>
        <w:tblCellMar>
          <w:top w:w="0" w:type="dxa"/>
          <w:left w:w="0" w:type="dxa"/>
          <w:bottom w:w="0" w:type="dxa"/>
          <w:right w:w="0" w:type="dxa"/>
        </w:tblCellMar>
      </w:tblPr>
      <w:tblGrid>
        <w:gridCol w:w="1063"/>
        <w:gridCol w:w="1063"/>
        <w:gridCol w:w="1940"/>
        <w:gridCol w:w="1063"/>
        <w:gridCol w:w="1064"/>
        <w:gridCol w:w="939"/>
        <w:gridCol w:w="1189"/>
      </w:tblGrid>
      <w:tr>
        <w:tblPrEx>
          <w:tblCellMar>
            <w:top w:w="0" w:type="dxa"/>
            <w:left w:w="0" w:type="dxa"/>
            <w:bottom w:w="0" w:type="dxa"/>
            <w:right w:w="0" w:type="dxa"/>
          </w:tblCellMar>
        </w:tblPrEx>
        <w:trPr>
          <w:trHeight w:val="397" w:hRule="atLeast"/>
          <w:tblHeader/>
        </w:trPr>
        <w:tc>
          <w:tcPr>
            <w:tcW w:w="64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93" w:type="pct"/>
            <w:gridSpan w:val="2"/>
            <w:vMerge w:val="restart"/>
            <w:tcBorders>
              <w:top w:val="single" w:color="000000" w:sz="4" w:space="0"/>
              <w:left w:val="single" w:color="000000" w:sz="4" w:space="0"/>
              <w:right w:val="single" w:color="000000" w:sz="4" w:space="0"/>
            </w:tcBorders>
            <w:noWrap/>
            <w:tcMar>
              <w:top w:w="10" w:type="dxa"/>
              <w:left w:w="10" w:type="dxa"/>
              <w:right w:w="10" w:type="dxa"/>
            </w:tcMar>
            <w:vAlign w:val="center"/>
          </w:tcPr>
          <w:p>
            <w:pPr>
              <w:ind w:firstLine="560"/>
              <w:rPr>
                <w:color w:val="000000" w:themeColor="text1"/>
                <w14:textFill>
                  <w14:solidFill>
                    <w14:schemeClr w14:val="tx1"/>
                  </w14:solidFill>
                </w14:textFill>
              </w:rPr>
            </w:pP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分类片区</w:t>
            </w:r>
          </w:p>
        </w:tc>
        <w:tc>
          <w:tcPr>
            <w:tcW w:w="64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乡镇</w:t>
            </w:r>
          </w:p>
        </w:tc>
        <w:tc>
          <w:tcPr>
            <w:tcW w:w="64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面积</w:t>
            </w:r>
          </w:p>
        </w:tc>
        <w:tc>
          <w:tcPr>
            <w:tcW w:w="1282"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降雨</w:t>
            </w:r>
          </w:p>
        </w:tc>
      </w:tr>
      <w:tr>
        <w:tblPrEx>
          <w:tblCellMar>
            <w:top w:w="0" w:type="dxa"/>
            <w:left w:w="0" w:type="dxa"/>
            <w:bottom w:w="0" w:type="dxa"/>
            <w:right w:w="0" w:type="dxa"/>
          </w:tblCellMar>
        </w:tblPrEx>
        <w:trPr>
          <w:trHeight w:val="397" w:hRule="atLeast"/>
          <w:tblHeader/>
        </w:trPr>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793" w:type="pct"/>
            <w:gridSpan w:val="2"/>
            <w:vMerge w:val="continue"/>
            <w:tcBorders>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（mm）</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4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1152"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城区片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（石莲花水库片）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东城街道</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2.94</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356</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西城街道</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311</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朝阳街道</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17.00</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1205</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2049</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凤西街道</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26.39</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1215</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3206</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蒲家镇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61.49</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1220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7502</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复兴镇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1215</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4946</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东岳镇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34.67</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1230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4264</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33.03</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1230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4063</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w:t>
            </w:r>
          </w:p>
        </w:tc>
        <w:tc>
          <w:tcPr>
            <w:tcW w:w="64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1152"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凤北街道</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41.94</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1240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5201</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罗江镇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70.67</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1245</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8798</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115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磐石镇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74.19</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1240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9200</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64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1152"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碑庙镇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59.77</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7172</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安云乡</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66.07</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7994</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青宁镇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37.54</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1180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4430</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金石镇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59.74</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7229</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16</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梓桐镇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32.01</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1185</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3793</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江陵镇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70.13</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1130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7925</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64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152"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北山镇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57.11</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1190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6796</w:t>
            </w:r>
          </w:p>
        </w:tc>
      </w:tr>
      <w:tr>
        <w:tblPrEx>
          <w:tblCellMar>
            <w:top w:w="0" w:type="dxa"/>
            <w:left w:w="0" w:type="dxa"/>
            <w:bottom w:w="0" w:type="dxa"/>
            <w:right w:w="0" w:type="dxa"/>
          </w:tblCellMar>
        </w:tblPrEx>
        <w:trPr>
          <w:trHeight w:val="397" w:hRule="atLeast"/>
        </w:trPr>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19</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115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100.03</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1230</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12304</w:t>
            </w:r>
          </w:p>
        </w:tc>
      </w:tr>
      <w:tr>
        <w:tblPrEx>
          <w:tblCellMar>
            <w:top w:w="0" w:type="dxa"/>
            <w:left w:w="0" w:type="dxa"/>
            <w:bottom w:w="0" w:type="dxa"/>
            <w:right w:w="0" w:type="dxa"/>
          </w:tblCellMar>
        </w:tblPrEx>
        <w:trPr>
          <w:trHeight w:val="397" w:hRule="atLeast"/>
        </w:trPr>
        <w:tc>
          <w:tcPr>
            <w:tcW w:w="3075" w:type="pct"/>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64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c>
          <w:tcPr>
            <w:tcW w:w="56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1211</w:t>
            </w:r>
          </w:p>
        </w:tc>
        <w:tc>
          <w:tcPr>
            <w:tcW w:w="71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107538</w:t>
            </w:r>
          </w:p>
        </w:tc>
      </w:tr>
    </w:tbl>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从上表可以看出，通川区多年平均降雨1211mm与通川区水资源综合规划成果一致。通川区境内降水量及特征值分布差异不大，最大的明月江片1240mm，最小的为长滩河溪片1163mm。全区多年平均降水量10.75亿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，降水呈自西向东递增的趋势。</w:t>
      </w:r>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2.1.2.4  地表水资源量</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本次地表水资源量计算采用各流域控制站点的天然河川径流量系列，然后根据控制站点的天然河川径流量，进一步计算出各分区的地表水资源量。</w:t>
      </w:r>
    </w:p>
    <w:p>
      <w:pPr>
        <w:spacing w:line="520" w:lineRule="exact"/>
        <w:ind w:firstLine="560"/>
        <w:jc w:val="left"/>
        <w:rPr>
          <w:color w:val="000000" w:themeColor="text1"/>
          <w14:textFill>
            <w14:solidFill>
              <w14:schemeClr w14:val="tx1"/>
            </w14:solidFill>
          </w14:textFill>
        </w:rPr>
      </w:pPr>
      <w:r>
        <w:rPr>
          <w:color w:val="000000" w:themeColor="text1"/>
          <w14:textFill>
            <w14:solidFill>
              <w14:schemeClr w14:val="tx1"/>
            </w14:solidFill>
          </w14:textFill>
        </w:rPr>
        <w:t>由于区内仅有永红站，本次以永红站位依据站，永红站1971-2013年多年平均径流深552.5mm，永红站以上面平均雨量按沿山、花池、马渡和永红四个雨量站的算术平均计算为1158.7mm，计算的径流系数为0.48。考虑到区内下垫面条件基本一次，将各分区及乡镇的降雨乘以径流系数记得各计算单元的地表水资源量。计算得通川区多年平均地表水资源量5.17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表2.1.6  各分区地表水资源量成果表</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6"/>
        <w:gridCol w:w="981"/>
        <w:gridCol w:w="1459"/>
        <w:gridCol w:w="713"/>
        <w:gridCol w:w="874"/>
        <w:gridCol w:w="928"/>
        <w:gridCol w:w="756"/>
        <w:gridCol w:w="625"/>
        <w:gridCol w:w="625"/>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436"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66" w:type="pct"/>
            <w:gridSpan w:val="2"/>
            <w:vMerge w:val="restart"/>
            <w:noWrap/>
            <w:tcMar>
              <w:top w:w="10" w:type="dxa"/>
              <w:left w:w="10" w:type="dxa"/>
              <w:right w:w="10" w:type="dxa"/>
            </w:tcMar>
            <w:vAlign w:val="center"/>
          </w:tcPr>
          <w:p>
            <w:pPr>
              <w:ind w:firstLine="0" w:firstLineChars="0"/>
              <w:jc w:val="center"/>
              <w:rPr>
                <w:color w:val="000000" w:themeColor="text1"/>
                <w14:textFill>
                  <w14:solidFill>
                    <w14:schemeClr w14:val="tx1"/>
                  </w14:solidFill>
                </w14:textFill>
              </w:rPr>
            </w:pP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分类片区</w:t>
            </w:r>
          </w:p>
        </w:tc>
        <w:tc>
          <w:tcPr>
            <w:tcW w:w="428"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面积</w:t>
            </w:r>
          </w:p>
        </w:tc>
        <w:tc>
          <w:tcPr>
            <w:tcW w:w="1083" w:type="pct"/>
            <w:gridSpan w:val="2"/>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径流</w:t>
            </w:r>
          </w:p>
        </w:tc>
        <w:tc>
          <w:tcPr>
            <w:tcW w:w="1587" w:type="pct"/>
            <w:gridSpan w:val="4"/>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不同频率年径流量(万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436"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466" w:type="pct"/>
            <w:gridSpan w:val="2"/>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428"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25"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（mm）</w:t>
            </w:r>
          </w:p>
        </w:tc>
        <w:tc>
          <w:tcPr>
            <w:tcW w:w="55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454"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376"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76"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75%</w:t>
            </w:r>
          </w:p>
        </w:tc>
        <w:tc>
          <w:tcPr>
            <w:tcW w:w="382"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589"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877"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城区片（石莲花水库片）</w:t>
            </w:r>
          </w:p>
        </w:tc>
        <w:tc>
          <w:tcPr>
            <w:tcW w:w="428"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48.9</w:t>
            </w:r>
          </w:p>
        </w:tc>
        <w:tc>
          <w:tcPr>
            <w:tcW w:w="525"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2327</w:t>
            </w:r>
          </w:p>
        </w:tc>
        <w:tc>
          <w:tcPr>
            <w:tcW w:w="558"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2847</w:t>
            </w:r>
          </w:p>
        </w:tc>
        <w:tc>
          <w:tcPr>
            <w:tcW w:w="454"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3895</w:t>
            </w:r>
          </w:p>
        </w:tc>
        <w:tc>
          <w:tcPr>
            <w:tcW w:w="376"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2622</w:t>
            </w:r>
          </w:p>
        </w:tc>
        <w:tc>
          <w:tcPr>
            <w:tcW w:w="376"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1827</w:t>
            </w:r>
          </w:p>
        </w:tc>
        <w:tc>
          <w:tcPr>
            <w:tcW w:w="382"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589"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877"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428"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169.9</w:t>
            </w:r>
          </w:p>
        </w:tc>
        <w:tc>
          <w:tcPr>
            <w:tcW w:w="525"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2354</w:t>
            </w:r>
          </w:p>
        </w:tc>
        <w:tc>
          <w:tcPr>
            <w:tcW w:w="558"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9989</w:t>
            </w:r>
          </w:p>
        </w:tc>
        <w:tc>
          <w:tcPr>
            <w:tcW w:w="454"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13665</w:t>
            </w:r>
          </w:p>
        </w:tc>
        <w:tc>
          <w:tcPr>
            <w:tcW w:w="376"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9198</w:t>
            </w:r>
          </w:p>
        </w:tc>
        <w:tc>
          <w:tcPr>
            <w:tcW w:w="376"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6408</w:t>
            </w:r>
          </w:p>
        </w:tc>
        <w:tc>
          <w:tcPr>
            <w:tcW w:w="382" w:type="pct"/>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3506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589"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877"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42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112.61</w:t>
            </w:r>
          </w:p>
        </w:tc>
        <w:tc>
          <w:tcPr>
            <w:tcW w:w="525"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1195</w:t>
            </w:r>
          </w:p>
        </w:tc>
        <w:tc>
          <w:tcPr>
            <w:tcW w:w="558"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6731</w:t>
            </w:r>
          </w:p>
        </w:tc>
        <w:tc>
          <w:tcPr>
            <w:tcW w:w="454"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9208</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6198</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4318</w:t>
            </w:r>
          </w:p>
        </w:tc>
        <w:tc>
          <w:tcPr>
            <w:tcW w:w="382"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589"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877"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42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74.19</w:t>
            </w:r>
          </w:p>
        </w:tc>
        <w:tc>
          <w:tcPr>
            <w:tcW w:w="525"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596</w:t>
            </w:r>
          </w:p>
        </w:tc>
        <w:tc>
          <w:tcPr>
            <w:tcW w:w="558"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4423</w:t>
            </w:r>
          </w:p>
        </w:tc>
        <w:tc>
          <w:tcPr>
            <w:tcW w:w="454"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6051</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4073</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2838</w:t>
            </w:r>
          </w:p>
        </w:tc>
        <w:tc>
          <w:tcPr>
            <w:tcW w:w="382"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c>
          <w:tcPr>
            <w:tcW w:w="589"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877"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42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223.12</w:t>
            </w:r>
          </w:p>
        </w:tc>
        <w:tc>
          <w:tcPr>
            <w:tcW w:w="525"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2308</w:t>
            </w:r>
          </w:p>
        </w:tc>
        <w:tc>
          <w:tcPr>
            <w:tcW w:w="558"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12899</w:t>
            </w:r>
          </w:p>
        </w:tc>
        <w:tc>
          <w:tcPr>
            <w:tcW w:w="454"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17644</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11876</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8275</w:t>
            </w:r>
          </w:p>
        </w:tc>
        <w:tc>
          <w:tcPr>
            <w:tcW w:w="382"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589"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877"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42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159.25</w:t>
            </w:r>
          </w:p>
        </w:tc>
        <w:tc>
          <w:tcPr>
            <w:tcW w:w="525"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1685</w:t>
            </w:r>
          </w:p>
        </w:tc>
        <w:tc>
          <w:tcPr>
            <w:tcW w:w="558"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8902</w:t>
            </w:r>
          </w:p>
        </w:tc>
        <w:tc>
          <w:tcPr>
            <w:tcW w:w="454"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12178</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8197</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5711</w:t>
            </w:r>
          </w:p>
        </w:tc>
        <w:tc>
          <w:tcPr>
            <w:tcW w:w="382"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3124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589"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877"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固家河片</w:t>
            </w:r>
          </w:p>
        </w:tc>
        <w:tc>
          <w:tcPr>
            <w:tcW w:w="42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100.03</w:t>
            </w:r>
          </w:p>
        </w:tc>
        <w:tc>
          <w:tcPr>
            <w:tcW w:w="525"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591</w:t>
            </w:r>
          </w:p>
        </w:tc>
        <w:tc>
          <w:tcPr>
            <w:tcW w:w="558"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5916</w:t>
            </w:r>
          </w:p>
        </w:tc>
        <w:tc>
          <w:tcPr>
            <w:tcW w:w="454"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8093</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5447</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3795</w:t>
            </w:r>
          </w:p>
        </w:tc>
        <w:tc>
          <w:tcPr>
            <w:tcW w:w="382"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02" w:type="pct"/>
            <w:gridSpan w:val="3"/>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42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c>
          <w:tcPr>
            <w:tcW w:w="525"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11057</w:t>
            </w:r>
          </w:p>
        </w:tc>
        <w:tc>
          <w:tcPr>
            <w:tcW w:w="558"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51708</w:t>
            </w:r>
          </w:p>
        </w:tc>
        <w:tc>
          <w:tcPr>
            <w:tcW w:w="454"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70733</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47611</w:t>
            </w:r>
          </w:p>
        </w:tc>
        <w:tc>
          <w:tcPr>
            <w:tcW w:w="376"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33171</w:t>
            </w:r>
          </w:p>
        </w:tc>
        <w:tc>
          <w:tcPr>
            <w:tcW w:w="382" w:type="pct"/>
            <w:noWrap/>
            <w:tcMar>
              <w:top w:w="10" w:type="dxa"/>
              <w:left w:w="10" w:type="dxa"/>
              <w:right w:w="10" w:type="dxa"/>
            </w:tcMar>
            <w:vAlign w:val="center"/>
          </w:tcPr>
          <w:p>
            <w:pPr>
              <w:pStyle w:val="50"/>
              <w:spacing w:beforeLines="0"/>
              <w:textAlignment w:val="center"/>
              <w:rPr>
                <w:color w:val="000000" w:themeColor="text1"/>
                <w14:textFill>
                  <w14:solidFill>
                    <w14:schemeClr w14:val="tx1"/>
                  </w14:solidFill>
                </w14:textFill>
              </w:rPr>
            </w:pPr>
            <w:r>
              <w:rPr>
                <w:color w:val="000000" w:themeColor="text1"/>
                <w:lang w:bidi="ar"/>
                <w14:textFill>
                  <w14:solidFill>
                    <w14:schemeClr w14:val="tx1"/>
                  </w14:solidFill>
                </w14:textFill>
              </w:rPr>
              <w:t>18147</w:t>
            </w:r>
          </w:p>
        </w:tc>
      </w:tr>
    </w:tbl>
    <w:p>
      <w:pPr>
        <w:ind w:left="560" w:firstLine="0" w:firstLineChars="0"/>
        <w:rPr>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表2.1.7  各分区套乡镇地表水资源量成果表</w:t>
      </w:r>
    </w:p>
    <w:tbl>
      <w:tblPr>
        <w:tblStyle w:val="40"/>
        <w:tblW w:w="0" w:type="auto"/>
        <w:tblInd w:w="0" w:type="dxa"/>
        <w:tblLayout w:type="fixed"/>
        <w:tblCellMar>
          <w:top w:w="0" w:type="dxa"/>
          <w:left w:w="0" w:type="dxa"/>
          <w:bottom w:w="0" w:type="dxa"/>
          <w:right w:w="0" w:type="dxa"/>
        </w:tblCellMar>
      </w:tblPr>
      <w:tblGrid>
        <w:gridCol w:w="467"/>
        <w:gridCol w:w="1103"/>
        <w:gridCol w:w="1417"/>
        <w:gridCol w:w="1116"/>
        <w:gridCol w:w="635"/>
        <w:gridCol w:w="517"/>
        <w:gridCol w:w="709"/>
        <w:gridCol w:w="709"/>
        <w:gridCol w:w="708"/>
        <w:gridCol w:w="709"/>
        <w:gridCol w:w="774"/>
      </w:tblGrid>
      <w:tr>
        <w:tblPrEx>
          <w:tblCellMar>
            <w:top w:w="0" w:type="dxa"/>
            <w:left w:w="0" w:type="dxa"/>
            <w:bottom w:w="0" w:type="dxa"/>
            <w:right w:w="0" w:type="dxa"/>
          </w:tblCellMar>
        </w:tblPrEx>
        <w:trPr>
          <w:trHeight w:val="397" w:hRule="atLeast"/>
        </w:trPr>
        <w:tc>
          <w:tcPr>
            <w:tcW w:w="467"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2520" w:type="dxa"/>
            <w:gridSpan w:val="2"/>
            <w:vMerge w:val="restart"/>
            <w:tcBorders>
              <w:top w:val="single" w:color="000000" w:sz="4" w:space="0"/>
              <w:left w:val="single" w:color="000000" w:sz="4" w:space="0"/>
              <w:right w:val="single" w:color="000000" w:sz="4" w:space="0"/>
            </w:tcBorders>
            <w:noWrap/>
            <w:tcMar>
              <w:top w:w="10" w:type="dxa"/>
              <w:left w:w="10" w:type="dxa"/>
              <w:right w:w="10" w:type="dxa"/>
            </w:tcMar>
            <w:vAlign w:val="center"/>
          </w:tcPr>
          <w:p>
            <w:pPr>
              <w:ind w:firstLine="0" w:firstLineChars="0"/>
              <w:jc w:val="center"/>
              <w:rPr>
                <w:color w:val="000000" w:themeColor="text1"/>
                <w:sz w:val="21"/>
                <w:szCs w:val="21"/>
                <w14:textFill>
                  <w14:solidFill>
                    <w14:schemeClr w14:val="tx1"/>
                  </w14:solidFill>
                </w14:textFill>
              </w:rPr>
            </w:pP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分类片区</w:t>
            </w:r>
          </w:p>
        </w:tc>
        <w:tc>
          <w:tcPr>
            <w:tcW w:w="1116"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乡镇</w:t>
            </w:r>
          </w:p>
        </w:tc>
        <w:tc>
          <w:tcPr>
            <w:tcW w:w="635"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面积</w:t>
            </w:r>
          </w:p>
        </w:tc>
        <w:tc>
          <w:tcPr>
            <w:tcW w:w="1226"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径流</w:t>
            </w:r>
          </w:p>
        </w:tc>
        <w:tc>
          <w:tcPr>
            <w:tcW w:w="2900" w:type="dxa"/>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不同频率年径流量(万</w:t>
            </w:r>
            <w:r>
              <w:rPr>
                <w:rFonts w:hint="eastAsia"/>
                <w:color w:val="000000" w:themeColor="text1"/>
                <w:sz w:val="21"/>
                <w:szCs w:val="21"/>
                <w14:textFill>
                  <w14:solidFill>
                    <w14:schemeClr w14:val="tx1"/>
                  </w14:solidFill>
                </w14:textFill>
              </w:rPr>
              <w:t>m³</w:t>
            </w:r>
            <w:r>
              <w:rPr>
                <w:color w:val="000000" w:themeColor="text1"/>
                <w:sz w:val="21"/>
                <w:szCs w:val="2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46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2520" w:type="dxa"/>
            <w:gridSpan w:val="2"/>
            <w:vMerge w:val="continue"/>
            <w:tcBorders>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635"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r>
              <w:rPr>
                <w:color w:val="000000" w:themeColor="text1"/>
                <w:sz w:val="21"/>
                <w:szCs w:val="21"/>
                <w14:textFill>
                  <w14:solidFill>
                    <w14:schemeClr w14:val="tx1"/>
                  </w14:solidFill>
                </w14:textFill>
              </w:rPr>
              <w:t>）</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70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77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95%</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03"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双龙河区</w:t>
            </w:r>
          </w:p>
        </w:tc>
        <w:tc>
          <w:tcPr>
            <w:tcW w:w="1417"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城区片</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（石莲花水库片）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东城街道</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2.94</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171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234</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110</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60</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西城街道</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2.57</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205</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96</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52</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朝阳街道</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17.00</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579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985</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1347</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907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632</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346</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凤西街道</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26.39</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584</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1542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2109</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1420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989</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541</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北部片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蒲家镇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61.49</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3607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4934</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3321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2314</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1266</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复兴镇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40.71</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584</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2378</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3253</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2190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1526</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835</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东岳镇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34.67</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2050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2805</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1888</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1315</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720</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33.03</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1953</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2672</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1799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1253</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686</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1103"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魏家河区</w:t>
            </w:r>
          </w:p>
        </w:tc>
        <w:tc>
          <w:tcPr>
            <w:tcW w:w="1417"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双河口水库片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凤北街道</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41.94</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596</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2501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3421</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2302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1604</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878</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罗江镇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70.67</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4231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5787</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3895</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2714</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1485</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110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明月江区</w:t>
            </w:r>
          </w:p>
        </w:tc>
        <w:tc>
          <w:tcPr>
            <w:tcW w:w="14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磐石镇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74.19</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596</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4423</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6051</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4073</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2838</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1552</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1103"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长滩河区</w:t>
            </w:r>
          </w:p>
        </w:tc>
        <w:tc>
          <w:tcPr>
            <w:tcW w:w="1417"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安云水库片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碑庙镇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59.77</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577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3449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4718</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3175</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2212</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1210</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安云乡</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66.07</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3844</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5258</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3539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2466</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1349</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青宁镇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37.54</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567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2130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2914</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1961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1366</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747</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金石镇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59.74</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3476</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4755</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3200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2230</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1220</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长滩河西片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梓桐镇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32.01</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570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1824</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2495</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1679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1170</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640</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江陵镇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70.13</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543</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3810</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5212</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3509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2444</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1337</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110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417"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北山镇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57.11</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572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3268</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4470</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3009</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2096</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1147</w:t>
            </w:r>
          </w:p>
        </w:tc>
      </w:tr>
      <w:tr>
        <w:tblPrEx>
          <w:tblCellMar>
            <w:top w:w="0" w:type="dxa"/>
            <w:left w:w="0" w:type="dxa"/>
            <w:bottom w:w="0" w:type="dxa"/>
            <w:right w:w="0" w:type="dxa"/>
          </w:tblCellMar>
        </w:tblPrEx>
        <w:trPr>
          <w:trHeight w:val="397" w:hRule="atLeast"/>
        </w:trPr>
        <w:tc>
          <w:tcPr>
            <w:tcW w:w="46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110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14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固家河片</w:t>
            </w:r>
          </w:p>
        </w:tc>
        <w:tc>
          <w:tcPr>
            <w:tcW w:w="111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双龙镇</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100.03</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5916</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8093</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5447</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3795</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2076</w:t>
            </w:r>
          </w:p>
        </w:tc>
      </w:tr>
      <w:tr>
        <w:tblPrEx>
          <w:tblCellMar>
            <w:top w:w="0" w:type="dxa"/>
            <w:left w:w="0" w:type="dxa"/>
            <w:bottom w:w="0" w:type="dxa"/>
            <w:right w:w="0" w:type="dxa"/>
          </w:tblCellMar>
        </w:tblPrEx>
        <w:trPr>
          <w:trHeight w:val="397" w:hRule="atLeast"/>
        </w:trPr>
        <w:tc>
          <w:tcPr>
            <w:tcW w:w="4103" w:type="dxa"/>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6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888</w:t>
            </w:r>
          </w:p>
        </w:tc>
        <w:tc>
          <w:tcPr>
            <w:tcW w:w="5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582</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51708</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70733</w:t>
            </w:r>
          </w:p>
        </w:tc>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47611</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33171</w:t>
            </w:r>
          </w:p>
        </w:tc>
        <w:tc>
          <w:tcPr>
            <w:tcW w:w="77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18147</w:t>
            </w:r>
          </w:p>
        </w:tc>
      </w:tr>
    </w:tbl>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2.1.2.5  地下水资源量</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地下水资源量指降水、地表水体(含河道、渠系和渠灌田间)入渗补给地下含水层的动态水量。通川区地形地貌属丘陵地貌，地下水资源量按山丘区釆用排泄量法计算，因地下水位高于河床常年水位，地下水补给河流部分为河流的基流部分。根据本区特点，采用斜割法逐次分割洪水过程计算全年地下水资源量，再按河流区内外面积比得通川区总的地下水资源量。地下水和地表水形成相互转化过程，因此，区域内地下水资源量与地表水资源量系重复计算量。</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计算得通川区多年平均地下水资源量6300万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，地下模数7.09万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。作为与地表水体有直接水力联系的浅层地下水资源量的地区分布主要决定于降水的分布情况。</w:t>
      </w:r>
    </w:p>
    <w:p>
      <w:pPr>
        <w:spacing w:line="54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各计算单元的地下水资源量计算成果分别见表2.1.8与表2.1.9。</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表2.1.8 各分区地下水资源量成果表</w:t>
      </w:r>
    </w:p>
    <w:tbl>
      <w:tblPr>
        <w:tblStyle w:val="4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0"/>
        <w:gridCol w:w="980"/>
        <w:gridCol w:w="1628"/>
        <w:gridCol w:w="927"/>
        <w:gridCol w:w="1378"/>
        <w:gridCol w:w="741"/>
        <w:gridCol w:w="1017"/>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五级区</w:t>
            </w: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分片</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面积</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778"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地表水资源量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418"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基径比</w:t>
            </w:r>
          </w:p>
        </w:tc>
        <w:tc>
          <w:tcPr>
            <w:tcW w:w="674"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地下水资源量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752"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地下水模数</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553"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1041"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城区片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（石莲花水库片）</w:t>
            </w:r>
          </w:p>
        </w:tc>
        <w:tc>
          <w:tcPr>
            <w:tcW w:w="501"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48.9</w:t>
            </w:r>
          </w:p>
        </w:tc>
        <w:tc>
          <w:tcPr>
            <w:tcW w:w="1378" w:type="dxa"/>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2847</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0.12</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347</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501"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169.9</w:t>
            </w:r>
          </w:p>
        </w:tc>
        <w:tc>
          <w:tcPr>
            <w:tcW w:w="1378" w:type="dxa"/>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9989</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0.48</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1205</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112.61</w:t>
            </w:r>
          </w:p>
        </w:tc>
        <w:tc>
          <w:tcPr>
            <w:tcW w:w="1378" w:type="dxa"/>
            <w:noWrap/>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6731</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0.24</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799</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74.19</w:t>
            </w:r>
          </w:p>
        </w:tc>
        <w:tc>
          <w:tcPr>
            <w:tcW w:w="1378" w:type="dxa"/>
            <w:noWrap/>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4423</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0.12</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526</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c>
          <w:tcPr>
            <w:tcW w:w="553"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223.12</w:t>
            </w:r>
          </w:p>
        </w:tc>
        <w:tc>
          <w:tcPr>
            <w:tcW w:w="1378" w:type="dxa"/>
            <w:noWrap/>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12899</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0.49</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1583</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159.25</w:t>
            </w:r>
          </w:p>
        </w:tc>
        <w:tc>
          <w:tcPr>
            <w:tcW w:w="1378" w:type="dxa"/>
            <w:noWrap/>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8902</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0.38</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1130</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82"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104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固家河片</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100.03</w:t>
            </w:r>
          </w:p>
        </w:tc>
        <w:tc>
          <w:tcPr>
            <w:tcW w:w="1378" w:type="dxa"/>
            <w:noWrap/>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5916</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0.12</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710</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877" w:type="pct"/>
            <w:gridSpan w:val="3"/>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501"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c>
          <w:tcPr>
            <w:tcW w:w="1378" w:type="dxa"/>
            <w:noWrap/>
            <w:tcMar>
              <w:top w:w="10" w:type="dxa"/>
              <w:left w:w="10" w:type="dxa"/>
              <w:right w:w="10" w:type="dxa"/>
            </w:tcMar>
            <w:vAlign w:val="center"/>
          </w:tcPr>
          <w:p>
            <w:pPr>
              <w:pStyle w:val="50"/>
              <w:spacing w:beforeLines="0"/>
              <w:ind w:firstLine="480"/>
              <w:jc w:val="left"/>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51708</w:t>
            </w:r>
          </w:p>
        </w:tc>
        <w:tc>
          <w:tcPr>
            <w:tcW w:w="740"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1.95</w:t>
            </w:r>
          </w:p>
        </w:tc>
        <w:tc>
          <w:tcPr>
            <w:tcW w:w="1194"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6300</w:t>
            </w:r>
          </w:p>
        </w:tc>
        <w:tc>
          <w:tcPr>
            <w:tcW w:w="1332" w:type="dxa"/>
            <w:tcMar>
              <w:top w:w="10" w:type="dxa"/>
              <w:left w:w="10" w:type="dxa"/>
              <w:right w:w="10" w:type="dxa"/>
            </w:tcMar>
            <w:vAlign w:val="center"/>
          </w:tcPr>
          <w:p>
            <w:pPr>
              <w:pStyle w:val="50"/>
              <w:spacing w:beforeLines="0"/>
              <w:rPr>
                <w:rFonts w:eastAsia="仿宋_GB2312"/>
                <w:color w:val="000000" w:themeColor="text1"/>
                <w:kern w:val="2"/>
                <w:szCs w:val="24"/>
                <w14:textFill>
                  <w14:solidFill>
                    <w14:schemeClr w14:val="tx1"/>
                  </w14:solidFill>
                </w14:textFill>
              </w:rPr>
            </w:pPr>
            <w:r>
              <w:rPr>
                <w:color w:val="000000" w:themeColor="text1"/>
                <w:lang w:bidi="ar"/>
                <w14:textFill>
                  <w14:solidFill>
                    <w14:schemeClr w14:val="tx1"/>
                  </w14:solidFill>
                </w14:textFill>
              </w:rPr>
              <w:t>7.09</w:t>
            </w:r>
          </w:p>
        </w:tc>
      </w:tr>
    </w:tbl>
    <w:p>
      <w:pPr>
        <w:ind w:left="560" w:firstLine="0" w:firstLineChars="0"/>
        <w:rPr>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表2.1.9 各分区套乡镇地下水资源量成果表</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3"/>
        <w:gridCol w:w="1451"/>
        <w:gridCol w:w="974"/>
        <w:gridCol w:w="685"/>
        <w:gridCol w:w="1206"/>
        <w:gridCol w:w="838"/>
        <w:gridCol w:w="84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五级区</w:t>
            </w:r>
          </w:p>
        </w:tc>
        <w:tc>
          <w:tcPr>
            <w:tcW w:w="1094"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分片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乡镇</w:t>
            </w:r>
          </w:p>
        </w:tc>
        <w:tc>
          <w:tcPr>
            <w:tcW w:w="389"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面积</w:t>
            </w:r>
          </w:p>
        </w:tc>
        <w:tc>
          <w:tcPr>
            <w:tcW w:w="685"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地表水</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资源量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476"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基径比</w:t>
            </w:r>
          </w:p>
        </w:tc>
        <w:tc>
          <w:tcPr>
            <w:tcW w:w="479"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地下水</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资源量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769" w:type="pc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地下水</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模数</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1094" w:type="pct"/>
            <w:vMerge w:val="restart"/>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城区片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（石莲花水库片）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东城街道</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2.94</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171</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西城街道</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朝阳街道</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17.00</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985</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凤西街道</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26.39</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1542</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187</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蒲家镇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61.49</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3607</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436</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复兴镇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2378</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289</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东岳镇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34.67</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2050</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246</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33.03</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1953</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234</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1094"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凤北街道</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41.94</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2501</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298</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罗江镇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70.67</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4231</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501</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1094"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磐石镇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74.19</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4423</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526</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1094"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碑庙镇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59.77</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3449</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424</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安云乡</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66.07</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3844</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469</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青宁镇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37.54</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2130</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0.13</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266</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金石镇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59.74</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3476</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424</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restar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梓桐镇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32.01</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1824</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227</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江陵镇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70.13</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3810</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0.13</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498</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094" w:type="pct"/>
            <w:vMerge w:val="continue"/>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北山镇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57.11</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3268</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405</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1094"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固家河片</w:t>
            </w:r>
          </w:p>
        </w:tc>
        <w:tc>
          <w:tcPr>
            <w:tcW w:w="553" w:type="pct"/>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100.03</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5916</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710</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00" w:type="pct"/>
            <w:gridSpan w:val="3"/>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68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c>
          <w:tcPr>
            <w:tcW w:w="1214"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51708</w:t>
            </w:r>
          </w:p>
        </w:tc>
        <w:tc>
          <w:tcPr>
            <w:tcW w:w="84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849"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6300</w:t>
            </w:r>
          </w:p>
        </w:tc>
        <w:tc>
          <w:tcPr>
            <w:tcW w:w="1363" w:type="dxa"/>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7.09</w:t>
            </w:r>
          </w:p>
        </w:tc>
      </w:tr>
    </w:tbl>
    <w:p>
      <w:pPr>
        <w:pStyle w:val="6"/>
        <w:spacing w:before="156" w:after="156"/>
        <w:rPr>
          <w:color w:val="000000" w:themeColor="text1"/>
          <w14:textFill>
            <w14:solidFill>
              <w14:schemeClr w14:val="tx1"/>
            </w14:solidFill>
          </w14:textFill>
        </w:rPr>
      </w:pPr>
      <w:bookmarkStart w:id="66" w:name="_Toc16651"/>
      <w:bookmarkStart w:id="67" w:name="_Toc8917"/>
      <w:bookmarkStart w:id="68" w:name="_Toc4762"/>
      <w:r>
        <w:rPr>
          <w:color w:val="000000" w:themeColor="text1"/>
          <w14:textFill>
            <w14:solidFill>
              <w14:schemeClr w14:val="tx1"/>
            </w14:solidFill>
          </w14:textFill>
        </w:rPr>
        <w:t>2.1.2.6  水资源总量</w:t>
      </w:r>
      <w:bookmarkEnd w:id="66"/>
      <w:bookmarkEnd w:id="67"/>
      <w:bookmarkEnd w:id="68"/>
    </w:p>
    <w:p>
      <w:pPr>
        <w:ind w:firstLine="560"/>
        <w:jc w:val="left"/>
        <w:rPr>
          <w:color w:val="000000" w:themeColor="text1"/>
          <w14:textFill>
            <w14:solidFill>
              <w14:schemeClr w14:val="tx1"/>
            </w14:solidFill>
          </w14:textFill>
        </w:rPr>
      </w:pPr>
      <w:r>
        <w:rPr>
          <w:color w:val="000000" w:themeColor="text1"/>
          <w14:textFill>
            <w14:solidFill>
              <w14:schemeClr w14:val="tx1"/>
            </w14:solidFill>
          </w14:textFill>
        </w:rPr>
        <w:t>根据评价结果，由地下水资源量与地表水资源量汇总得各分区的水资源总量，通川区多年平均水资源量51708万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，其中地下水资源量为6300万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，全部为重复计算量。各分区多年平均水资源总量见表2.1.10和表2.1.11。</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表2.1.10 各分区水资源总量成果表</w:t>
      </w:r>
    </w:p>
    <w:tbl>
      <w:tblPr>
        <w:tblStyle w:val="40"/>
        <w:tblW w:w="4996" w:type="pct"/>
        <w:tblInd w:w="0" w:type="dxa"/>
        <w:tblLayout w:type="fixed"/>
        <w:tblCellMar>
          <w:top w:w="0" w:type="dxa"/>
          <w:left w:w="0" w:type="dxa"/>
          <w:bottom w:w="0" w:type="dxa"/>
          <w:right w:w="0" w:type="dxa"/>
        </w:tblCellMar>
      </w:tblPr>
      <w:tblGrid>
        <w:gridCol w:w="543"/>
        <w:gridCol w:w="1331"/>
        <w:gridCol w:w="1599"/>
        <w:gridCol w:w="933"/>
        <w:gridCol w:w="930"/>
        <w:gridCol w:w="933"/>
        <w:gridCol w:w="1065"/>
        <w:gridCol w:w="985"/>
      </w:tblGrid>
      <w:tr>
        <w:tblPrEx>
          <w:tblCellMar>
            <w:top w:w="0" w:type="dxa"/>
            <w:left w:w="0" w:type="dxa"/>
            <w:bottom w:w="0" w:type="dxa"/>
            <w:right w:w="0" w:type="dxa"/>
          </w:tblCellMar>
        </w:tblPrEx>
        <w:trPr>
          <w:trHeight w:val="810" w:hRule="atLeast"/>
          <w:tblHeader/>
        </w:trPr>
        <w:tc>
          <w:tcPr>
            <w:tcW w:w="326"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00"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五级区</w:t>
            </w:r>
          </w:p>
        </w:tc>
        <w:tc>
          <w:tcPr>
            <w:tcW w:w="961"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水量平衡分片</w:t>
            </w:r>
          </w:p>
        </w:tc>
        <w:tc>
          <w:tcPr>
            <w:tcW w:w="5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面积</w:t>
            </w:r>
          </w:p>
        </w:tc>
        <w:tc>
          <w:tcPr>
            <w:tcW w:w="5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地表水资源量</w:t>
            </w:r>
          </w:p>
        </w:tc>
        <w:tc>
          <w:tcPr>
            <w:tcW w:w="5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地下水资源量</w:t>
            </w:r>
          </w:p>
        </w:tc>
        <w:tc>
          <w:tcPr>
            <w:tcW w:w="64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地表水与地下水重复资源量</w:t>
            </w:r>
          </w:p>
        </w:tc>
        <w:tc>
          <w:tcPr>
            <w:tcW w:w="59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水资源总量</w:t>
            </w:r>
          </w:p>
        </w:tc>
      </w:tr>
      <w:tr>
        <w:tblPrEx>
          <w:tblCellMar>
            <w:top w:w="0" w:type="dxa"/>
            <w:left w:w="0" w:type="dxa"/>
            <w:bottom w:w="0" w:type="dxa"/>
            <w:right w:w="0" w:type="dxa"/>
          </w:tblCellMar>
        </w:tblPrEx>
        <w:trPr>
          <w:trHeight w:val="300" w:hRule="atLeast"/>
          <w:tblHeader/>
        </w:trPr>
        <w:tc>
          <w:tcPr>
            <w:tcW w:w="326"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p>
        </w:tc>
        <w:tc>
          <w:tcPr>
            <w:tcW w:w="800"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p>
        </w:tc>
        <w:tc>
          <w:tcPr>
            <w:tcW w:w="961"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5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5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64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59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840" w:hRule="atLeast"/>
        </w:trPr>
        <w:tc>
          <w:tcPr>
            <w:tcW w:w="32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800"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9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城区片（石莲花水库片）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48.9</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2847</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347</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347</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2847</w:t>
            </w:r>
          </w:p>
        </w:tc>
      </w:tr>
      <w:tr>
        <w:tblPrEx>
          <w:tblCellMar>
            <w:top w:w="0" w:type="dxa"/>
            <w:left w:w="0" w:type="dxa"/>
            <w:bottom w:w="0" w:type="dxa"/>
            <w:right w:w="0" w:type="dxa"/>
          </w:tblCellMar>
        </w:tblPrEx>
        <w:trPr>
          <w:trHeight w:val="300" w:hRule="atLeast"/>
        </w:trPr>
        <w:tc>
          <w:tcPr>
            <w:tcW w:w="32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800"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169.9</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9989</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1205</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1205</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9989</w:t>
            </w:r>
          </w:p>
        </w:tc>
      </w:tr>
      <w:tr>
        <w:tblPrEx>
          <w:tblCellMar>
            <w:top w:w="0" w:type="dxa"/>
            <w:left w:w="0" w:type="dxa"/>
            <w:bottom w:w="0" w:type="dxa"/>
            <w:right w:w="0" w:type="dxa"/>
          </w:tblCellMar>
        </w:tblPrEx>
        <w:trPr>
          <w:trHeight w:val="300" w:hRule="atLeast"/>
        </w:trPr>
        <w:tc>
          <w:tcPr>
            <w:tcW w:w="32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8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96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112.61</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6731</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799</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799</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6731</w:t>
            </w:r>
          </w:p>
        </w:tc>
      </w:tr>
      <w:tr>
        <w:tblPrEx>
          <w:tblCellMar>
            <w:top w:w="0" w:type="dxa"/>
            <w:left w:w="0" w:type="dxa"/>
            <w:bottom w:w="0" w:type="dxa"/>
            <w:right w:w="0" w:type="dxa"/>
          </w:tblCellMar>
        </w:tblPrEx>
        <w:trPr>
          <w:trHeight w:val="300" w:hRule="atLeast"/>
        </w:trPr>
        <w:tc>
          <w:tcPr>
            <w:tcW w:w="32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8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96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74.19</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4423</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526</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526</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4423</w:t>
            </w:r>
          </w:p>
        </w:tc>
      </w:tr>
      <w:tr>
        <w:tblPrEx>
          <w:tblCellMar>
            <w:top w:w="0" w:type="dxa"/>
            <w:left w:w="0" w:type="dxa"/>
            <w:bottom w:w="0" w:type="dxa"/>
            <w:right w:w="0" w:type="dxa"/>
          </w:tblCellMar>
        </w:tblPrEx>
        <w:trPr>
          <w:trHeight w:val="300" w:hRule="atLeast"/>
        </w:trPr>
        <w:tc>
          <w:tcPr>
            <w:tcW w:w="32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800"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96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223.12</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12899</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1583</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1583</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12899</w:t>
            </w:r>
          </w:p>
        </w:tc>
      </w:tr>
      <w:tr>
        <w:tblPrEx>
          <w:tblCellMar>
            <w:top w:w="0" w:type="dxa"/>
            <w:left w:w="0" w:type="dxa"/>
            <w:bottom w:w="0" w:type="dxa"/>
            <w:right w:w="0" w:type="dxa"/>
          </w:tblCellMar>
        </w:tblPrEx>
        <w:trPr>
          <w:trHeight w:val="300" w:hRule="atLeast"/>
        </w:trPr>
        <w:tc>
          <w:tcPr>
            <w:tcW w:w="32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800"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159.25</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8902</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1130</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1130</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8902</w:t>
            </w:r>
          </w:p>
        </w:tc>
      </w:tr>
      <w:tr>
        <w:tblPrEx>
          <w:tblCellMar>
            <w:top w:w="0" w:type="dxa"/>
            <w:left w:w="0" w:type="dxa"/>
            <w:bottom w:w="0" w:type="dxa"/>
            <w:right w:w="0" w:type="dxa"/>
          </w:tblCellMar>
        </w:tblPrEx>
        <w:trPr>
          <w:trHeight w:val="300" w:hRule="atLeast"/>
        </w:trPr>
        <w:tc>
          <w:tcPr>
            <w:tcW w:w="32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7</w:t>
            </w:r>
          </w:p>
        </w:tc>
        <w:tc>
          <w:tcPr>
            <w:tcW w:w="8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96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固家河片</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100.03</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5916</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710</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710</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5916</w:t>
            </w:r>
          </w:p>
        </w:tc>
      </w:tr>
      <w:tr>
        <w:tblPrEx>
          <w:tblCellMar>
            <w:top w:w="0" w:type="dxa"/>
            <w:left w:w="0" w:type="dxa"/>
            <w:bottom w:w="0" w:type="dxa"/>
            <w:right w:w="0" w:type="dxa"/>
          </w:tblCellMar>
        </w:tblPrEx>
        <w:trPr>
          <w:trHeight w:val="300" w:hRule="atLeast"/>
        </w:trPr>
        <w:tc>
          <w:tcPr>
            <w:tcW w:w="2086"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9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51708</w:t>
            </w:r>
          </w:p>
        </w:tc>
        <w:tc>
          <w:tcPr>
            <w:tcW w:w="99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6300</w:t>
            </w:r>
          </w:p>
        </w:tc>
        <w:tc>
          <w:tcPr>
            <w:tcW w:w="113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6300</w:t>
            </w:r>
          </w:p>
        </w:tc>
        <w:tc>
          <w:tcPr>
            <w:tcW w:w="10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51708</w:t>
            </w:r>
          </w:p>
        </w:tc>
      </w:tr>
    </w:tbl>
    <w:p>
      <w:pPr>
        <w:ind w:left="560" w:firstLine="0" w:firstLineChars="0"/>
        <w:rPr>
          <w:color w:val="000000" w:themeColor="text1"/>
          <w14:textFill>
            <w14:solidFill>
              <w14:schemeClr w14:val="tx1"/>
            </w14:solidFill>
          </w14:textFill>
        </w:rPr>
      </w:pP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表2.1.11 各分区套乡镇水资源总量成果表</w:t>
      </w:r>
    </w:p>
    <w:tbl>
      <w:tblPr>
        <w:tblStyle w:val="40"/>
        <w:tblW w:w="5000" w:type="pct"/>
        <w:tblInd w:w="0" w:type="dxa"/>
        <w:tblLayout w:type="fixed"/>
        <w:tblCellMar>
          <w:top w:w="0" w:type="dxa"/>
          <w:left w:w="0" w:type="dxa"/>
          <w:bottom w:w="0" w:type="dxa"/>
          <w:right w:w="0" w:type="dxa"/>
        </w:tblCellMar>
      </w:tblPr>
      <w:tblGrid>
        <w:gridCol w:w="474"/>
        <w:gridCol w:w="921"/>
        <w:gridCol w:w="1147"/>
        <w:gridCol w:w="930"/>
        <w:gridCol w:w="930"/>
        <w:gridCol w:w="801"/>
        <w:gridCol w:w="798"/>
        <w:gridCol w:w="1463"/>
        <w:gridCol w:w="861"/>
      </w:tblGrid>
      <w:tr>
        <w:tblPrEx>
          <w:tblCellMar>
            <w:top w:w="0" w:type="dxa"/>
            <w:left w:w="0" w:type="dxa"/>
            <w:bottom w:w="0" w:type="dxa"/>
            <w:right w:w="0" w:type="dxa"/>
          </w:tblCellMar>
        </w:tblPrEx>
        <w:trPr>
          <w:trHeight w:val="397" w:hRule="atLeast"/>
          <w:tblHeader/>
        </w:trPr>
        <w:tc>
          <w:tcPr>
            <w:tcW w:w="284"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5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五级区</w:t>
            </w:r>
          </w:p>
        </w:tc>
        <w:tc>
          <w:tcPr>
            <w:tcW w:w="68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分片</w:t>
            </w:r>
          </w:p>
        </w:tc>
        <w:tc>
          <w:tcPr>
            <w:tcW w:w="55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乡镇</w:t>
            </w:r>
          </w:p>
        </w:tc>
        <w:tc>
          <w:tcPr>
            <w:tcW w:w="5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面积</w:t>
            </w:r>
          </w:p>
        </w:tc>
        <w:tc>
          <w:tcPr>
            <w:tcW w:w="4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地表水资源量</w:t>
            </w:r>
          </w:p>
        </w:tc>
        <w:tc>
          <w:tcPr>
            <w:tcW w:w="47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地下水资源量</w:t>
            </w:r>
          </w:p>
        </w:tc>
        <w:tc>
          <w:tcPr>
            <w:tcW w:w="87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地表水与地下水重复资源量</w:t>
            </w:r>
          </w:p>
        </w:tc>
        <w:tc>
          <w:tcPr>
            <w:tcW w:w="51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水资源总量</w:t>
            </w:r>
          </w:p>
        </w:tc>
      </w:tr>
      <w:tr>
        <w:tblPrEx>
          <w:tblCellMar>
            <w:top w:w="0" w:type="dxa"/>
            <w:left w:w="0" w:type="dxa"/>
            <w:bottom w:w="0" w:type="dxa"/>
            <w:right w:w="0" w:type="dxa"/>
          </w:tblCellMar>
        </w:tblPrEx>
        <w:trPr>
          <w:trHeight w:val="397" w:hRule="atLeast"/>
          <w:tblHeader/>
        </w:trPr>
        <w:tc>
          <w:tcPr>
            <w:tcW w:w="284"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4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47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87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51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55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68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城区片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（石莲花水库片）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东城街道</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2.94</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171</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21</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21</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171</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西城街道</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150</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18</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18</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150</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朝阳街道</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985</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121</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121</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985</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凤西街道</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26.39</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1542</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187</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187</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1542</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蒲家镇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61.49</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3607</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436</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436</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3607</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复兴镇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2378</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289</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289</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2378</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东岳镇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34.67</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2050</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246</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246</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2050</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33.03</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1953</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234</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234</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1953</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w:t>
            </w:r>
          </w:p>
        </w:tc>
        <w:tc>
          <w:tcPr>
            <w:tcW w:w="55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68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凤北街道</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41.94</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2501</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298</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298</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2501</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罗江镇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70.67</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4231</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501</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501</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4231</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55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68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磐石镇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74.19</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4423</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526</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526</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4423</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553"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68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碑庙镇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59.77</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3449</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424</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424</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3449</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安云乡</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66.07</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3844</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469</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469</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3844</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青宁镇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37.54</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2130</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266</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266</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2130</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金石镇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59.74</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3476</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424</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424</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3476</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16</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梓桐镇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32.01</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1824</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227</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227</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1824</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江陵镇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70.13</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3810</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498</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498</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3810</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553"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89" w:type="pct"/>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北山镇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57.11</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3268</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405</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405</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3268</w:t>
            </w:r>
          </w:p>
        </w:tc>
      </w:tr>
      <w:tr>
        <w:tblPrEx>
          <w:tblCellMar>
            <w:top w:w="0" w:type="dxa"/>
            <w:left w:w="0" w:type="dxa"/>
            <w:bottom w:w="0" w:type="dxa"/>
            <w:right w:w="0" w:type="dxa"/>
          </w:tblCellMar>
        </w:tblPrEx>
        <w:trPr>
          <w:trHeight w:val="397" w:hRule="atLeast"/>
        </w:trPr>
        <w:tc>
          <w:tcPr>
            <w:tcW w:w="2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19</w:t>
            </w:r>
          </w:p>
        </w:tc>
        <w:tc>
          <w:tcPr>
            <w:tcW w:w="55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68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100.03</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5916</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710</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710</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5916</w:t>
            </w:r>
          </w:p>
        </w:tc>
      </w:tr>
      <w:tr>
        <w:tblPrEx>
          <w:tblCellMar>
            <w:top w:w="0" w:type="dxa"/>
            <w:left w:w="0" w:type="dxa"/>
            <w:bottom w:w="0" w:type="dxa"/>
            <w:right w:w="0" w:type="dxa"/>
          </w:tblCellMar>
        </w:tblPrEx>
        <w:trPr>
          <w:trHeight w:val="397" w:hRule="atLeast"/>
        </w:trPr>
        <w:tc>
          <w:tcPr>
            <w:tcW w:w="2085" w:type="pct"/>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55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888</w:t>
            </w:r>
          </w:p>
        </w:tc>
        <w:tc>
          <w:tcPr>
            <w:tcW w:w="85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51708</w:t>
            </w:r>
          </w:p>
        </w:tc>
        <w:tc>
          <w:tcPr>
            <w:tcW w:w="84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6300</w:t>
            </w:r>
          </w:p>
        </w:tc>
        <w:tc>
          <w:tcPr>
            <w:tcW w:w="155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r>
              <w:rPr>
                <w:color w:val="000000" w:themeColor="text1"/>
                <w:lang w:bidi="ar"/>
                <w14:textFill>
                  <w14:solidFill>
                    <w14:schemeClr w14:val="tx1"/>
                  </w14:solidFill>
                </w14:textFill>
              </w:rPr>
              <w:t>6300</w:t>
            </w:r>
          </w:p>
        </w:tc>
        <w:tc>
          <w:tcPr>
            <w:tcW w:w="9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Lines="0"/>
              <w:rPr>
                <w:color w:val="000000" w:themeColor="text1"/>
                <w14:textFill>
                  <w14:solidFill>
                    <w14:schemeClr w14:val="tx1"/>
                  </w14:solidFill>
                </w14:textFill>
              </w:rPr>
            </w:pPr>
            <w:bookmarkStart w:id="69" w:name="OLE_LINK1"/>
            <w:r>
              <w:rPr>
                <w:color w:val="000000" w:themeColor="text1"/>
                <w:lang w:bidi="ar"/>
                <w14:textFill>
                  <w14:solidFill>
                    <w14:schemeClr w14:val="tx1"/>
                  </w14:solidFill>
                </w14:textFill>
              </w:rPr>
              <w:t>51708</w:t>
            </w:r>
            <w:bookmarkEnd w:id="69"/>
          </w:p>
        </w:tc>
      </w:tr>
    </w:tbl>
    <w:p>
      <w:pPr>
        <w:pStyle w:val="5"/>
        <w:spacing w:before="156" w:after="156"/>
        <w:rPr>
          <w:rFonts w:ascii="Times New Roman" w:hAnsi="Times New Roman"/>
          <w:color w:val="000000" w:themeColor="text1"/>
          <w14:textFill>
            <w14:solidFill>
              <w14:schemeClr w14:val="tx1"/>
            </w14:solidFill>
          </w14:textFill>
        </w:rPr>
      </w:pPr>
      <w:bookmarkStart w:id="70" w:name="_Toc10756"/>
      <w:r>
        <w:rPr>
          <w:rFonts w:ascii="Times New Roman" w:hAnsi="Times New Roman"/>
          <w:color w:val="000000" w:themeColor="text1"/>
          <w14:textFill>
            <w14:solidFill>
              <w14:schemeClr w14:val="tx1"/>
            </w14:solidFill>
          </w14:textFill>
        </w:rPr>
        <w:t>2.1.3  当地水资源量可利用量</w:t>
      </w:r>
      <w:bookmarkEnd w:id="70"/>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根据四川省水资源承载能力达州市城区（含通川区）成果，达州市城区位于州河两岸，水资源开发利用潜力较大，达州市水资源总量17.62亿m³，其中地表水水资源可利用量5.3亿m³。以下进行通川区水资源可利用量计算。</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（1）计算方法</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地表水可利用量主要指当地水资源可利用量。本次规划中地表水资源可利用量主要定为：指在可预见期内，在统筹考虑河道内生态环境和其它用水的基础上，通过经济合理、技术可行的措施，在流域或者水系中，可供河道外生活、生产、生态用水的一次性最大水量（不包括回归水的重复利用）。地表水可利用水量采用公式如下：</w:t>
      </w:r>
    </w:p>
    <w:p>
      <w:pPr>
        <w:pStyle w:val="92"/>
        <w:spacing w:line="520" w:lineRule="exact"/>
        <w:ind w:firstLine="560"/>
        <w:rPr>
          <w:rFonts w:eastAsia="仿宋_GB2312"/>
          <w:color w:val="000000" w:themeColor="text1"/>
          <w:kern w:val="0"/>
          <w:szCs w:val="28"/>
          <w14:textFill>
            <w14:solidFill>
              <w14:schemeClr w14:val="tx1"/>
            </w14:solidFill>
          </w14:textFill>
        </w:rPr>
      </w:pPr>
      <w:r>
        <w:rPr>
          <w:rFonts w:eastAsia="仿宋_GB2312"/>
          <w:color w:val="000000" w:themeColor="text1"/>
          <w:kern w:val="0"/>
          <w:szCs w:val="28"/>
          <w14:textFill>
            <w14:solidFill>
              <w14:schemeClr w14:val="tx1"/>
            </w14:solidFill>
          </w14:textFill>
        </w:rPr>
        <w:t>W</w:t>
      </w:r>
      <w:r>
        <w:rPr>
          <w:rFonts w:eastAsia="仿宋_GB2312"/>
          <w:color w:val="000000" w:themeColor="text1"/>
          <w:kern w:val="0"/>
          <w:szCs w:val="28"/>
          <w:vertAlign w:val="subscript"/>
          <w14:textFill>
            <w14:solidFill>
              <w14:schemeClr w14:val="tx1"/>
            </w14:solidFill>
          </w14:textFill>
        </w:rPr>
        <w:t>地表水可利用量</w:t>
      </w:r>
      <w:r>
        <w:rPr>
          <w:rFonts w:eastAsia="仿宋_GB2312"/>
          <w:color w:val="000000" w:themeColor="text1"/>
          <w:kern w:val="0"/>
          <w:szCs w:val="28"/>
          <w14:textFill>
            <w14:solidFill>
              <w14:schemeClr w14:val="tx1"/>
            </w14:solidFill>
          </w14:textFill>
        </w:rPr>
        <w:t>＝W</w:t>
      </w:r>
      <w:r>
        <w:rPr>
          <w:rFonts w:eastAsia="仿宋_GB2312"/>
          <w:color w:val="000000" w:themeColor="text1"/>
          <w:kern w:val="0"/>
          <w:szCs w:val="28"/>
          <w:vertAlign w:val="subscript"/>
          <w14:textFill>
            <w14:solidFill>
              <w14:schemeClr w14:val="tx1"/>
            </w14:solidFill>
          </w14:textFill>
        </w:rPr>
        <w:t>地表水资源量</w:t>
      </w:r>
      <w:r>
        <w:rPr>
          <w:rFonts w:eastAsia="仿宋_GB2312"/>
          <w:color w:val="000000" w:themeColor="text1"/>
          <w:kern w:val="0"/>
          <w:szCs w:val="28"/>
          <w14:textFill>
            <w14:solidFill>
              <w14:schemeClr w14:val="tx1"/>
            </w14:solidFill>
          </w14:textFill>
        </w:rPr>
        <w:t>－W</w:t>
      </w:r>
      <w:r>
        <w:rPr>
          <w:rFonts w:eastAsia="仿宋_GB2312"/>
          <w:color w:val="000000" w:themeColor="text1"/>
          <w:kern w:val="0"/>
          <w:szCs w:val="28"/>
          <w:vertAlign w:val="subscript"/>
          <w14:textFill>
            <w14:solidFill>
              <w14:schemeClr w14:val="tx1"/>
            </w14:solidFill>
          </w14:textFill>
        </w:rPr>
        <w:t>河道内需水量外包</w:t>
      </w:r>
      <w:r>
        <w:rPr>
          <w:rFonts w:eastAsia="仿宋_GB2312"/>
          <w:color w:val="000000" w:themeColor="text1"/>
          <w:kern w:val="0"/>
          <w:szCs w:val="28"/>
          <w14:textFill>
            <w14:solidFill>
              <w14:schemeClr w14:val="tx1"/>
            </w14:solidFill>
          </w14:textFill>
        </w:rPr>
        <w:t>－W</w:t>
      </w:r>
      <w:r>
        <w:rPr>
          <w:rFonts w:eastAsia="仿宋_GB2312"/>
          <w:color w:val="000000" w:themeColor="text1"/>
          <w:kern w:val="0"/>
          <w:szCs w:val="28"/>
          <w:vertAlign w:val="subscript"/>
          <w14:textFill>
            <w14:solidFill>
              <w14:schemeClr w14:val="tx1"/>
            </w14:solidFill>
          </w14:textFill>
        </w:rPr>
        <w:t>洪水弃水量</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各项内容如下：</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W</w:t>
      </w:r>
      <w:r>
        <w:rPr>
          <w:rFonts w:eastAsia="仿宋_GB2312"/>
          <w:color w:val="000000" w:themeColor="text1"/>
          <w:sz w:val="28"/>
          <w:szCs w:val="28"/>
          <w:vertAlign w:val="subscript"/>
          <w14:textFill>
            <w14:solidFill>
              <w14:schemeClr w14:val="tx1"/>
            </w14:solidFill>
          </w14:textFill>
        </w:rPr>
        <w:t>地表水可利用量</w:t>
      </w:r>
      <w:r>
        <w:rPr>
          <w:rFonts w:eastAsia="仿宋_GB2312"/>
          <w:color w:val="000000" w:themeColor="text1"/>
          <w:sz w:val="28"/>
          <w:szCs w:val="28"/>
          <w14:textFill>
            <w14:solidFill>
              <w14:schemeClr w14:val="tx1"/>
            </w14:solidFill>
          </w14:textFill>
        </w:rPr>
        <w:t>=本地降水产生的地表水资源及入境水资源可利用量。</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W</w:t>
      </w:r>
      <w:r>
        <w:rPr>
          <w:rFonts w:eastAsia="仿宋_GB2312"/>
          <w:color w:val="000000" w:themeColor="text1"/>
          <w:sz w:val="28"/>
          <w:szCs w:val="28"/>
          <w:vertAlign w:val="subscript"/>
          <w14:textFill>
            <w14:solidFill>
              <w14:schemeClr w14:val="tx1"/>
            </w14:solidFill>
          </w14:textFill>
        </w:rPr>
        <w:t>地表水资源量</w:t>
      </w:r>
      <w:r>
        <w:rPr>
          <w:rFonts w:eastAsia="仿宋_GB2312"/>
          <w:color w:val="000000" w:themeColor="text1"/>
          <w:sz w:val="28"/>
          <w:szCs w:val="28"/>
          <w14:textFill>
            <w14:solidFill>
              <w14:schemeClr w14:val="tx1"/>
            </w14:solidFill>
          </w14:textFill>
        </w:rPr>
        <w:t>=本地降水产生的地表水资源量+入境水资源量。</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W</w:t>
      </w:r>
      <w:r>
        <w:rPr>
          <w:rFonts w:eastAsia="仿宋_GB2312"/>
          <w:color w:val="000000" w:themeColor="text1"/>
          <w:sz w:val="28"/>
          <w:szCs w:val="28"/>
          <w:vertAlign w:val="subscript"/>
          <w14:textFill>
            <w14:solidFill>
              <w14:schemeClr w14:val="tx1"/>
            </w14:solidFill>
          </w14:textFill>
        </w:rPr>
        <w:t>河道内需水量外包量</w:t>
      </w:r>
      <w:r>
        <w:rPr>
          <w:rFonts w:eastAsia="仿宋_GB2312"/>
          <w:color w:val="000000" w:themeColor="text1"/>
          <w:sz w:val="28"/>
          <w:szCs w:val="28"/>
          <w14:textFill>
            <w14:solidFill>
              <w14:schemeClr w14:val="tx1"/>
            </w14:solidFill>
          </w14:textFill>
        </w:rPr>
        <w:t>=河道内各项需水量中最大外包线值。</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W</w:t>
      </w:r>
      <w:r>
        <w:rPr>
          <w:rFonts w:eastAsia="仿宋_GB2312"/>
          <w:color w:val="000000" w:themeColor="text1"/>
          <w:sz w:val="28"/>
          <w:szCs w:val="28"/>
          <w:vertAlign w:val="subscript"/>
          <w14:textFill>
            <w14:solidFill>
              <w14:schemeClr w14:val="tx1"/>
            </w14:solidFill>
          </w14:textFill>
        </w:rPr>
        <w:t>洪水弃水</w:t>
      </w:r>
      <w:r>
        <w:rPr>
          <w:rFonts w:eastAsia="仿宋_GB2312"/>
          <w:color w:val="000000" w:themeColor="text1"/>
          <w:sz w:val="28"/>
          <w:szCs w:val="28"/>
          <w14:textFill>
            <w14:solidFill>
              <w14:schemeClr w14:val="tx1"/>
            </w14:solidFill>
          </w14:textFill>
        </w:rPr>
        <w:t>=主汛期洪水弃水量。</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各项具体计算如下：</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1）地表水资源量</w:t>
      </w:r>
    </w:p>
    <w:p>
      <w:pPr>
        <w:pStyle w:val="160"/>
        <w:spacing w:line="520" w:lineRule="exact"/>
        <w:ind w:firstLine="478" w:firstLineChars="171"/>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地表水资源量成果见上小节。</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2）河道内各项需水量中最大外包线值计算</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河道内需水主要包括生态环境需水与生产需水。根据通川区实际，生态环境需水只包括河流最小生态环境需水量和城市河湖景观需水量与水生生物保护水量三项。</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河道内生态环境需水量最大外包线值为河道多年平均径流量的30%。河道内不可以被利用水量即河道内各项需水量中最大外包线值取最大外包线值为30%。</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3）主汛期洪水弃水量计算</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下泄洪水量是指汛期不可能被利用的水量。汛期水量中一部分可供当时利用，还有一部分可通过工程蓄存起来供以后利用，剩余量水即为不可能被利用下泄洪水量。《补充细则》建议的方法为：用汛期天然径流系列资料减汛期最大调蓄消耗水量得出逐年下泄洪水量 ，并计算其多年平均值。分析得主汛期下泄洪水量占年水量的比例系数k泄为25%。</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（2）计算结果</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根据上述计算结果，通川区水资源总量51708万m³，不可利用外包水量15512万m³，洪水弃水量10342万m³，地表水可利用量25854万m³，可利用率50%。通川区多年平均当地水资源可利用量统计情况见表2.1.12。</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表2.1.12通川区多年平均当地水资源可利用总量统计表</w:t>
      </w:r>
    </w:p>
    <w:p>
      <w:pPr>
        <w:pStyle w:val="111"/>
        <w:spacing w:before="120"/>
        <w:jc w:val="right"/>
        <w:rPr>
          <w:color w:val="000000" w:themeColor="text1"/>
          <w14:textFill>
            <w14:solidFill>
              <w14:schemeClr w14:val="tx1"/>
            </w14:solidFill>
          </w14:textFill>
        </w:rPr>
      </w:pPr>
      <w:r>
        <w:rPr>
          <w:color w:val="000000" w:themeColor="text1"/>
          <w14:textFill>
            <w14:solidFill>
              <w14:schemeClr w14:val="tx1"/>
            </w14:solidFill>
          </w14:textFill>
        </w:rPr>
        <w:t>单位：面积（k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），水量（万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bl>
      <w:tblPr>
        <w:tblStyle w:val="40"/>
        <w:tblW w:w="5000" w:type="pct"/>
        <w:jc w:val="center"/>
        <w:tblLayout w:type="autofit"/>
        <w:tblCellMar>
          <w:top w:w="0" w:type="dxa"/>
          <w:left w:w="108" w:type="dxa"/>
          <w:bottom w:w="0" w:type="dxa"/>
          <w:right w:w="108" w:type="dxa"/>
        </w:tblCellMar>
      </w:tblPr>
      <w:tblGrid>
        <w:gridCol w:w="656"/>
        <w:gridCol w:w="817"/>
        <w:gridCol w:w="1118"/>
        <w:gridCol w:w="1953"/>
        <w:gridCol w:w="1517"/>
        <w:gridCol w:w="1531"/>
        <w:gridCol w:w="930"/>
      </w:tblGrid>
      <w:tr>
        <w:tblPrEx>
          <w:tblCellMar>
            <w:top w:w="0" w:type="dxa"/>
            <w:left w:w="108" w:type="dxa"/>
            <w:bottom w:w="0" w:type="dxa"/>
            <w:right w:w="108" w:type="dxa"/>
          </w:tblCellMar>
        </w:tblPrEx>
        <w:trPr>
          <w:trHeight w:val="397" w:hRule="atLeast"/>
          <w:jc w:val="center"/>
        </w:trPr>
        <w:tc>
          <w:tcPr>
            <w:tcW w:w="478" w:type="pct"/>
            <w:tcBorders>
              <w:top w:val="single" w:color="auto" w:sz="4" w:space="0"/>
              <w:left w:val="single" w:color="auto" w:sz="4" w:space="0"/>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分区</w:t>
            </w:r>
          </w:p>
        </w:tc>
        <w:tc>
          <w:tcPr>
            <w:tcW w:w="451" w:type="pct"/>
            <w:tcBorders>
              <w:top w:val="single" w:color="auto" w:sz="4" w:space="0"/>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面积</w:t>
            </w:r>
          </w:p>
        </w:tc>
        <w:tc>
          <w:tcPr>
            <w:tcW w:w="617" w:type="pct"/>
            <w:tcBorders>
              <w:top w:val="single" w:color="auto" w:sz="4" w:space="0"/>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水资源量</w:t>
            </w:r>
          </w:p>
        </w:tc>
        <w:tc>
          <w:tcPr>
            <w:tcW w:w="1078" w:type="pct"/>
            <w:tcBorders>
              <w:top w:val="single" w:color="auto" w:sz="4" w:space="0"/>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不可利用外包水量</w:t>
            </w:r>
          </w:p>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（按30%)</w:t>
            </w:r>
          </w:p>
        </w:tc>
        <w:tc>
          <w:tcPr>
            <w:tcW w:w="837" w:type="pct"/>
            <w:tcBorders>
              <w:top w:val="single" w:color="auto" w:sz="4" w:space="0"/>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洪水弃水量</w:t>
            </w:r>
          </w:p>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color w:val="000000" w:themeColor="text1"/>
                <w:sz w:val="24"/>
                <w:vertAlign w:val="subscript"/>
                <w14:textFill>
                  <w14:solidFill>
                    <w14:schemeClr w14:val="tx1"/>
                  </w14:solidFill>
                </w14:textFill>
              </w:rPr>
              <w:t>泄</w:t>
            </w:r>
            <w:r>
              <w:rPr>
                <w:color w:val="000000" w:themeColor="text1"/>
                <w:sz w:val="24"/>
                <w14:textFill>
                  <w14:solidFill>
                    <w14:schemeClr w14:val="tx1"/>
                  </w14:solidFill>
                </w14:textFill>
              </w:rPr>
              <w:t>为20%)</w:t>
            </w:r>
          </w:p>
        </w:tc>
        <w:tc>
          <w:tcPr>
            <w:tcW w:w="845" w:type="pct"/>
            <w:tcBorders>
              <w:top w:val="single" w:color="auto" w:sz="4" w:space="0"/>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水资源可利用量</w:t>
            </w:r>
          </w:p>
        </w:tc>
        <w:tc>
          <w:tcPr>
            <w:tcW w:w="694" w:type="pct"/>
            <w:tcBorders>
              <w:top w:val="single" w:color="auto" w:sz="4" w:space="0"/>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可利用率</w:t>
            </w:r>
          </w:p>
        </w:tc>
      </w:tr>
      <w:tr>
        <w:tblPrEx>
          <w:tblCellMar>
            <w:top w:w="0" w:type="dxa"/>
            <w:left w:w="108" w:type="dxa"/>
            <w:bottom w:w="0" w:type="dxa"/>
            <w:right w:w="108" w:type="dxa"/>
          </w:tblCellMar>
        </w:tblPrEx>
        <w:trPr>
          <w:trHeight w:val="397" w:hRule="atLeast"/>
          <w:jc w:val="center"/>
        </w:trPr>
        <w:tc>
          <w:tcPr>
            <w:tcW w:w="478" w:type="pct"/>
            <w:tcBorders>
              <w:top w:val="nil"/>
              <w:left w:val="single" w:color="auto" w:sz="4" w:space="0"/>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通川区</w:t>
            </w:r>
          </w:p>
        </w:tc>
        <w:tc>
          <w:tcPr>
            <w:tcW w:w="817" w:type="dxa"/>
            <w:tcBorders>
              <w:top w:val="nil"/>
              <w:left w:val="nil"/>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888 </w:t>
            </w:r>
          </w:p>
        </w:tc>
        <w:tc>
          <w:tcPr>
            <w:tcW w:w="1118" w:type="dxa"/>
            <w:tcBorders>
              <w:top w:val="nil"/>
              <w:left w:val="nil"/>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51708 </w:t>
            </w:r>
          </w:p>
        </w:tc>
        <w:tc>
          <w:tcPr>
            <w:tcW w:w="1953" w:type="dxa"/>
            <w:tcBorders>
              <w:top w:val="nil"/>
              <w:left w:val="nil"/>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15512 </w:t>
            </w:r>
          </w:p>
        </w:tc>
        <w:tc>
          <w:tcPr>
            <w:tcW w:w="1517" w:type="dxa"/>
            <w:tcBorders>
              <w:top w:val="nil"/>
              <w:left w:val="nil"/>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10342 </w:t>
            </w:r>
          </w:p>
        </w:tc>
        <w:tc>
          <w:tcPr>
            <w:tcW w:w="1531" w:type="dxa"/>
            <w:tcBorders>
              <w:top w:val="nil"/>
              <w:left w:val="nil"/>
              <w:bottom w:val="single" w:color="auto" w:sz="4" w:space="0"/>
              <w:right w:val="single" w:color="auto" w:sz="4" w:space="0"/>
            </w:tcBorders>
            <w:noWrap/>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25854 </w:t>
            </w:r>
          </w:p>
        </w:tc>
        <w:tc>
          <w:tcPr>
            <w:tcW w:w="1258" w:type="dxa"/>
            <w:tcBorders>
              <w:top w:val="nil"/>
              <w:left w:val="nil"/>
              <w:bottom w:val="single" w:color="auto" w:sz="4" w:space="0"/>
              <w:right w:val="single" w:color="auto" w:sz="4" w:space="0"/>
            </w:tcBorders>
            <w:vAlign w:val="center"/>
          </w:tcPr>
          <w:p>
            <w:pPr>
              <w:pStyle w:val="116"/>
              <w:ind w:left="-140" w:right="-14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50%</w:t>
            </w:r>
          </w:p>
        </w:tc>
      </w:tr>
    </w:tbl>
    <w:p>
      <w:pPr>
        <w:pStyle w:val="4"/>
        <w:rPr>
          <w:rFonts w:ascii="Times New Roman" w:hAnsi="Times New Roman" w:cs="Times New Roman"/>
          <w:color w:val="000000" w:themeColor="text1"/>
          <w14:textFill>
            <w14:solidFill>
              <w14:schemeClr w14:val="tx1"/>
            </w14:solidFill>
          </w14:textFill>
        </w:rPr>
      </w:pPr>
      <w:bookmarkStart w:id="71" w:name="_Toc18800"/>
      <w:bookmarkStart w:id="72" w:name="_Toc32590"/>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"_Toc10741" </w:instrText>
      </w:r>
      <w:r>
        <w:rPr>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2.2  水资源质量</w:t>
      </w:r>
      <w:r>
        <w:rPr>
          <w:rFonts w:ascii="Times New Roman" w:hAnsi="Times New Roman" w:cs="Times New Roman"/>
          <w:color w:val="000000" w:themeColor="text1"/>
          <w14:textFill>
            <w14:solidFill>
              <w14:schemeClr w14:val="tx1"/>
            </w14:solidFill>
          </w14:textFill>
        </w:rPr>
        <w:fldChar w:fldCharType="end"/>
      </w:r>
      <w:bookmarkEnd w:id="71"/>
      <w:bookmarkEnd w:id="72"/>
    </w:p>
    <w:p>
      <w:pPr>
        <w:pStyle w:val="5"/>
        <w:spacing w:before="156" w:after="156"/>
        <w:rPr>
          <w:rFonts w:ascii="Times New Roman" w:hAnsi="Times New Roman"/>
          <w:color w:val="000000" w:themeColor="text1"/>
          <w14:textFill>
            <w14:solidFill>
              <w14:schemeClr w14:val="tx1"/>
            </w14:solidFill>
          </w14:textFill>
        </w:rPr>
      </w:pPr>
      <w:bookmarkStart w:id="73" w:name="_Toc12134"/>
      <w:r>
        <w:rPr>
          <w:rFonts w:ascii="Times New Roman" w:hAnsi="Times New Roman"/>
          <w:color w:val="000000" w:themeColor="text1"/>
          <w14:textFill>
            <w14:solidFill>
              <w14:schemeClr w14:val="tx1"/>
            </w14:solidFill>
          </w14:textFill>
        </w:rPr>
        <w:t>2.2.1  废污水排放量</w:t>
      </w:r>
      <w:bookmarkEnd w:id="73"/>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根据《通川区水资源公报（2020年）》，通川区全年废污水排放总量为3634万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，其中城镇生活废污水排放量1531万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，占42.1%，第二产业废污水排放量1768万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，占48.7%；第三产业废污水排放量335万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，占9.2%。全区废污水入河排污量3252万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2020年行政分区废污水排放指标见表2.2.1，各类废污水排量见图2-1。</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表2.2.1  2020年行政分区废污水排放量表</w:t>
      </w:r>
    </w:p>
    <w:tbl>
      <w:tblPr>
        <w:tblStyle w:val="40"/>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474"/>
        <w:gridCol w:w="1521"/>
        <w:gridCol w:w="1681"/>
        <w:gridCol w:w="1540"/>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行政区</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废污水排放量（万</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入河废污水量（万</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行政区</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废污水排放量（万</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入河废污水量（万</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全  区</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3634</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3252</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新村乡</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27.2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三办（东、西、朝）</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1905.9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1705.8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檬双乡</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30.4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西外镇(莲花湖管委会)</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116.7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104.5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龙滩乡</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38.7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北外镇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125.8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112.6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江陵镇</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109.0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97.6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罗江镇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95.4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85.4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碑庙镇</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97.4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蒲家镇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129.8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116.1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北山镇</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96.1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复兴镇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107.6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96.3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安云乡</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59.8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53.5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63.4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56.7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梓桐镇</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54.1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魏兴镇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64.0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57.2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金石镇</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79.8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磐石镇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111.1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99.4 </w:t>
            </w:r>
          </w:p>
        </w:tc>
        <w:tc>
          <w:tcPr>
            <w:tcW w:w="1681" w:type="dxa"/>
            <w:tcBorders>
              <w:lef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青宁镇</w:t>
            </w:r>
          </w:p>
        </w:tc>
        <w:tc>
          <w:tcPr>
            <w:tcW w:w="154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79.8 </w:t>
            </w:r>
          </w:p>
        </w:tc>
        <w:tc>
          <w:tcPr>
            <w:tcW w:w="15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东岳镇</w:t>
            </w:r>
          </w:p>
        </w:tc>
        <w:tc>
          <w:tcPr>
            <w:tcW w:w="1474"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241.8 </w:t>
            </w:r>
          </w:p>
        </w:tc>
        <w:tc>
          <w:tcPr>
            <w:tcW w:w="1521" w:type="dxa"/>
            <w:tcBorders>
              <w:right w:val="double" w:color="auto" w:sz="4" w:space="0"/>
            </w:tcBorders>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216.4 </w:t>
            </w:r>
          </w:p>
        </w:tc>
        <w:tc>
          <w:tcPr>
            <w:tcW w:w="1681" w:type="dxa"/>
            <w:tcBorders>
              <w:left w:val="double" w:color="auto" w:sz="4" w:space="0"/>
            </w:tcBorders>
            <w:vAlign w:val="bottom"/>
          </w:tcPr>
          <w:p>
            <w:pPr>
              <w:pStyle w:val="50"/>
              <w:spacing w:before="0" w:beforeLines="0"/>
              <w:rPr>
                <w:color w:val="000000" w:themeColor="text1"/>
                <w:szCs w:val="24"/>
                <w14:textFill>
                  <w14:solidFill>
                    <w14:schemeClr w14:val="tx1"/>
                  </w14:solidFill>
                </w14:textFill>
              </w:rPr>
            </w:pPr>
          </w:p>
        </w:tc>
        <w:tc>
          <w:tcPr>
            <w:tcW w:w="1540" w:type="dxa"/>
            <w:vAlign w:val="center"/>
          </w:tcPr>
          <w:p>
            <w:pPr>
              <w:pStyle w:val="50"/>
              <w:spacing w:before="0" w:beforeLines="0"/>
              <w:rPr>
                <w:color w:val="000000" w:themeColor="text1"/>
                <w:szCs w:val="24"/>
                <w14:textFill>
                  <w14:solidFill>
                    <w14:schemeClr w14:val="tx1"/>
                  </w14:solidFill>
                </w14:textFill>
              </w:rPr>
            </w:pPr>
          </w:p>
        </w:tc>
        <w:tc>
          <w:tcPr>
            <w:tcW w:w="1541" w:type="dxa"/>
            <w:vAlign w:val="center"/>
          </w:tcPr>
          <w:p>
            <w:pPr>
              <w:pStyle w:val="50"/>
              <w:spacing w:before="0" w:beforeLines="0"/>
              <w:rPr>
                <w:color w:val="000000" w:themeColor="text1"/>
                <w:szCs w:val="24"/>
                <w14:textFill>
                  <w14:solidFill>
                    <w14:schemeClr w14:val="tx1"/>
                  </w14:solidFill>
                </w14:textFill>
              </w:rPr>
            </w:pPr>
          </w:p>
        </w:tc>
      </w:tr>
    </w:tbl>
    <w:p>
      <w:pPr>
        <w:widowControl/>
        <w:ind w:firstLine="0" w:firstLineChars="0"/>
        <w:jc w:val="center"/>
        <w:rPr>
          <w:color w:val="000000" w:themeColor="text1"/>
          <w:kern w:val="0"/>
          <w14:textFill>
            <w14:solidFill>
              <w14:schemeClr w14:val="tx1"/>
            </w14:solidFill>
          </w14:textFill>
        </w:rPr>
      </w:pPr>
    </w:p>
    <w:p>
      <w:pPr>
        <w:widowControl/>
        <w:ind w:firstLine="0" w:firstLineChars="0"/>
        <w:jc w:val="center"/>
        <w:rPr>
          <w:color w:val="000000" w:themeColor="text1"/>
          <w:kern w:val="0"/>
          <w14:textFill>
            <w14:solidFill>
              <w14:schemeClr w14:val="tx1"/>
            </w14:solidFill>
          </w14:textFill>
        </w:rPr>
      </w:pPr>
      <w:r>
        <w:rPr>
          <w:color w:val="000000" w:themeColor="text1"/>
          <w14:textFill>
            <w14:solidFill>
              <w14:schemeClr w14:val="tx1"/>
            </w14:solidFill>
          </w14:textFill>
        </w:rPr>
        <w:drawing>
          <wp:inline distT="0" distB="0" distL="0" distR="0">
            <wp:extent cx="5076190" cy="311023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76190" cy="3110230"/>
                    </a:xfrm>
                    <a:prstGeom prst="rect">
                      <a:avLst/>
                    </a:prstGeom>
                    <a:noFill/>
                    <a:ln>
                      <a:noFill/>
                    </a:ln>
                  </pic:spPr>
                </pic:pic>
              </a:graphicData>
            </a:graphic>
          </wp:inline>
        </w:drawing>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图2-1  全区各类废污水排放量对比图</w:t>
      </w:r>
    </w:p>
    <w:p>
      <w:pPr>
        <w:pStyle w:val="50"/>
        <w:spacing w:before="190"/>
        <w:rPr>
          <w:color w:val="000000" w:themeColor="text1"/>
          <w14:textFill>
            <w14:solidFill>
              <w14:schemeClr w14:val="tx1"/>
            </w14:solidFill>
          </w14:textFill>
        </w:rPr>
      </w:pPr>
    </w:p>
    <w:p>
      <w:pPr>
        <w:pStyle w:val="5"/>
        <w:spacing w:before="156" w:after="156"/>
        <w:rPr>
          <w:rFonts w:ascii="Times New Roman" w:hAnsi="Times New Roman"/>
          <w:color w:val="000000" w:themeColor="text1"/>
          <w14:textFill>
            <w14:solidFill>
              <w14:schemeClr w14:val="tx1"/>
            </w14:solidFill>
          </w14:textFill>
        </w:rPr>
      </w:pPr>
      <w:bookmarkStart w:id="74" w:name="_Toc3714"/>
      <w:r>
        <w:rPr>
          <w:rFonts w:ascii="Times New Roman" w:hAnsi="Times New Roman"/>
          <w:color w:val="000000" w:themeColor="text1"/>
          <w14:textFill>
            <w14:solidFill>
              <w14:schemeClr w14:val="tx1"/>
            </w14:solidFill>
          </w14:textFill>
        </w:rPr>
        <w:t>2.2.2  河流水质概况评价</w:t>
      </w:r>
      <w:bookmarkEnd w:id="74"/>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根据达州市通川区河长制办公室通川区12条（座）主要河库2020年1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月水质情况通报，12个监测断面中，除双龙河、魏家河、洞滩河、明月江外，其余8个断面水质均在Ⅲ类以上，洞滩河6月、7月水质较差，分别为Ⅴ类与Ⅳ类，其余月份均在Ⅲ类以上，明月江除2月、8月为Ⅳ类外，其余月份水质均在Ⅲ类以上。魏家河水质仅1月、10月、11月水质为Ⅲ类，其余月份均低于Ⅳ类水质，双龙河水质仅8月、10月为Ⅲ类，其余月份均低于Ⅳ类水质。</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表2.2.2  2020年通川区12条（座）主要河库水质逐月统计表</w:t>
      </w:r>
    </w:p>
    <w:tbl>
      <w:tblPr>
        <w:tblStyle w:val="40"/>
        <w:tblW w:w="5000" w:type="pct"/>
        <w:tblInd w:w="0" w:type="dxa"/>
        <w:tblLayout w:type="fixed"/>
        <w:tblCellMar>
          <w:top w:w="0" w:type="dxa"/>
          <w:left w:w="0" w:type="dxa"/>
          <w:bottom w:w="0" w:type="dxa"/>
          <w:right w:w="0" w:type="dxa"/>
        </w:tblCellMar>
      </w:tblPr>
      <w:tblGrid>
        <w:gridCol w:w="1206"/>
        <w:gridCol w:w="1924"/>
        <w:gridCol w:w="392"/>
        <w:gridCol w:w="392"/>
        <w:gridCol w:w="393"/>
        <w:gridCol w:w="393"/>
        <w:gridCol w:w="447"/>
        <w:gridCol w:w="393"/>
        <w:gridCol w:w="393"/>
        <w:gridCol w:w="447"/>
        <w:gridCol w:w="447"/>
        <w:gridCol w:w="500"/>
        <w:gridCol w:w="500"/>
        <w:gridCol w:w="498"/>
      </w:tblGrid>
      <w:tr>
        <w:tblPrEx>
          <w:tblCellMar>
            <w:top w:w="0" w:type="dxa"/>
            <w:left w:w="0" w:type="dxa"/>
            <w:bottom w:w="0" w:type="dxa"/>
            <w:right w:w="0" w:type="dxa"/>
          </w:tblCellMar>
        </w:tblPrEx>
        <w:trPr>
          <w:trHeight w:val="397" w:hRule="atLeast"/>
          <w:tblHeader/>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断面名称</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断面位置</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1月</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2月</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3月</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4月</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5月</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6月</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7月</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8月</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9月</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10月</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11月</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12月</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州河出境</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西外镇皇家坝大桥</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江陵镇千宁村9组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r>
      <w:tr>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施家河出口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青宁镇红砖村9组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梓桐河出口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碑庙镇擂鼓村2组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巴河出境</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江陵镇棋盘村7组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洞滩河出口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江陵镇关门石电站</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石莲花水库</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莲湖山庄/大坝</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龙滩乡高庙子村10组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Ⅰ</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大堰河出境</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双龙镇石马村2组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明月江大桥</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罗江镇三桥社区4组</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劣Ⅴ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劣Ⅳ</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劣Ⅴ</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r>
      <w:tr>
        <w:tblPrEx>
          <w:tblCellMar>
            <w:top w:w="0" w:type="dxa"/>
            <w:left w:w="0" w:type="dxa"/>
            <w:bottom w:w="0" w:type="dxa"/>
            <w:right w:w="0" w:type="dxa"/>
          </w:tblCellMar>
        </w:tblPrEx>
        <w:trPr>
          <w:trHeight w:val="397" w:hRule="atLeast"/>
        </w:trPr>
        <w:tc>
          <w:tcPr>
            <w:tcW w:w="7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双龙河出口</w:t>
            </w:r>
          </w:p>
        </w:tc>
        <w:tc>
          <w:tcPr>
            <w:tcW w:w="115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西外镇</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劣Ⅴ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Ⅴ</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2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劣Ⅴ</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30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劣Ⅴ</w:t>
            </w:r>
          </w:p>
        </w:tc>
      </w:tr>
    </w:tbl>
    <w:p>
      <w:pPr>
        <w:pStyle w:val="5"/>
        <w:spacing w:before="156" w:after="156"/>
        <w:rPr>
          <w:rFonts w:ascii="Times New Roman" w:hAnsi="Times New Roman"/>
          <w:color w:val="000000" w:themeColor="text1"/>
          <w14:textFill>
            <w14:solidFill>
              <w14:schemeClr w14:val="tx1"/>
            </w14:solidFill>
          </w14:textFill>
        </w:rPr>
      </w:pPr>
      <w:bookmarkStart w:id="75" w:name="_Toc25896"/>
      <w:r>
        <w:rPr>
          <w:rFonts w:ascii="Times New Roman" w:hAnsi="Times New Roman"/>
          <w:color w:val="000000" w:themeColor="text1"/>
          <w14:textFill>
            <w14:solidFill>
              <w14:schemeClr w14:val="tx1"/>
            </w14:solidFill>
          </w14:textFill>
        </w:rPr>
        <w:t>2.2.3  水库水质概况评价</w:t>
      </w:r>
      <w:bookmarkEnd w:id="75"/>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对通川区6座水库进行了常规水质监测，监测结果显示大部分水库水质较好，部分水库水质相对较差。其中罗江口电站、石莲花水库、谭家河水库、三上水库水质良好，水质均为Ⅲ类。其余水库全年水质为Ⅳ类，主要超标物为化学需氧量、总磷、氨氮。</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2020年通川区主要水库水质统计表见表2.2.3。</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表2.2.3  2020年通川区主要水库水质统计表</w:t>
      </w:r>
    </w:p>
    <w:tbl>
      <w:tblPr>
        <w:tblStyle w:val="40"/>
        <w:tblW w:w="8839" w:type="dxa"/>
        <w:tblInd w:w="0" w:type="dxa"/>
        <w:tblLayout w:type="fixed"/>
        <w:tblCellMar>
          <w:top w:w="0" w:type="dxa"/>
          <w:left w:w="108" w:type="dxa"/>
          <w:bottom w:w="0" w:type="dxa"/>
          <w:right w:w="108" w:type="dxa"/>
        </w:tblCellMar>
      </w:tblPr>
      <w:tblGrid>
        <w:gridCol w:w="859"/>
        <w:gridCol w:w="1145"/>
        <w:gridCol w:w="716"/>
        <w:gridCol w:w="859"/>
        <w:gridCol w:w="715"/>
        <w:gridCol w:w="681"/>
        <w:gridCol w:w="716"/>
        <w:gridCol w:w="715"/>
        <w:gridCol w:w="716"/>
        <w:gridCol w:w="859"/>
        <w:gridCol w:w="858"/>
      </w:tblGrid>
      <w:tr>
        <w:trPr>
          <w:trHeight w:val="397" w:hRule="atLeast"/>
          <w:tblHeader/>
        </w:trPr>
        <w:tc>
          <w:tcPr>
            <w:tcW w:w="859" w:type="dxa"/>
            <w:vMerge w:val="restart"/>
            <w:tcBorders>
              <w:top w:val="single" w:color="auto" w:sz="4" w:space="0"/>
              <w:left w:val="single" w:color="auto" w:sz="4" w:space="0"/>
              <w:bottom w:val="single" w:color="000000"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所属乡镇</w:t>
            </w:r>
          </w:p>
        </w:tc>
        <w:tc>
          <w:tcPr>
            <w:tcW w:w="1145" w:type="dxa"/>
            <w:vMerge w:val="restart"/>
            <w:tcBorders>
              <w:top w:val="single" w:color="auto" w:sz="4" w:space="0"/>
              <w:left w:val="single" w:color="auto" w:sz="4" w:space="0"/>
              <w:bottom w:val="single" w:color="000000"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水库名称</w:t>
            </w:r>
          </w:p>
        </w:tc>
        <w:tc>
          <w:tcPr>
            <w:tcW w:w="2290" w:type="dxa"/>
            <w:gridSpan w:val="3"/>
            <w:tcBorders>
              <w:top w:val="single" w:color="auto" w:sz="4" w:space="0"/>
              <w:left w:val="nil"/>
              <w:bottom w:val="single" w:color="auto" w:sz="4" w:space="0"/>
              <w:right w:val="single" w:color="000000"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全年</w:t>
            </w:r>
          </w:p>
        </w:tc>
        <w:tc>
          <w:tcPr>
            <w:tcW w:w="2112" w:type="dxa"/>
            <w:gridSpan w:val="3"/>
            <w:tcBorders>
              <w:top w:val="single" w:color="auto" w:sz="4" w:space="0"/>
              <w:left w:val="nil"/>
              <w:bottom w:val="single" w:color="auto" w:sz="4" w:space="0"/>
              <w:right w:val="single" w:color="000000"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汛期</w:t>
            </w:r>
          </w:p>
        </w:tc>
        <w:tc>
          <w:tcPr>
            <w:tcW w:w="2433" w:type="dxa"/>
            <w:gridSpan w:val="3"/>
            <w:tcBorders>
              <w:top w:val="single" w:color="auto" w:sz="4" w:space="0"/>
              <w:left w:val="nil"/>
              <w:bottom w:val="single" w:color="auto" w:sz="4" w:space="0"/>
              <w:right w:val="single" w:color="000000"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非汛期</w:t>
            </w:r>
          </w:p>
        </w:tc>
      </w:tr>
      <w:tr>
        <w:tblPrEx>
          <w:tblCellMar>
            <w:top w:w="0" w:type="dxa"/>
            <w:left w:w="108" w:type="dxa"/>
            <w:bottom w:w="0" w:type="dxa"/>
            <w:right w:w="108" w:type="dxa"/>
          </w:tblCellMar>
        </w:tblPrEx>
        <w:trPr>
          <w:trHeight w:val="397" w:hRule="atLeast"/>
          <w:tblHeader/>
        </w:trPr>
        <w:tc>
          <w:tcPr>
            <w:tcW w:w="859" w:type="dxa"/>
            <w:vMerge w:val="continue"/>
            <w:tcBorders>
              <w:top w:val="single" w:color="auto" w:sz="4" w:space="0"/>
              <w:left w:val="single" w:color="auto" w:sz="4" w:space="0"/>
              <w:bottom w:val="single" w:color="000000"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p>
        </w:tc>
        <w:tc>
          <w:tcPr>
            <w:tcW w:w="1145" w:type="dxa"/>
            <w:vMerge w:val="continue"/>
            <w:tcBorders>
              <w:top w:val="single" w:color="auto" w:sz="4" w:space="0"/>
              <w:left w:val="single" w:color="auto" w:sz="4" w:space="0"/>
              <w:bottom w:val="single" w:color="000000"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水质类别</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主要污染物</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水质评价</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水质类别</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主要污染物</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水质评价</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水质类别</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主要污染物</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水质</w:t>
            </w:r>
          </w:p>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评价</w:t>
            </w:r>
          </w:p>
        </w:tc>
      </w:tr>
      <w:tr>
        <w:tblPrEx>
          <w:tblCellMar>
            <w:top w:w="0" w:type="dxa"/>
            <w:left w:w="108" w:type="dxa"/>
            <w:bottom w:w="0" w:type="dxa"/>
            <w:right w:w="108" w:type="dxa"/>
          </w:tblCellMar>
        </w:tblPrEx>
        <w:trPr>
          <w:trHeight w:val="397" w:hRule="atLeast"/>
        </w:trPr>
        <w:tc>
          <w:tcPr>
            <w:tcW w:w="859" w:type="dxa"/>
            <w:tcBorders>
              <w:top w:val="single" w:color="000000" w:sz="4" w:space="0"/>
              <w:left w:val="single" w:color="auto" w:sz="4" w:space="0"/>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西外镇</w:t>
            </w:r>
          </w:p>
        </w:tc>
        <w:tc>
          <w:tcPr>
            <w:tcW w:w="1145" w:type="dxa"/>
            <w:tcBorders>
              <w:top w:val="single" w:color="000000" w:sz="4" w:space="0"/>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石莲花水库</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罗江镇</w:t>
            </w:r>
          </w:p>
        </w:tc>
        <w:tc>
          <w:tcPr>
            <w:tcW w:w="1145" w:type="dxa"/>
            <w:tcBorders>
              <w:top w:val="single" w:color="auto" w:sz="4" w:space="0"/>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罗江口电站</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r>
      <w:tr>
        <w:trPr>
          <w:trHeight w:val="397" w:hRule="atLeast"/>
        </w:trPr>
        <w:tc>
          <w:tcPr>
            <w:tcW w:w="859" w:type="dxa"/>
            <w:tcBorders>
              <w:top w:val="single" w:color="auto" w:sz="4" w:space="0"/>
              <w:left w:val="single" w:color="auto" w:sz="4" w:space="0"/>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蒲家镇</w:t>
            </w:r>
          </w:p>
        </w:tc>
        <w:tc>
          <w:tcPr>
            <w:tcW w:w="1145" w:type="dxa"/>
            <w:tcBorders>
              <w:top w:val="single" w:color="auto" w:sz="4" w:space="0"/>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五星水库</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化学需氧量</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轻度污染</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轻度</w:t>
            </w:r>
          </w:p>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污染</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蒲家镇</w:t>
            </w:r>
          </w:p>
        </w:tc>
        <w:tc>
          <w:tcPr>
            <w:tcW w:w="1145" w:type="dxa"/>
            <w:tcBorders>
              <w:top w:val="single" w:color="auto" w:sz="4" w:space="0"/>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石洞沟水库</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轻度污染</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轻度污染</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蒲家镇</w:t>
            </w:r>
          </w:p>
        </w:tc>
        <w:tc>
          <w:tcPr>
            <w:tcW w:w="1145" w:type="dxa"/>
            <w:tcBorders>
              <w:top w:val="single" w:color="auto" w:sz="4" w:space="0"/>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谭家河水库</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Ⅳ</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化学需氧量</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轻度</w:t>
            </w:r>
          </w:p>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污染</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碑庙镇</w:t>
            </w:r>
          </w:p>
        </w:tc>
        <w:tc>
          <w:tcPr>
            <w:tcW w:w="1145" w:type="dxa"/>
            <w:tcBorders>
              <w:top w:val="single" w:color="auto" w:sz="4" w:space="0"/>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三上水库</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681"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715"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c>
          <w:tcPr>
            <w:tcW w:w="716"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59"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　</w:t>
            </w:r>
          </w:p>
        </w:tc>
        <w:tc>
          <w:tcPr>
            <w:tcW w:w="858" w:type="dxa"/>
            <w:tcBorders>
              <w:top w:val="nil"/>
              <w:left w:val="nil"/>
              <w:bottom w:val="single" w:color="auto" w:sz="4" w:space="0"/>
              <w:right w:val="single" w:color="auto" w:sz="4" w:space="0"/>
            </w:tcBorders>
            <w:vAlign w:val="center"/>
          </w:tcPr>
          <w:p>
            <w:pPr>
              <w:pStyle w:val="50"/>
              <w:spacing w:before="0" w:beforeLines="0"/>
              <w:ind w:left="-140" w:leftChars="-50" w:right="-140" w:rightChars="-50"/>
              <w:rPr>
                <w:color w:val="000000" w:themeColor="text1"/>
                <w14:textFill>
                  <w14:solidFill>
                    <w14:schemeClr w14:val="tx1"/>
                  </w14:solidFill>
                </w14:textFill>
              </w:rPr>
            </w:pPr>
            <w:r>
              <w:rPr>
                <w:color w:val="000000" w:themeColor="text1"/>
                <w14:textFill>
                  <w14:solidFill>
                    <w14:schemeClr w14:val="tx1"/>
                  </w14:solidFill>
                </w14:textFill>
              </w:rPr>
              <w:t>良好</w:t>
            </w:r>
          </w:p>
        </w:tc>
      </w:tr>
    </w:tbl>
    <w:p>
      <w:pPr>
        <w:pStyle w:val="4"/>
        <w:rPr>
          <w:rFonts w:ascii="Times New Roman" w:hAnsi="Times New Roman" w:cs="Times New Roman"/>
          <w:color w:val="000000" w:themeColor="text1"/>
          <w14:textFill>
            <w14:solidFill>
              <w14:schemeClr w14:val="tx1"/>
            </w14:solidFill>
          </w14:textFill>
        </w:rPr>
      </w:pPr>
      <w:bookmarkStart w:id="76" w:name="_Toc14649"/>
      <w:bookmarkStart w:id="77" w:name="_Toc20603"/>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"_Toc17492" </w:instrText>
      </w:r>
      <w:r>
        <w:rPr>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2.3  水资源评价</w:t>
      </w:r>
      <w:r>
        <w:rPr>
          <w:rFonts w:ascii="Times New Roman" w:hAnsi="Times New Roman" w:cs="Times New Roman"/>
          <w:color w:val="000000" w:themeColor="text1"/>
          <w14:textFill>
            <w14:solidFill>
              <w14:schemeClr w14:val="tx1"/>
            </w14:solidFill>
          </w14:textFill>
        </w:rPr>
        <w:fldChar w:fldCharType="end"/>
      </w:r>
      <w:bookmarkEnd w:id="76"/>
      <w:bookmarkEnd w:id="77"/>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综上，通川区多年平均水资源量51708万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，其中地下水资源量为6300万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，全部为重复计算量。2020年全年废污水排放总量为3634万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，废污水入河排污量3252万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通川区境内的巴河、州河等干支流总体水质良好。区内大部分水库水质较好，其中罗江口电站、石莲花水库、谭家河水库、三上水库水质良好，水质均为Ⅲ类。其余水库全年水质为Ⅳ类，主要超标物为化学需氧量、总磷、氨氮。</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78" w:name="_Toc17204"/>
      <w:bookmarkStart w:id="79" w:name="_Toc6836"/>
      <w:bookmarkStart w:id="80" w:name="_Toc7971"/>
      <w:bookmarkStart w:id="81" w:name="_Toc31271"/>
      <w:bookmarkStart w:id="82" w:name="_Toc31597"/>
      <w:r>
        <w:rPr>
          <w:color w:val="000000" w:themeColor="text1"/>
          <w14:textFill>
            <w14:solidFill>
              <w14:schemeClr w14:val="tx1"/>
            </w14:solidFill>
          </w14:textFill>
        </w:rPr>
        <w:t>3  水资源利用现状</w:t>
      </w:r>
      <w:bookmarkEnd w:id="78"/>
      <w:bookmarkEnd w:id="79"/>
      <w:bookmarkEnd w:id="80"/>
      <w:bookmarkEnd w:id="81"/>
      <w:bookmarkEnd w:id="82"/>
    </w:p>
    <w:p>
      <w:pPr>
        <w:pStyle w:val="4"/>
        <w:rPr>
          <w:rFonts w:ascii="Times New Roman" w:hAnsi="Times New Roman" w:cs="Times New Roman"/>
          <w:color w:val="000000" w:themeColor="text1"/>
          <w14:textFill>
            <w14:solidFill>
              <w14:schemeClr w14:val="tx1"/>
            </w14:solidFill>
          </w14:textFill>
        </w:rPr>
      </w:pPr>
      <w:bookmarkStart w:id="83" w:name="_Toc25791"/>
      <w:bookmarkStart w:id="84" w:name="_Toc9718"/>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"_Toc2778" </w:instrText>
      </w:r>
      <w:r>
        <w:rPr>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3.1  水源工程建设现状</w:t>
      </w:r>
      <w:r>
        <w:rPr>
          <w:rFonts w:ascii="Times New Roman" w:hAnsi="Times New Roman" w:cs="Times New Roman"/>
          <w:color w:val="000000" w:themeColor="text1"/>
          <w14:textFill>
            <w14:solidFill>
              <w14:schemeClr w14:val="tx1"/>
            </w14:solidFill>
          </w14:textFill>
        </w:rPr>
        <w:fldChar w:fldCharType="end"/>
      </w:r>
      <w:bookmarkEnd w:id="83"/>
      <w:bookmarkEnd w:id="84"/>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大部分水利设施修建年代均比较早，部分乡镇的水利工程配套不完善，有些水利工程长期带病运行，存在严重安全隐患，近几年，在国家的大力支持下，通川区先后建成一大批水利基础设施，为改善城乡居民生活生产条件、促进经济社会发展发挥了巨大作用。</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水利普查数据结合最近2012～2020年的水利设计调查资料，2020年末，通川区已建成蓄水工程2425处，其中：中型水库已建成2座，正在建设1座中型水库，小型水库43座，山塘堰1938处，及窖池441座。引水工程94处，泵站22处。区域内地下水以浅层地下水生产井为主，共18860处。</w:t>
      </w:r>
    </w:p>
    <w:p>
      <w:pPr>
        <w:spacing w:line="520" w:lineRule="exact"/>
        <w:ind w:firstLine="560"/>
        <w:rPr>
          <w:rFonts w:eastAsia="华文仿宋"/>
          <w:color w:val="000000" w:themeColor="text1"/>
          <w14:textFill>
            <w14:solidFill>
              <w14:schemeClr w14:val="tx1"/>
            </w14:solidFill>
          </w14:textFill>
        </w:rPr>
      </w:pPr>
      <w:r>
        <w:rPr>
          <w:color w:val="000000" w:themeColor="text1"/>
          <w14:textFill>
            <w14:solidFill>
              <w14:schemeClr w14:val="tx1"/>
            </w14:solidFill>
          </w14:textFill>
        </w:rPr>
        <w:t>通川区2020年供水设施统计见表3.1.1。</w:t>
      </w:r>
    </w:p>
    <w:p>
      <w:pPr>
        <w:spacing w:line="540" w:lineRule="exact"/>
        <w:ind w:firstLine="560"/>
        <w:rPr>
          <w:rFonts w:eastAsia="华文仿宋"/>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3.1.1  通川区水利设施现状统计表</w:t>
      </w:r>
    </w:p>
    <w:tbl>
      <w:tblPr>
        <w:tblStyle w:val="40"/>
        <w:tblW w:w="0" w:type="auto"/>
        <w:tblInd w:w="0" w:type="dxa"/>
        <w:tblLayout w:type="fixed"/>
        <w:tblCellMar>
          <w:top w:w="0" w:type="dxa"/>
          <w:left w:w="108" w:type="dxa"/>
          <w:bottom w:w="0" w:type="dxa"/>
          <w:right w:w="108" w:type="dxa"/>
        </w:tblCellMar>
      </w:tblPr>
      <w:tblGrid>
        <w:gridCol w:w="675"/>
        <w:gridCol w:w="1134"/>
        <w:gridCol w:w="426"/>
        <w:gridCol w:w="708"/>
        <w:gridCol w:w="758"/>
        <w:gridCol w:w="660"/>
        <w:gridCol w:w="567"/>
        <w:gridCol w:w="709"/>
        <w:gridCol w:w="708"/>
        <w:gridCol w:w="709"/>
        <w:gridCol w:w="709"/>
        <w:gridCol w:w="567"/>
        <w:gridCol w:w="709"/>
        <w:gridCol w:w="567"/>
        <w:gridCol w:w="567"/>
        <w:gridCol w:w="708"/>
        <w:gridCol w:w="567"/>
        <w:gridCol w:w="709"/>
        <w:gridCol w:w="719"/>
        <w:gridCol w:w="649"/>
        <w:gridCol w:w="649"/>
      </w:tblGrid>
      <w:tr>
        <w:tblPrEx>
          <w:tblCellMar>
            <w:top w:w="0" w:type="dxa"/>
            <w:left w:w="108" w:type="dxa"/>
            <w:bottom w:w="0" w:type="dxa"/>
            <w:right w:w="108" w:type="dxa"/>
          </w:tblCellMar>
        </w:tblPrEx>
        <w:trPr>
          <w:trHeight w:val="397" w:hRule="atLeast"/>
        </w:trPr>
        <w:tc>
          <w:tcPr>
            <w:tcW w:w="180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分片</w:t>
            </w:r>
          </w:p>
        </w:tc>
        <w:tc>
          <w:tcPr>
            <w:tcW w:w="2552" w:type="dxa"/>
            <w:gridSpan w:val="4"/>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中型水库</w:t>
            </w:r>
          </w:p>
        </w:tc>
        <w:tc>
          <w:tcPr>
            <w:tcW w:w="2693" w:type="dxa"/>
            <w:gridSpan w:val="4"/>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小型水库</w:t>
            </w:r>
          </w:p>
        </w:tc>
        <w:tc>
          <w:tcPr>
            <w:tcW w:w="1276" w:type="dxa"/>
            <w:gridSpan w:val="2"/>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山坪塘</w:t>
            </w:r>
          </w:p>
        </w:tc>
        <w:tc>
          <w:tcPr>
            <w:tcW w:w="1276" w:type="dxa"/>
            <w:gridSpan w:val="2"/>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窖池</w:t>
            </w:r>
          </w:p>
        </w:tc>
        <w:tc>
          <w:tcPr>
            <w:tcW w:w="1275" w:type="dxa"/>
            <w:gridSpan w:val="2"/>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引水堰</w:t>
            </w:r>
          </w:p>
        </w:tc>
        <w:tc>
          <w:tcPr>
            <w:tcW w:w="1995" w:type="dxa"/>
            <w:gridSpan w:val="3"/>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泵站</w:t>
            </w:r>
          </w:p>
        </w:tc>
        <w:tc>
          <w:tcPr>
            <w:tcW w:w="649" w:type="dxa"/>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机电井</w:t>
            </w:r>
          </w:p>
        </w:tc>
        <w:tc>
          <w:tcPr>
            <w:tcW w:w="649" w:type="dxa"/>
            <w:tcBorders>
              <w:top w:val="single" w:color="auto" w:sz="4" w:space="0"/>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人力井</w:t>
            </w:r>
          </w:p>
        </w:tc>
      </w:tr>
      <w:tr>
        <w:tblPrEx>
          <w:tblCellMar>
            <w:top w:w="0" w:type="dxa"/>
            <w:left w:w="108" w:type="dxa"/>
            <w:bottom w:w="0" w:type="dxa"/>
            <w:right w:w="108" w:type="dxa"/>
          </w:tblCellMar>
        </w:tblPrEx>
        <w:trPr>
          <w:trHeight w:val="397" w:hRule="atLeast"/>
        </w:trPr>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426"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708"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总库容</w:t>
            </w:r>
          </w:p>
        </w:tc>
        <w:tc>
          <w:tcPr>
            <w:tcW w:w="758"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兴利库容</w:t>
            </w:r>
          </w:p>
        </w:tc>
        <w:tc>
          <w:tcPr>
            <w:tcW w:w="660"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设计灌面</w:t>
            </w:r>
          </w:p>
        </w:tc>
        <w:tc>
          <w:tcPr>
            <w:tcW w:w="567"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70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总库容</w:t>
            </w:r>
          </w:p>
        </w:tc>
        <w:tc>
          <w:tcPr>
            <w:tcW w:w="708"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兴利库容</w:t>
            </w:r>
          </w:p>
        </w:tc>
        <w:tc>
          <w:tcPr>
            <w:tcW w:w="70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设计灌面</w:t>
            </w:r>
          </w:p>
        </w:tc>
        <w:tc>
          <w:tcPr>
            <w:tcW w:w="709"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567"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容积</w:t>
            </w:r>
          </w:p>
        </w:tc>
        <w:tc>
          <w:tcPr>
            <w:tcW w:w="709"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567"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容积</w:t>
            </w:r>
          </w:p>
        </w:tc>
        <w:tc>
          <w:tcPr>
            <w:tcW w:w="567"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708"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年取水能力</w:t>
            </w:r>
          </w:p>
        </w:tc>
        <w:tc>
          <w:tcPr>
            <w:tcW w:w="567"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70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装机</w:t>
            </w:r>
          </w:p>
        </w:tc>
        <w:tc>
          <w:tcPr>
            <w:tcW w:w="71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灌面</w:t>
            </w:r>
          </w:p>
        </w:tc>
        <w:tc>
          <w:tcPr>
            <w:tcW w:w="649"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c>
          <w:tcPr>
            <w:tcW w:w="649" w:type="dxa"/>
            <w:vMerge w:val="restart"/>
            <w:tcBorders>
              <w:top w:val="nil"/>
              <w:left w:val="single" w:color="auto" w:sz="4" w:space="0"/>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个数</w:t>
            </w:r>
          </w:p>
        </w:tc>
      </w:tr>
      <w:tr>
        <w:tblPrEx>
          <w:tblCellMar>
            <w:top w:w="0" w:type="dxa"/>
            <w:left w:w="108" w:type="dxa"/>
            <w:bottom w:w="0" w:type="dxa"/>
            <w:right w:w="108" w:type="dxa"/>
          </w:tblCellMar>
        </w:tblPrEx>
        <w:trPr>
          <w:trHeight w:val="397" w:hRule="atLeast"/>
        </w:trPr>
        <w:tc>
          <w:tcPr>
            <w:tcW w:w="1809"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426"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758"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660"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万亩</w:t>
            </w:r>
          </w:p>
        </w:tc>
        <w:tc>
          <w:tcPr>
            <w:tcW w:w="567"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709"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708"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70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万亩</w:t>
            </w:r>
          </w:p>
        </w:tc>
        <w:tc>
          <w:tcPr>
            <w:tcW w:w="709"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709"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567"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m³</w:t>
            </w:r>
          </w:p>
        </w:tc>
        <w:tc>
          <w:tcPr>
            <w:tcW w:w="567"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70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(kw)</w:t>
            </w:r>
          </w:p>
        </w:tc>
        <w:tc>
          <w:tcPr>
            <w:tcW w:w="719" w:type="dxa"/>
            <w:tcBorders>
              <w:top w:val="nil"/>
              <w:left w:val="nil"/>
              <w:bottom w:val="single" w:color="auto" w:sz="4" w:space="0"/>
              <w:right w:val="single" w:color="auto" w:sz="4" w:space="0"/>
            </w:tcBorders>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万亩</w:t>
            </w:r>
          </w:p>
        </w:tc>
        <w:tc>
          <w:tcPr>
            <w:tcW w:w="649"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c>
          <w:tcPr>
            <w:tcW w:w="649" w:type="dxa"/>
            <w:vMerge w:val="continue"/>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675"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双龙河区</w:t>
            </w: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城区片</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（石莲花水库片）</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1033</w:t>
            </w: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675</w:t>
            </w: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2.20</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2029</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1240</w:t>
            </w: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1258</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174</w:t>
            </w:r>
          </w:p>
        </w:tc>
      </w:tr>
      <w:tr>
        <w:tblPrEx>
          <w:tblCellMar>
            <w:top w:w="0" w:type="dxa"/>
            <w:left w:w="108" w:type="dxa"/>
            <w:bottom w:w="0" w:type="dxa"/>
            <w:right w:w="108" w:type="dxa"/>
          </w:tblCellMar>
        </w:tblPrEx>
        <w:trPr>
          <w:trHeight w:val="522" w:hRule="atLeast"/>
        </w:trPr>
        <w:tc>
          <w:tcPr>
            <w:tcW w:w="675" w:type="dxa"/>
            <w:vMerge w:val="continue"/>
            <w:tcBorders>
              <w:top w:val="nil"/>
              <w:left w:val="single" w:color="auto" w:sz="4" w:space="0"/>
              <w:bottom w:val="single" w:color="auto" w:sz="4" w:space="0"/>
              <w:right w:val="single" w:color="auto" w:sz="4" w:space="0"/>
            </w:tcBorders>
            <w:shd w:val="clear" w:color="auto" w:fill="auto"/>
            <w:vAlign w:val="center"/>
          </w:tcPr>
          <w:p>
            <w:pPr>
              <w:pStyle w:val="50"/>
              <w:spacing w:before="0" w:beforeLines="0"/>
              <w:rPr>
                <w:color w:val="000000" w:themeColor="text1"/>
                <w:sz w:val="21"/>
                <w:szCs w:val="21"/>
                <w14:textFill>
                  <w14:solidFill>
                    <w14:schemeClr w14:val="tx1"/>
                  </w14:solidFill>
                </w14:textFill>
              </w:rPr>
            </w:pP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北部片</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701</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469</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1.64</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538</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340</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288</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539</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0.44</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3223</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677</w:t>
            </w:r>
          </w:p>
        </w:tc>
      </w:tr>
      <w:tr>
        <w:tblPrEx>
          <w:tblCellMar>
            <w:top w:w="0" w:type="dxa"/>
            <w:left w:w="108" w:type="dxa"/>
            <w:bottom w:w="0" w:type="dxa"/>
            <w:right w:w="108" w:type="dxa"/>
          </w:tblCellMar>
        </w:tblPrEx>
        <w:trPr>
          <w:trHeight w:val="397" w:hRule="atLeast"/>
        </w:trPr>
        <w:tc>
          <w:tcPr>
            <w:tcW w:w="675" w:type="dxa"/>
            <w:tcBorders>
              <w:top w:val="nil"/>
              <w:left w:val="single" w:color="auto" w:sz="4" w:space="0"/>
              <w:bottom w:val="single" w:color="auto" w:sz="4" w:space="0"/>
              <w:right w:val="single" w:color="auto" w:sz="4" w:space="0"/>
            </w:tcBorders>
            <w:shd w:val="clear" w:color="auto" w:fill="auto"/>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魏家河区</w:t>
            </w: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双河口水库片</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10229</w:t>
            </w: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5773</w:t>
            </w: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1.56</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462</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326</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1.02</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388</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233</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144</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5775</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1114</w:t>
            </w: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2114</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729</w:t>
            </w:r>
          </w:p>
        </w:tc>
      </w:tr>
      <w:tr>
        <w:tblPrEx>
          <w:tblCellMar>
            <w:top w:w="0" w:type="dxa"/>
            <w:left w:w="108" w:type="dxa"/>
            <w:bottom w:w="0" w:type="dxa"/>
            <w:right w:w="108" w:type="dxa"/>
          </w:tblCellMar>
        </w:tblPrEx>
        <w:trPr>
          <w:trHeight w:val="397" w:hRule="atLeast"/>
        </w:trPr>
        <w:tc>
          <w:tcPr>
            <w:tcW w:w="675" w:type="dxa"/>
            <w:tcBorders>
              <w:top w:val="nil"/>
              <w:left w:val="single" w:color="auto" w:sz="4" w:space="0"/>
              <w:bottom w:val="single" w:color="auto" w:sz="4" w:space="0"/>
              <w:right w:val="single" w:color="auto" w:sz="4" w:space="0"/>
            </w:tcBorders>
            <w:shd w:val="clear" w:color="auto" w:fill="auto"/>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明月江区</w:t>
            </w: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明月江片</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67</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0.18</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169</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67</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1368</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1035</w:t>
            </w:r>
          </w:p>
        </w:tc>
      </w:tr>
      <w:tr>
        <w:tblPrEx>
          <w:tblCellMar>
            <w:top w:w="0" w:type="dxa"/>
            <w:left w:w="108" w:type="dxa"/>
            <w:bottom w:w="0" w:type="dxa"/>
            <w:right w:w="108" w:type="dxa"/>
          </w:tblCellMar>
        </w:tblPrEx>
        <w:trPr>
          <w:trHeight w:val="397" w:hRule="atLeast"/>
        </w:trPr>
        <w:tc>
          <w:tcPr>
            <w:tcW w:w="675"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长滩河区</w:t>
            </w: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安云水库片</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496</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347</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1.13</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208</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288</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108</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0.17</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1211</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1822</w:t>
            </w:r>
          </w:p>
        </w:tc>
      </w:tr>
      <w:tr>
        <w:tblPrEx>
          <w:tblCellMar>
            <w:top w:w="0" w:type="dxa"/>
            <w:left w:w="108" w:type="dxa"/>
            <w:bottom w:w="0" w:type="dxa"/>
            <w:right w:w="108" w:type="dxa"/>
          </w:tblCellMar>
        </w:tblPrEx>
        <w:trPr>
          <w:trHeight w:val="397" w:hRule="atLeast"/>
        </w:trPr>
        <w:tc>
          <w:tcPr>
            <w:tcW w:w="675" w:type="dxa"/>
            <w:vMerge w:val="continue"/>
            <w:tcBorders>
              <w:top w:val="nil"/>
              <w:left w:val="single" w:color="auto" w:sz="4" w:space="0"/>
              <w:bottom w:val="single" w:color="auto" w:sz="4" w:space="0"/>
              <w:right w:val="single" w:color="auto" w:sz="4" w:space="0"/>
            </w:tcBorders>
            <w:shd w:val="clear" w:color="auto" w:fill="auto"/>
            <w:vAlign w:val="center"/>
          </w:tcPr>
          <w:p>
            <w:pPr>
              <w:pStyle w:val="50"/>
              <w:spacing w:before="0" w:beforeLines="0"/>
              <w:rPr>
                <w:color w:val="000000" w:themeColor="text1"/>
                <w:sz w:val="21"/>
                <w:szCs w:val="21"/>
                <w14:textFill>
                  <w14:solidFill>
                    <w14:schemeClr w14:val="tx1"/>
                  </w14:solidFill>
                </w14:textFill>
              </w:rPr>
            </w:pP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长滩河西片</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140</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98</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0.32</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413</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359</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216</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1978</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1733</w:t>
            </w:r>
          </w:p>
        </w:tc>
      </w:tr>
      <w:tr>
        <w:tblPrEx>
          <w:tblCellMar>
            <w:top w:w="0" w:type="dxa"/>
            <w:left w:w="108" w:type="dxa"/>
            <w:bottom w:w="0" w:type="dxa"/>
            <w:right w:w="108" w:type="dxa"/>
          </w:tblCellMar>
        </w:tblPrEx>
        <w:trPr>
          <w:trHeight w:val="397" w:hRule="atLeast"/>
        </w:trPr>
        <w:tc>
          <w:tcPr>
            <w:tcW w:w="675" w:type="dxa"/>
            <w:tcBorders>
              <w:top w:val="nil"/>
              <w:left w:val="single" w:color="auto" w:sz="4" w:space="0"/>
              <w:bottom w:val="single" w:color="auto" w:sz="4" w:space="0"/>
              <w:right w:val="single" w:color="auto" w:sz="4" w:space="0"/>
            </w:tcBorders>
            <w:shd w:val="clear" w:color="auto" w:fill="auto"/>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1134" w:type="dxa"/>
            <w:tcBorders>
              <w:top w:val="nil"/>
              <w:left w:val="nil"/>
              <w:bottom w:val="single" w:color="auto" w:sz="4" w:space="0"/>
              <w:right w:val="single" w:color="auto" w:sz="4" w:space="0"/>
            </w:tcBorders>
            <w:shd w:val="clear" w:color="000000" w:fill="FFFFFF"/>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227</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159</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0.52</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49" w:type="dxa"/>
            <w:tcBorders>
              <w:top w:val="nil"/>
              <w:left w:val="nil"/>
              <w:bottom w:val="single" w:color="auto" w:sz="4" w:space="0"/>
              <w:right w:val="single" w:color="auto" w:sz="4" w:space="0"/>
            </w:tcBorders>
            <w:shd w:val="clear" w:color="auto" w:fill="auto"/>
            <w:noWrap/>
            <w:vAlign w:val="bottom"/>
          </w:tcPr>
          <w:p>
            <w:pPr>
              <w:pStyle w:val="50"/>
              <w:spacing w:before="0" w:beforeLines="0"/>
              <w:ind w:left="-140" w:leftChars="-50" w:right="-140" w:rightChars="-50"/>
              <w:rPr>
                <w:color w:val="000000" w:themeColor="text1"/>
                <w:sz w:val="21"/>
                <w:szCs w:val="21"/>
                <w14:textFill>
                  <w14:solidFill>
                    <w14:schemeClr w14:val="tx1"/>
                  </w14:solidFill>
                </w14:textFill>
              </w:rPr>
            </w:pP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1002</w:t>
            </w:r>
          </w:p>
        </w:tc>
      </w:tr>
      <w:tr>
        <w:tblPrEx>
          <w:tblCellMar>
            <w:top w:w="0" w:type="dxa"/>
            <w:left w:w="108" w:type="dxa"/>
            <w:bottom w:w="0" w:type="dxa"/>
            <w:right w:w="108" w:type="dxa"/>
          </w:tblCellMar>
        </w:tblPrEx>
        <w:trPr>
          <w:trHeight w:val="532" w:hRule="atLeast"/>
        </w:trPr>
        <w:tc>
          <w:tcPr>
            <w:tcW w:w="180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426"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11262</w:t>
            </w:r>
          </w:p>
        </w:tc>
        <w:tc>
          <w:tcPr>
            <w:tcW w:w="75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6448</w:t>
            </w:r>
          </w:p>
        </w:tc>
        <w:tc>
          <w:tcPr>
            <w:tcW w:w="660"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3.76</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2122</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1474</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4.84</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1938</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1279</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1150</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94</w:t>
            </w:r>
          </w:p>
        </w:tc>
        <w:tc>
          <w:tcPr>
            <w:tcW w:w="708"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8559</w:t>
            </w:r>
          </w:p>
        </w:tc>
        <w:tc>
          <w:tcPr>
            <w:tcW w:w="567"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70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2404</w:t>
            </w:r>
          </w:p>
        </w:tc>
        <w:tc>
          <w:tcPr>
            <w:tcW w:w="71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0.6383</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11152</w:t>
            </w:r>
          </w:p>
        </w:tc>
        <w:tc>
          <w:tcPr>
            <w:tcW w:w="649" w:type="dxa"/>
            <w:tcBorders>
              <w:top w:val="nil"/>
              <w:left w:val="nil"/>
              <w:bottom w:val="single" w:color="auto" w:sz="4" w:space="0"/>
              <w:right w:val="single" w:color="auto" w:sz="4" w:space="0"/>
            </w:tcBorders>
            <w:shd w:val="clear" w:color="000000" w:fill="FFFFFF"/>
            <w:noWrap/>
            <w:vAlign w:val="center"/>
          </w:tcPr>
          <w:p>
            <w:pPr>
              <w:pStyle w:val="50"/>
              <w:spacing w:before="0" w:beforeLines="0"/>
              <w:ind w:left="-140" w:leftChars="-50" w:right="-140" w:rightChar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7172</w:t>
            </w:r>
          </w:p>
        </w:tc>
      </w:tr>
    </w:tbl>
    <w:p>
      <w:pPr>
        <w:ind w:firstLine="560"/>
        <w:rPr>
          <w:color w:val="000000" w:themeColor="text1"/>
          <w14:textFill>
            <w14:solidFill>
              <w14:schemeClr w14:val="tx1"/>
            </w14:solidFill>
          </w14:textFill>
        </w:rPr>
        <w:sectPr>
          <w:pgSz w:w="16838" w:h="11906" w:orient="landscape"/>
          <w:pgMar w:top="1531" w:right="1440" w:bottom="1531" w:left="1440" w:header="851" w:footer="992" w:gutter="0"/>
          <w:cols w:space="720" w:num="1"/>
          <w:docGrid w:linePitch="312" w:charSpace="0"/>
        </w:sectPr>
      </w:pPr>
    </w:p>
    <w:p>
      <w:pPr>
        <w:pStyle w:val="4"/>
        <w:rPr>
          <w:rFonts w:ascii="Times New Roman" w:hAnsi="Times New Roman" w:cs="Times New Roman"/>
          <w:color w:val="000000" w:themeColor="text1"/>
          <w14:textFill>
            <w14:solidFill>
              <w14:schemeClr w14:val="tx1"/>
            </w14:solidFill>
          </w14:textFill>
        </w:rPr>
      </w:pPr>
      <w:bookmarkStart w:id="85" w:name="_Toc1054"/>
      <w:bookmarkStart w:id="86" w:name="_Toc2827"/>
      <w:bookmarkStart w:id="87" w:name="_Toc28803"/>
      <w:bookmarkStart w:id="88" w:name="_Toc15755"/>
      <w:bookmarkStart w:id="89" w:name="_Toc5474"/>
      <w:r>
        <w:rPr>
          <w:rFonts w:ascii="Times New Roman" w:hAnsi="Times New Roman" w:cs="Times New Roman"/>
          <w:color w:val="000000" w:themeColor="text1"/>
          <w14:textFill>
            <w14:solidFill>
              <w14:schemeClr w14:val="tx1"/>
            </w14:solidFill>
          </w14:textFill>
        </w:rPr>
        <w:t>3.2  现状供用水量</w:t>
      </w:r>
      <w:bookmarkEnd w:id="85"/>
      <w:bookmarkEnd w:id="86"/>
      <w:bookmarkEnd w:id="87"/>
      <w:bookmarkEnd w:id="88"/>
      <w:bookmarkEnd w:id="89"/>
    </w:p>
    <w:p>
      <w:pPr>
        <w:pStyle w:val="5"/>
        <w:rPr>
          <w:rFonts w:ascii="Times New Roman" w:hAnsi="Times New Roman"/>
          <w:color w:val="000000" w:themeColor="text1"/>
          <w14:textFill>
            <w14:solidFill>
              <w14:schemeClr w14:val="tx1"/>
            </w14:solidFill>
          </w14:textFill>
        </w:rPr>
      </w:pPr>
      <w:bookmarkStart w:id="90" w:name="_Toc14677"/>
      <w:r>
        <w:rPr>
          <w:rFonts w:ascii="Times New Roman" w:hAnsi="Times New Roman"/>
          <w:color w:val="000000" w:themeColor="text1"/>
          <w14:textFill>
            <w14:solidFill>
              <w14:schemeClr w14:val="tx1"/>
            </w14:solidFill>
          </w14:textFill>
        </w:rPr>
        <w:t>3.2.1  现状供用水量</w:t>
      </w:r>
      <w:bookmarkEnd w:id="90"/>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 供水现状</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地表水源工程包括蓄水工程、引水工程和提水工程。其中蓄水工程指水库和塘坝，引水工程指从河道、湖泊等地表水体自流引水的工程（不包括从蓄水、提水工程中引水的工程），提水工程指利用扬水泵站从河道、湖泊等地表水体提水的工程（不包括从蓄水、引水工程中提水的工程）。</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通川区的供水水源以当地水资源为主，根据目前最新的水资源公报数据，2020年全区本地水源总供水量</w:t>
      </w:r>
      <w:r>
        <w:rPr>
          <w:rFonts w:hint="eastAsia"/>
          <w:color w:val="000000" w:themeColor="text1"/>
          <w14:textFill>
            <w14:solidFill>
              <w14:schemeClr w14:val="tx1"/>
            </w14:solidFill>
          </w14:textFill>
        </w:rPr>
        <w:t>14282</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中，地表水源供水</w:t>
      </w:r>
      <w:r>
        <w:rPr>
          <w:rFonts w:hint="eastAsia"/>
          <w:color w:val="000000" w:themeColor="text1"/>
          <w14:textFill>
            <w14:solidFill>
              <w14:schemeClr w14:val="tx1"/>
            </w14:solidFill>
          </w14:textFill>
        </w:rPr>
        <w:t>14280</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占99.</w:t>
      </w:r>
      <w:r>
        <w:rPr>
          <w:rFonts w:hint="eastAsia"/>
          <w:color w:val="000000" w:themeColor="text1"/>
          <w14:textFill>
            <w14:solidFill>
              <w14:schemeClr w14:val="tx1"/>
            </w14:solidFill>
          </w14:textFill>
        </w:rPr>
        <w:t>99</w:t>
      </w:r>
      <w:r>
        <w:rPr>
          <w:color w:val="000000" w:themeColor="text1"/>
          <w14:textFill>
            <w14:solidFill>
              <w14:schemeClr w14:val="tx1"/>
            </w14:solidFill>
          </w14:textFill>
        </w:rPr>
        <w:t>%，地下水供水</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占0.</w:t>
      </w:r>
      <w:r>
        <w:rPr>
          <w:rFonts w:hint="eastAsia"/>
          <w:color w:val="000000" w:themeColor="text1"/>
          <w14:textFill>
            <w14:solidFill>
              <w14:schemeClr w14:val="tx1"/>
            </w14:solidFill>
          </w14:textFill>
        </w:rPr>
        <w:t>01</w:t>
      </w:r>
      <w:r>
        <w:rPr>
          <w:color w:val="000000" w:themeColor="text1"/>
          <w14:textFill>
            <w14:solidFill>
              <w14:schemeClr w14:val="tx1"/>
            </w14:solidFill>
          </w14:textFill>
        </w:rPr>
        <w:t>%。通川区现状供水量见表3.2.1。</w:t>
      </w:r>
    </w:p>
    <w:p>
      <w:pPr>
        <w:pStyle w:val="49"/>
        <w:spacing w:before="190" w:after="190"/>
        <w:rPr>
          <w:color w:val="000000" w:themeColor="text1"/>
          <w14:textFill>
            <w14:solidFill>
              <w14:schemeClr w14:val="tx1"/>
            </w14:solidFill>
          </w14:textFill>
        </w:rPr>
      </w:pPr>
      <w:r>
        <w:rPr>
          <w:rFonts w:hint="eastAsia"/>
          <w:color w:val="000000" w:themeColor="text1"/>
          <w14:textFill>
            <w14:solidFill>
              <w14:schemeClr w14:val="tx1"/>
            </w14:solidFill>
          </w14:textFill>
        </w:rPr>
        <w:t>表3.2.1  通川区现状供水量表</w:t>
      </w:r>
    </w:p>
    <w:p>
      <w:pPr>
        <w:spacing w:line="240" w:lineRule="auto"/>
        <w:ind w:firstLine="480"/>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5000" w:type="pct"/>
        <w:tblInd w:w="0" w:type="dxa"/>
        <w:tblLayout w:type="fixed"/>
        <w:tblCellMar>
          <w:top w:w="0" w:type="dxa"/>
          <w:left w:w="108" w:type="dxa"/>
          <w:bottom w:w="0" w:type="dxa"/>
          <w:right w:w="108" w:type="dxa"/>
        </w:tblCellMar>
      </w:tblPr>
      <w:tblGrid>
        <w:gridCol w:w="1383"/>
        <w:gridCol w:w="2547"/>
        <w:gridCol w:w="1148"/>
        <w:gridCol w:w="1148"/>
        <w:gridCol w:w="1148"/>
        <w:gridCol w:w="1147"/>
      </w:tblGrid>
      <w:tr>
        <w:tblPrEx>
          <w:tblCellMar>
            <w:top w:w="0" w:type="dxa"/>
            <w:left w:w="108" w:type="dxa"/>
            <w:bottom w:w="0" w:type="dxa"/>
            <w:right w:w="108" w:type="dxa"/>
          </w:tblCellMar>
        </w:tblPrEx>
        <w:trPr>
          <w:trHeight w:val="340" w:hRule="atLeast"/>
        </w:trPr>
        <w:tc>
          <w:tcPr>
            <w:tcW w:w="2305"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分片</w:t>
            </w:r>
          </w:p>
        </w:tc>
        <w:tc>
          <w:tcPr>
            <w:tcW w:w="674"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地表水源</w:t>
            </w:r>
          </w:p>
        </w:tc>
        <w:tc>
          <w:tcPr>
            <w:tcW w:w="674"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地下水源</w:t>
            </w:r>
          </w:p>
        </w:tc>
        <w:tc>
          <w:tcPr>
            <w:tcW w:w="674"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其它水源</w:t>
            </w:r>
          </w:p>
        </w:tc>
        <w:tc>
          <w:tcPr>
            <w:tcW w:w="674"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总供水量</w:t>
            </w:r>
          </w:p>
        </w:tc>
      </w:tr>
      <w:tr>
        <w:tblPrEx>
          <w:tblCellMar>
            <w:top w:w="0" w:type="dxa"/>
            <w:left w:w="108" w:type="dxa"/>
            <w:bottom w:w="0" w:type="dxa"/>
            <w:right w:w="108" w:type="dxa"/>
          </w:tblCellMar>
        </w:tblPrEx>
        <w:trPr>
          <w:trHeight w:val="340" w:hRule="atLeast"/>
        </w:trPr>
        <w:tc>
          <w:tcPr>
            <w:tcW w:w="81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双龙河区</w:t>
            </w: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城区片（石莲花水库片）</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5709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5709 </w:t>
            </w:r>
          </w:p>
        </w:tc>
      </w:tr>
      <w:tr>
        <w:tblPrEx>
          <w:tblCellMar>
            <w:top w:w="0" w:type="dxa"/>
            <w:left w:w="108" w:type="dxa"/>
            <w:bottom w:w="0" w:type="dxa"/>
            <w:right w:w="108" w:type="dxa"/>
          </w:tblCellMar>
        </w:tblPrEx>
        <w:trPr>
          <w:trHeight w:val="340" w:hRule="atLeast"/>
        </w:trPr>
        <w:tc>
          <w:tcPr>
            <w:tcW w:w="81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北部片</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2342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2342 </w:t>
            </w:r>
          </w:p>
        </w:tc>
      </w:tr>
      <w:tr>
        <w:tblPrEx>
          <w:tblCellMar>
            <w:top w:w="0" w:type="dxa"/>
            <w:left w:w="108" w:type="dxa"/>
            <w:bottom w:w="0" w:type="dxa"/>
            <w:right w:w="108" w:type="dxa"/>
          </w:tblCellMar>
        </w:tblPrEx>
        <w:trPr>
          <w:trHeight w:val="340" w:hRule="atLeast"/>
        </w:trPr>
        <w:tc>
          <w:tcPr>
            <w:tcW w:w="811"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魏家河区</w:t>
            </w: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双河口水库片</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1268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1268 </w:t>
            </w:r>
          </w:p>
        </w:tc>
      </w:tr>
      <w:tr>
        <w:tblPrEx>
          <w:tblCellMar>
            <w:top w:w="0" w:type="dxa"/>
            <w:left w:w="108" w:type="dxa"/>
            <w:bottom w:w="0" w:type="dxa"/>
            <w:right w:w="108" w:type="dxa"/>
          </w:tblCellMar>
        </w:tblPrEx>
        <w:trPr>
          <w:trHeight w:val="340" w:hRule="atLeast"/>
        </w:trPr>
        <w:tc>
          <w:tcPr>
            <w:tcW w:w="811"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明月江区</w:t>
            </w: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明月江片</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701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701 </w:t>
            </w:r>
          </w:p>
        </w:tc>
      </w:tr>
      <w:tr>
        <w:tblPrEx>
          <w:tblCellMar>
            <w:top w:w="0" w:type="dxa"/>
            <w:left w:w="108" w:type="dxa"/>
            <w:bottom w:w="0" w:type="dxa"/>
            <w:right w:w="108" w:type="dxa"/>
          </w:tblCellMar>
        </w:tblPrEx>
        <w:trPr>
          <w:trHeight w:val="340" w:hRule="atLeast"/>
        </w:trPr>
        <w:tc>
          <w:tcPr>
            <w:tcW w:w="81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长滩河区</w:t>
            </w: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安云水库片</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2071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1</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2072 </w:t>
            </w:r>
          </w:p>
        </w:tc>
      </w:tr>
      <w:tr>
        <w:tblPrEx>
          <w:tblCellMar>
            <w:top w:w="0" w:type="dxa"/>
            <w:left w:w="108" w:type="dxa"/>
            <w:bottom w:w="0" w:type="dxa"/>
            <w:right w:w="108" w:type="dxa"/>
          </w:tblCellMar>
        </w:tblPrEx>
        <w:trPr>
          <w:trHeight w:val="340" w:hRule="atLeast"/>
        </w:trPr>
        <w:tc>
          <w:tcPr>
            <w:tcW w:w="81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长滩河西片</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1704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1</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1705 </w:t>
            </w:r>
          </w:p>
        </w:tc>
      </w:tr>
      <w:tr>
        <w:tblPrEx>
          <w:tblCellMar>
            <w:top w:w="0" w:type="dxa"/>
            <w:left w:w="108" w:type="dxa"/>
            <w:bottom w:w="0" w:type="dxa"/>
            <w:right w:w="108" w:type="dxa"/>
          </w:tblCellMar>
        </w:tblPrEx>
        <w:trPr>
          <w:trHeight w:val="340" w:hRule="atLeast"/>
        </w:trPr>
        <w:tc>
          <w:tcPr>
            <w:tcW w:w="811"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固家河区</w:t>
            </w:r>
          </w:p>
        </w:tc>
        <w:tc>
          <w:tcPr>
            <w:tcW w:w="149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固家河区</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483 </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483 </w:t>
            </w:r>
          </w:p>
        </w:tc>
      </w:tr>
      <w:tr>
        <w:tblPrEx>
          <w:tblCellMar>
            <w:top w:w="0" w:type="dxa"/>
            <w:left w:w="108" w:type="dxa"/>
            <w:bottom w:w="0" w:type="dxa"/>
            <w:right w:w="108" w:type="dxa"/>
          </w:tblCellMar>
        </w:tblPrEx>
        <w:trPr>
          <w:trHeight w:val="340" w:hRule="atLeast"/>
        </w:trPr>
        <w:tc>
          <w:tcPr>
            <w:tcW w:w="2305" w:type="pct"/>
            <w:gridSpan w:val="2"/>
            <w:tcBorders>
              <w:top w:val="single" w:color="auto" w:sz="4" w:space="0"/>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合计</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14280</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2</w:t>
            </w:r>
          </w:p>
        </w:tc>
        <w:tc>
          <w:tcPr>
            <w:tcW w:w="1149"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p>
        </w:tc>
        <w:tc>
          <w:tcPr>
            <w:tcW w:w="1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iCs/>
                <w:color w:val="000000" w:themeColor="text1"/>
                <w:kern w:val="0"/>
                <w:sz w:val="24"/>
                <w:szCs w:val="20"/>
                <w14:textFill>
                  <w14:solidFill>
                    <w14:schemeClr w14:val="tx1"/>
                  </w14:solidFill>
                </w14:textFill>
              </w:rPr>
            </w:pPr>
            <w:r>
              <w:rPr>
                <w:rFonts w:eastAsia="宋体"/>
                <w:iCs/>
                <w:color w:val="000000" w:themeColor="text1"/>
                <w:kern w:val="0"/>
                <w:sz w:val="24"/>
                <w:szCs w:val="20"/>
                <w14:textFill>
                  <w14:solidFill>
                    <w14:schemeClr w14:val="tx1"/>
                  </w14:solidFill>
                </w14:textFill>
              </w:rPr>
              <w:t xml:space="preserve">14282 </w:t>
            </w:r>
          </w:p>
        </w:tc>
      </w:tr>
    </w:tbl>
    <w:p>
      <w:pPr>
        <w:spacing w:line="520" w:lineRule="exact"/>
        <w:ind w:firstLine="560"/>
        <w:rPr>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 用水现状</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用水量指分配给用户的包括输水损失在内的毛用水量，按用户特性分为生活用水、生产用水和生态环境用水三大类。生活用水指居民住宅日常生活用水，分为城镇生活和农村生活用水；生产用水再划分为第一产业用水（农田灌溉用水和林牧渔畜用水）、第二产业用水（工业用水和建筑业用水）和第三产业用水（服务业用水）；生态用水分为城镇生态环境用水（含河湖补水和绿化、清洁用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根据水资源公报数据，通川区2020年国民经济各行业总用水量</w:t>
      </w:r>
      <w:r>
        <w:rPr>
          <w:rFonts w:hint="eastAsia"/>
          <w:color w:val="000000" w:themeColor="text1"/>
          <w14:textFill>
            <w14:solidFill>
              <w14:schemeClr w14:val="tx1"/>
            </w14:solidFill>
          </w14:textFill>
        </w:rPr>
        <w:t>14282</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。其中城镇和农村生活用水（含公共）</w:t>
      </w:r>
      <w:r>
        <w:rPr>
          <w:rFonts w:hint="eastAsia"/>
          <w:color w:val="000000" w:themeColor="text1"/>
          <w14:textFill>
            <w14:solidFill>
              <w14:schemeClr w14:val="tx1"/>
            </w14:solidFill>
          </w14:textFill>
        </w:rPr>
        <w:t>4089</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，农业生产用水</w:t>
      </w:r>
      <w:r>
        <w:rPr>
          <w:rFonts w:hint="eastAsia"/>
          <w:color w:val="000000" w:themeColor="text1"/>
          <w14:textFill>
            <w14:solidFill>
              <w14:schemeClr w14:val="tx1"/>
            </w14:solidFill>
          </w14:textFill>
        </w:rPr>
        <w:t>6062</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；工业用水</w:t>
      </w:r>
      <w:r>
        <w:rPr>
          <w:rFonts w:hint="eastAsia"/>
          <w:color w:val="000000" w:themeColor="text1"/>
          <w14:textFill>
            <w14:solidFill>
              <w14:schemeClr w14:val="tx1"/>
            </w14:solidFill>
          </w14:textFill>
        </w:rPr>
        <w:t>2323</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三产用水1058万m³；</w:t>
      </w:r>
      <w:r>
        <w:rPr>
          <w:color w:val="000000" w:themeColor="text1"/>
          <w14:textFill>
            <w14:solidFill>
              <w14:schemeClr w14:val="tx1"/>
            </w14:solidFill>
          </w14:textFill>
        </w:rPr>
        <w:t>城镇生态环境用水</w:t>
      </w:r>
      <w:r>
        <w:rPr>
          <w:rFonts w:hint="eastAsia"/>
          <w:color w:val="000000" w:themeColor="text1"/>
          <w14:textFill>
            <w14:solidFill>
              <w14:schemeClr w14:val="tx1"/>
            </w14:solidFill>
          </w14:textFill>
        </w:rPr>
        <w:t>751</w:t>
      </w: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通川区2020年生活、生产用水量统计表见表3.2.2。</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表3.2.2  通川区2020年生活、生产用水量统计表</w:t>
      </w:r>
    </w:p>
    <w:p>
      <w:pPr>
        <w:ind w:firstLine="480"/>
        <w:jc w:val="right"/>
        <w:rPr>
          <w:color w:val="000000" w:themeColor="text1"/>
          <w:sz w:val="24"/>
          <w:szCs w:val="22"/>
          <w:vertAlign w:val="superscript"/>
          <w14:textFill>
            <w14:solidFill>
              <w14:schemeClr w14:val="tx1"/>
            </w14:solidFill>
          </w14:textFill>
        </w:rPr>
      </w:pPr>
      <w:r>
        <w:rPr>
          <w:color w:val="000000" w:themeColor="text1"/>
          <w:sz w:val="24"/>
          <w:szCs w:val="22"/>
          <w14:textFill>
            <w14:solidFill>
              <w14:schemeClr w14:val="tx1"/>
            </w14:solidFill>
          </w14:textFill>
        </w:rPr>
        <w:t>单位：万</w:t>
      </w:r>
      <w:r>
        <w:rPr>
          <w:rFonts w:hint="eastAsia"/>
          <w:color w:val="000000" w:themeColor="text1"/>
          <w:sz w:val="24"/>
          <w:szCs w:val="22"/>
          <w14:textFill>
            <w14:solidFill>
              <w14:schemeClr w14:val="tx1"/>
            </w14:solidFill>
          </w14:textFill>
        </w:rPr>
        <w:t>m³</w:t>
      </w:r>
    </w:p>
    <w:tbl>
      <w:tblPr>
        <w:tblStyle w:val="40"/>
        <w:tblW w:w="8520" w:type="dxa"/>
        <w:jc w:val="center"/>
        <w:tblLayout w:type="autofit"/>
        <w:tblCellMar>
          <w:top w:w="0" w:type="dxa"/>
          <w:left w:w="108" w:type="dxa"/>
          <w:bottom w:w="0" w:type="dxa"/>
          <w:right w:w="108" w:type="dxa"/>
        </w:tblCellMar>
      </w:tblPr>
      <w:tblGrid>
        <w:gridCol w:w="1197"/>
        <w:gridCol w:w="1495"/>
        <w:gridCol w:w="983"/>
        <w:gridCol w:w="1037"/>
        <w:gridCol w:w="857"/>
        <w:gridCol w:w="857"/>
        <w:gridCol w:w="927"/>
        <w:gridCol w:w="1167"/>
      </w:tblGrid>
      <w:tr>
        <w:tblPrEx>
          <w:tblCellMar>
            <w:top w:w="0" w:type="dxa"/>
            <w:left w:w="108" w:type="dxa"/>
            <w:bottom w:w="0" w:type="dxa"/>
            <w:right w:w="108" w:type="dxa"/>
          </w:tblCellMar>
        </w:tblPrEx>
        <w:trPr>
          <w:trHeight w:val="397" w:hRule="atLeast"/>
          <w:jc w:val="center"/>
        </w:trPr>
        <w:tc>
          <w:tcPr>
            <w:tcW w:w="269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分片</w:t>
            </w:r>
          </w:p>
        </w:tc>
        <w:tc>
          <w:tcPr>
            <w:tcW w:w="983" w:type="dxa"/>
            <w:tcBorders>
              <w:top w:val="single" w:color="auto" w:sz="4" w:space="0"/>
              <w:left w:val="nil"/>
              <w:bottom w:val="single" w:color="auto" w:sz="4" w:space="0"/>
              <w:right w:val="single" w:color="auto" w:sz="4" w:space="0"/>
            </w:tcBorders>
            <w:shd w:val="clear" w:color="000000" w:fill="FFFFFF"/>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农业</w:t>
            </w:r>
          </w:p>
        </w:tc>
        <w:tc>
          <w:tcPr>
            <w:tcW w:w="1037" w:type="dxa"/>
            <w:tcBorders>
              <w:top w:val="single" w:color="auto" w:sz="4" w:space="0"/>
              <w:left w:val="nil"/>
              <w:bottom w:val="single" w:color="auto" w:sz="4" w:space="0"/>
              <w:right w:val="single" w:color="auto" w:sz="4" w:space="0"/>
            </w:tcBorders>
            <w:shd w:val="clear" w:color="000000" w:fill="FFFFFF"/>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工业</w:t>
            </w:r>
          </w:p>
        </w:tc>
        <w:tc>
          <w:tcPr>
            <w:tcW w:w="857" w:type="dxa"/>
            <w:tcBorders>
              <w:top w:val="single" w:color="auto" w:sz="4" w:space="0"/>
              <w:left w:val="nil"/>
              <w:bottom w:val="single" w:color="auto" w:sz="4" w:space="0"/>
              <w:right w:val="single" w:color="auto" w:sz="4" w:space="0"/>
            </w:tcBorders>
            <w:shd w:val="clear" w:color="000000" w:fill="FFFFFF"/>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三产</w:t>
            </w:r>
          </w:p>
        </w:tc>
        <w:tc>
          <w:tcPr>
            <w:tcW w:w="857" w:type="dxa"/>
            <w:tcBorders>
              <w:top w:val="single" w:color="auto" w:sz="4" w:space="0"/>
              <w:left w:val="nil"/>
              <w:bottom w:val="single" w:color="auto" w:sz="4" w:space="0"/>
              <w:right w:val="single" w:color="auto" w:sz="4" w:space="0"/>
            </w:tcBorders>
            <w:shd w:val="clear" w:color="000000" w:fill="FFFFFF"/>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生活</w:t>
            </w:r>
          </w:p>
        </w:tc>
        <w:tc>
          <w:tcPr>
            <w:tcW w:w="927" w:type="dxa"/>
            <w:tcBorders>
              <w:top w:val="single" w:color="auto" w:sz="4" w:space="0"/>
              <w:left w:val="nil"/>
              <w:bottom w:val="single" w:color="auto" w:sz="4" w:space="0"/>
              <w:right w:val="single" w:color="auto" w:sz="4" w:space="0"/>
            </w:tcBorders>
            <w:shd w:val="clear" w:color="000000" w:fill="FFFFFF"/>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生态    环境</w:t>
            </w:r>
          </w:p>
        </w:tc>
        <w:tc>
          <w:tcPr>
            <w:tcW w:w="1167" w:type="dxa"/>
            <w:tcBorders>
              <w:top w:val="single" w:color="auto" w:sz="4" w:space="0"/>
              <w:left w:val="nil"/>
              <w:bottom w:val="single" w:color="auto" w:sz="4" w:space="0"/>
              <w:right w:val="single" w:color="auto" w:sz="4" w:space="0"/>
            </w:tcBorders>
            <w:shd w:val="clear" w:color="000000" w:fill="FFFFFF"/>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总用水量</w:t>
            </w:r>
          </w:p>
        </w:tc>
      </w:tr>
      <w:tr>
        <w:tblPrEx>
          <w:tblCellMar>
            <w:top w:w="0" w:type="dxa"/>
            <w:left w:w="108" w:type="dxa"/>
            <w:bottom w:w="0" w:type="dxa"/>
            <w:right w:w="108" w:type="dxa"/>
          </w:tblCellMar>
        </w:tblPrEx>
        <w:trPr>
          <w:trHeight w:val="397" w:hRule="atLeast"/>
          <w:jc w:val="center"/>
        </w:trPr>
        <w:tc>
          <w:tcPr>
            <w:tcW w:w="119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双龙河区</w:t>
            </w: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城区片（石莲花水库片）</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170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905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731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2828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381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5015 </w:t>
            </w:r>
          </w:p>
        </w:tc>
      </w:tr>
      <w:tr>
        <w:tblPrEx>
          <w:tblCellMar>
            <w:top w:w="0" w:type="dxa"/>
            <w:left w:w="108" w:type="dxa"/>
            <w:bottom w:w="0" w:type="dxa"/>
            <w:right w:w="108" w:type="dxa"/>
          </w:tblCellMar>
        </w:tblPrEx>
        <w:trPr>
          <w:trHeight w:val="397" w:hRule="atLeast"/>
          <w:jc w:val="center"/>
        </w:trPr>
        <w:tc>
          <w:tcPr>
            <w:tcW w:w="1197" w:type="dxa"/>
            <w:vMerge w:val="continue"/>
            <w:tcBorders>
              <w:top w:val="nil"/>
              <w:left w:val="single" w:color="auto" w:sz="4" w:space="0"/>
              <w:bottom w:val="single" w:color="auto" w:sz="4" w:space="0"/>
              <w:right w:val="single" w:color="auto" w:sz="4" w:space="0"/>
            </w:tcBorders>
            <w:shd w:val="clear" w:color="auto" w:fill="auto"/>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北部片</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1371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572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89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344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86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2462 </w:t>
            </w:r>
          </w:p>
        </w:tc>
      </w:tr>
      <w:tr>
        <w:tblPrEx>
          <w:tblCellMar>
            <w:top w:w="0" w:type="dxa"/>
            <w:left w:w="108" w:type="dxa"/>
            <w:bottom w:w="0" w:type="dxa"/>
            <w:right w:w="108" w:type="dxa"/>
          </w:tblCellMar>
        </w:tblPrEx>
        <w:trPr>
          <w:trHeight w:val="397" w:hRule="atLeast"/>
          <w:jc w:val="center"/>
        </w:trPr>
        <w:tc>
          <w:tcPr>
            <w:tcW w:w="1197" w:type="dxa"/>
            <w:tcBorders>
              <w:top w:val="nil"/>
              <w:left w:val="single" w:color="auto" w:sz="4" w:space="0"/>
              <w:bottom w:val="single" w:color="auto" w:sz="4" w:space="0"/>
              <w:right w:val="single" w:color="auto" w:sz="4" w:space="0"/>
            </w:tcBorders>
            <w:shd w:val="clear" w:color="auto" w:fill="auto"/>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魏家河区</w:t>
            </w: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双河口水库片</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671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231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65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251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92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1310 </w:t>
            </w:r>
          </w:p>
        </w:tc>
      </w:tr>
      <w:tr>
        <w:tblPrEx>
          <w:tblCellMar>
            <w:top w:w="0" w:type="dxa"/>
            <w:left w:w="108" w:type="dxa"/>
            <w:bottom w:w="0" w:type="dxa"/>
            <w:right w:w="108" w:type="dxa"/>
          </w:tblCellMar>
        </w:tblPrEx>
        <w:trPr>
          <w:trHeight w:val="397" w:hRule="atLeast"/>
          <w:jc w:val="center"/>
        </w:trPr>
        <w:tc>
          <w:tcPr>
            <w:tcW w:w="1197" w:type="dxa"/>
            <w:tcBorders>
              <w:top w:val="nil"/>
              <w:left w:val="single" w:color="auto" w:sz="4" w:space="0"/>
              <w:bottom w:val="single" w:color="auto" w:sz="4" w:space="0"/>
              <w:right w:val="single" w:color="auto" w:sz="4" w:space="0"/>
            </w:tcBorders>
            <w:shd w:val="clear" w:color="auto" w:fill="auto"/>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明月江区</w:t>
            </w: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明月江片</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560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90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25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98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10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784 </w:t>
            </w:r>
          </w:p>
        </w:tc>
      </w:tr>
      <w:tr>
        <w:tblPrEx>
          <w:tblCellMar>
            <w:top w:w="0" w:type="dxa"/>
            <w:left w:w="108" w:type="dxa"/>
            <w:bottom w:w="0" w:type="dxa"/>
            <w:right w:w="108" w:type="dxa"/>
          </w:tblCellMar>
        </w:tblPrEx>
        <w:trPr>
          <w:trHeight w:val="397" w:hRule="atLeast"/>
          <w:jc w:val="center"/>
        </w:trPr>
        <w:tc>
          <w:tcPr>
            <w:tcW w:w="119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长滩河区</w:t>
            </w: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安云水库片</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1620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257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72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279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70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2299 </w:t>
            </w:r>
          </w:p>
        </w:tc>
      </w:tr>
      <w:tr>
        <w:tblPrEx>
          <w:tblCellMar>
            <w:top w:w="0" w:type="dxa"/>
            <w:left w:w="108" w:type="dxa"/>
            <w:bottom w:w="0" w:type="dxa"/>
            <w:right w:w="108" w:type="dxa"/>
          </w:tblCellMar>
        </w:tblPrEx>
        <w:trPr>
          <w:trHeight w:val="397" w:hRule="atLeast"/>
          <w:jc w:val="center"/>
        </w:trPr>
        <w:tc>
          <w:tcPr>
            <w:tcW w:w="1197" w:type="dxa"/>
            <w:vMerge w:val="continue"/>
            <w:tcBorders>
              <w:top w:val="nil"/>
              <w:left w:val="single" w:color="auto" w:sz="4" w:space="0"/>
              <w:bottom w:val="single" w:color="auto" w:sz="4" w:space="0"/>
              <w:right w:val="single" w:color="auto" w:sz="4" w:space="0"/>
            </w:tcBorders>
            <w:shd w:val="clear" w:color="auto" w:fill="auto"/>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长滩河西片</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1298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210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59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228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84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1879 </w:t>
            </w:r>
          </w:p>
        </w:tc>
      </w:tr>
      <w:tr>
        <w:tblPrEx>
          <w:tblCellMar>
            <w:top w:w="0" w:type="dxa"/>
            <w:left w:w="108" w:type="dxa"/>
            <w:bottom w:w="0" w:type="dxa"/>
            <w:right w:w="108" w:type="dxa"/>
          </w:tblCellMar>
        </w:tblPrEx>
        <w:trPr>
          <w:trHeight w:val="397" w:hRule="atLeast"/>
          <w:jc w:val="center"/>
        </w:trPr>
        <w:tc>
          <w:tcPr>
            <w:tcW w:w="1197" w:type="dxa"/>
            <w:tcBorders>
              <w:top w:val="nil"/>
              <w:left w:val="single" w:color="auto" w:sz="4" w:space="0"/>
              <w:bottom w:val="single" w:color="auto" w:sz="4" w:space="0"/>
              <w:right w:val="single" w:color="auto" w:sz="4" w:space="0"/>
            </w:tcBorders>
            <w:shd w:val="clear" w:color="auto" w:fill="auto"/>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固家河区</w:t>
            </w:r>
          </w:p>
        </w:tc>
        <w:tc>
          <w:tcPr>
            <w:tcW w:w="1495" w:type="dxa"/>
            <w:tcBorders>
              <w:top w:val="nil"/>
              <w:left w:val="nil"/>
              <w:bottom w:val="single" w:color="auto" w:sz="4" w:space="0"/>
              <w:right w:val="single" w:color="auto" w:sz="4" w:space="0"/>
            </w:tcBorders>
            <w:shd w:val="clear" w:color="000000" w:fill="FFFFFF"/>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固家河区</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371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56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16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60 </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30 </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533 </w:t>
            </w:r>
          </w:p>
        </w:tc>
      </w:tr>
      <w:tr>
        <w:tblPrEx>
          <w:tblCellMar>
            <w:top w:w="0" w:type="dxa"/>
            <w:left w:w="108" w:type="dxa"/>
            <w:bottom w:w="0" w:type="dxa"/>
            <w:right w:w="108" w:type="dxa"/>
          </w:tblCellMar>
        </w:tblPrEx>
        <w:trPr>
          <w:trHeight w:val="397" w:hRule="atLeast"/>
          <w:jc w:val="center"/>
        </w:trPr>
        <w:tc>
          <w:tcPr>
            <w:tcW w:w="2692" w:type="dxa"/>
            <w:gridSpan w:val="2"/>
            <w:tcBorders>
              <w:top w:val="single" w:color="auto" w:sz="4" w:space="0"/>
              <w:left w:val="single" w:color="auto" w:sz="4" w:space="0"/>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合计</w:t>
            </w:r>
          </w:p>
        </w:tc>
        <w:tc>
          <w:tcPr>
            <w:tcW w:w="983"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6062 </w:t>
            </w:r>
          </w:p>
        </w:tc>
        <w:tc>
          <w:tcPr>
            <w:tcW w:w="103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 xml:space="preserve">2323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hint="eastAsia" w:eastAsia="宋体" w:cs="Times New Roman"/>
                <w:color w:val="000000" w:themeColor="text1"/>
                <w:kern w:val="0"/>
                <w:sz w:val="24"/>
                <w:szCs w:val="20"/>
                <w14:textFill>
                  <w14:solidFill>
                    <w14:schemeClr w14:val="tx1"/>
                  </w14:solidFill>
                </w14:textFill>
              </w:rPr>
              <w:t xml:space="preserve">1058 </w:t>
            </w:r>
          </w:p>
        </w:tc>
        <w:tc>
          <w:tcPr>
            <w:tcW w:w="85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4089</w:t>
            </w:r>
          </w:p>
        </w:tc>
        <w:tc>
          <w:tcPr>
            <w:tcW w:w="92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751</w:t>
            </w:r>
          </w:p>
        </w:tc>
        <w:tc>
          <w:tcPr>
            <w:tcW w:w="1167" w:type="dxa"/>
            <w:tcBorders>
              <w:top w:val="nil"/>
              <w:left w:val="nil"/>
              <w:bottom w:val="single" w:color="auto" w:sz="4" w:space="0"/>
              <w:right w:val="single" w:color="auto" w:sz="4" w:space="0"/>
            </w:tcBorders>
            <w:noWrap/>
            <w:vAlign w:val="center"/>
          </w:tcPr>
          <w:p>
            <w:pPr>
              <w:pStyle w:val="51"/>
              <w:spacing w:line="240" w:lineRule="auto"/>
              <w:ind w:firstLine="0" w:firstLineChars="0"/>
              <w:jc w:val="center"/>
              <w:rPr>
                <w:rFonts w:eastAsia="宋体" w:cs="Times New Roman"/>
                <w:color w:val="000000" w:themeColor="text1"/>
                <w:kern w:val="0"/>
                <w:sz w:val="24"/>
                <w:szCs w:val="20"/>
                <w14:textFill>
                  <w14:solidFill>
                    <w14:schemeClr w14:val="tx1"/>
                  </w14:solidFill>
                </w14:textFill>
              </w:rPr>
            </w:pPr>
            <w:r>
              <w:rPr>
                <w:rFonts w:eastAsia="宋体" w:cs="Times New Roman"/>
                <w:color w:val="000000" w:themeColor="text1"/>
                <w:kern w:val="0"/>
                <w:sz w:val="24"/>
                <w:szCs w:val="20"/>
                <w14:textFill>
                  <w14:solidFill>
                    <w14:schemeClr w14:val="tx1"/>
                  </w14:solidFill>
                </w14:textFill>
              </w:rPr>
              <w:t>14282</w:t>
            </w:r>
          </w:p>
        </w:tc>
      </w:tr>
    </w:tbl>
    <w:p>
      <w:pPr>
        <w:pStyle w:val="2"/>
        <w:ind w:firstLine="560"/>
        <w:rPr>
          <w:color w:val="000000" w:themeColor="text1"/>
          <w14:textFill>
            <w14:solidFill>
              <w14:schemeClr w14:val="tx1"/>
            </w14:solidFill>
          </w14:textFill>
        </w:rPr>
      </w:pPr>
    </w:p>
    <w:p>
      <w:pPr>
        <w:pStyle w:val="2"/>
        <w:ind w:firstLine="560"/>
        <w:rPr>
          <w:color w:val="000000" w:themeColor="text1"/>
          <w14:textFill>
            <w14:solidFill>
              <w14:schemeClr w14:val="tx1"/>
            </w14:solidFill>
          </w14:textFill>
        </w:rPr>
      </w:pPr>
    </w:p>
    <w:p>
      <w:pPr>
        <w:pStyle w:val="2"/>
        <w:ind w:firstLine="560"/>
        <w:rPr>
          <w:color w:val="000000" w:themeColor="text1"/>
          <w14:textFill>
            <w14:solidFill>
              <w14:schemeClr w14:val="tx1"/>
            </w14:solidFill>
          </w14:textFill>
        </w:rPr>
      </w:pPr>
    </w:p>
    <w:p>
      <w:pPr>
        <w:pStyle w:val="2"/>
        <w:ind w:firstLine="560"/>
        <w:rPr>
          <w:color w:val="000000" w:themeColor="text1"/>
          <w14:textFill>
            <w14:solidFill>
              <w14:schemeClr w14:val="tx1"/>
            </w14:solidFill>
          </w14:textFill>
        </w:rPr>
      </w:pPr>
    </w:p>
    <w:p>
      <w:pPr>
        <w:ind w:firstLine="560"/>
        <w:jc w:val="right"/>
        <w:rPr>
          <w:color w:val="000000" w:themeColor="text1"/>
          <w:vertAlign w:val="superscript"/>
          <w14:textFill>
            <w14:solidFill>
              <w14:schemeClr w14:val="tx1"/>
            </w14:solidFill>
          </w14:textFill>
        </w:rPr>
      </w:pP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4549140" cy="2679700"/>
            <wp:effectExtent l="0" t="0" r="0" b="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图3.2.1  供水水源组成</w:t>
      </w:r>
    </w:p>
    <w:p>
      <w:pPr>
        <w:jc w:val="center"/>
        <w:rPr>
          <w:b/>
          <w:bCs/>
          <w:color w:val="000000" w:themeColor="text1"/>
          <w:sz w:val="24"/>
          <w14:textFill>
            <w14:solidFill>
              <w14:schemeClr w14:val="tx1"/>
            </w14:solidFill>
          </w14:textFill>
        </w:rPr>
      </w:pP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4359910" cy="3115945"/>
            <wp:effectExtent l="0" t="0" r="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图3.2.2  通川区各区供水比例</w:t>
      </w:r>
    </w:p>
    <w:p>
      <w:pPr>
        <w:pStyle w:val="5"/>
        <w:rPr>
          <w:rFonts w:ascii="Times New Roman" w:hAnsi="Times New Roman"/>
          <w:color w:val="000000" w:themeColor="text1"/>
          <w14:textFill>
            <w14:solidFill>
              <w14:schemeClr w14:val="tx1"/>
            </w14:solidFill>
          </w14:textFill>
        </w:rPr>
      </w:pPr>
      <w:bookmarkStart w:id="91" w:name="_Toc30538"/>
      <w:r>
        <w:rPr>
          <w:rFonts w:ascii="Times New Roman" w:hAnsi="Times New Roman"/>
          <w:color w:val="000000" w:themeColor="text1"/>
          <w14:textFill>
            <w14:solidFill>
              <w14:schemeClr w14:val="tx1"/>
            </w14:solidFill>
          </w14:textFill>
        </w:rPr>
        <w:t>3.2.2  现状可供水量</w:t>
      </w:r>
      <w:bookmarkEnd w:id="91"/>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（1）计算方法及参数</w:t>
      </w:r>
    </w:p>
    <w:p>
      <w:pPr>
        <w:spacing w:line="520" w:lineRule="exact"/>
        <w:ind w:firstLine="560"/>
        <w:rPr>
          <w:color w:val="000000" w:themeColor="text1"/>
          <w:spacing w:val="8"/>
          <w:szCs w:val="28"/>
          <w14:textFill>
            <w14:solidFill>
              <w14:schemeClr w14:val="tx1"/>
            </w14:solidFill>
          </w14:textFill>
        </w:rPr>
      </w:pPr>
      <w:r>
        <w:rPr>
          <w:color w:val="000000" w:themeColor="text1"/>
          <w14:textFill>
            <w14:solidFill>
              <w14:schemeClr w14:val="tx1"/>
            </w14:solidFill>
          </w14:textFill>
        </w:rPr>
        <w:t>通川区水资源利用以当地地表径流利用为主，目前区域内已建中型水库2座，在建中型水库一座，水库供水能力按照各水库供区需求进行逐旬调节计算</w:t>
      </w:r>
      <w:r>
        <w:rPr>
          <w:color w:val="000000" w:themeColor="text1"/>
          <w:spacing w:val="8"/>
          <w:szCs w:val="28"/>
          <w14:textFill>
            <w14:solidFill>
              <w14:schemeClr w14:val="tx1"/>
            </w14:solidFill>
          </w14:textFill>
        </w:rPr>
        <w:t>。</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小型水库统计资料完整，但数量较多，具有不同程度的调蓄能力，仅抽样复核集水面积、灌溉面积、容积等特征值。主要是采取典型调查方式，复核有效容积，调查不同水文年份供水能力，各片小型水库采用打捆计算，按集雨面积计算小型水库来水过程后进行调节计算，确定小型水库供水量。</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采用供水系数法计算山坪塘供水量，重点对山坪塘的供水系数指标进行分析。供水系数是山坪塘的供水量与有效容积的比值。先分析各类山坪塘在当地径流、现有有效容积条件下，其可供水量与有效容积的比值，再进一步考虑库容减少因素，确定其供水系数，再将各类山坪塘各典型年的供水系数按容积权重加权平均，得灌区各片山坪塘的供水系数。</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引提水工程均按需供水要求、当地径流来水量和引水规模分析计算确定引水工程的可供水量。</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地下水工程按需供水要求、地下水工程供水能力分析计算确定地下水供水工程的可供水量。</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表3.2.3  通川区分区小微型供水设施可供水量表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2149"/>
        <w:gridCol w:w="2149"/>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2"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频率</w:t>
            </w:r>
          </w:p>
        </w:tc>
        <w:tc>
          <w:tcPr>
            <w:tcW w:w="2149"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2149"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2146"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2"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供水系数</w:t>
            </w:r>
          </w:p>
        </w:tc>
        <w:tc>
          <w:tcPr>
            <w:tcW w:w="2149"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0.75</w:t>
            </w:r>
          </w:p>
        </w:tc>
        <w:tc>
          <w:tcPr>
            <w:tcW w:w="2149"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0.7</w:t>
            </w:r>
          </w:p>
        </w:tc>
        <w:tc>
          <w:tcPr>
            <w:tcW w:w="2146" w:type="dxa"/>
            <w:tcMar>
              <w:left w:w="28" w:type="dxa"/>
              <w:right w:w="28"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0.65</w:t>
            </w:r>
          </w:p>
        </w:tc>
      </w:tr>
    </w:tbl>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（2）现状可供水量计算成果</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根据上述方法按现有水利设施计算，通川区现有供水设施多年平均可供水量为</w:t>
      </w:r>
      <w:r>
        <w:rPr>
          <w:rFonts w:hint="eastAsia"/>
          <w:color w:val="000000" w:themeColor="text1"/>
          <w:spacing w:val="8"/>
          <w:szCs w:val="28"/>
          <w14:textFill>
            <w14:solidFill>
              <w14:schemeClr w14:val="tx1"/>
            </w14:solidFill>
          </w14:textFill>
        </w:rPr>
        <w:t>14568</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，其中：中型水库</w:t>
      </w:r>
      <w:r>
        <w:rPr>
          <w:rFonts w:hint="eastAsia"/>
          <w:color w:val="000000" w:themeColor="text1"/>
          <w:spacing w:val="8"/>
          <w:szCs w:val="28"/>
          <w14:textFill>
            <w14:solidFill>
              <w14:schemeClr w14:val="tx1"/>
            </w14:solidFill>
          </w14:textFill>
        </w:rPr>
        <w:t>6314</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，小型水库</w:t>
      </w:r>
      <w:r>
        <w:rPr>
          <w:rFonts w:hint="eastAsia"/>
          <w:color w:val="000000" w:themeColor="text1"/>
          <w:spacing w:val="8"/>
          <w:szCs w:val="28"/>
          <w14:textFill>
            <w14:solidFill>
              <w14:schemeClr w14:val="tx1"/>
            </w14:solidFill>
          </w14:textFill>
        </w:rPr>
        <w:t>2378</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，塘堰</w:t>
      </w:r>
      <w:r>
        <w:rPr>
          <w:rFonts w:hint="eastAsia"/>
          <w:color w:val="000000" w:themeColor="text1"/>
          <w:spacing w:val="8"/>
          <w:szCs w:val="28"/>
          <w14:textFill>
            <w14:solidFill>
              <w14:schemeClr w14:val="tx1"/>
            </w14:solidFill>
          </w14:textFill>
        </w:rPr>
        <w:t>1172</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，窖池</w:t>
      </w:r>
      <w:r>
        <w:rPr>
          <w:rFonts w:hint="eastAsia"/>
          <w:color w:val="000000" w:themeColor="text1"/>
          <w:spacing w:val="8"/>
          <w:szCs w:val="28"/>
          <w14:textFill>
            <w14:solidFill>
              <w14:schemeClr w14:val="tx1"/>
            </w14:solidFill>
          </w14:textFill>
        </w:rPr>
        <w:t>198</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，引水堰</w:t>
      </w:r>
      <w:r>
        <w:rPr>
          <w:rFonts w:hint="eastAsia"/>
          <w:color w:val="000000" w:themeColor="text1"/>
          <w:spacing w:val="8"/>
          <w:szCs w:val="28"/>
          <w14:textFill>
            <w14:solidFill>
              <w14:schemeClr w14:val="tx1"/>
            </w14:solidFill>
          </w14:textFill>
        </w:rPr>
        <w:t>865</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，泵站</w:t>
      </w:r>
      <w:r>
        <w:rPr>
          <w:rFonts w:hint="eastAsia"/>
          <w:color w:val="000000" w:themeColor="text1"/>
          <w:spacing w:val="8"/>
          <w:szCs w:val="28"/>
          <w14:textFill>
            <w14:solidFill>
              <w14:schemeClr w14:val="tx1"/>
            </w14:solidFill>
          </w14:textFill>
        </w:rPr>
        <w:t>225</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，地下水</w:t>
      </w:r>
      <w:r>
        <w:rPr>
          <w:rFonts w:hint="eastAsia"/>
          <w:color w:val="000000" w:themeColor="text1"/>
          <w:spacing w:val="8"/>
          <w:szCs w:val="28"/>
          <w14:textFill>
            <w14:solidFill>
              <w14:schemeClr w14:val="tx1"/>
            </w14:solidFill>
          </w14:textFill>
        </w:rPr>
        <w:t>870</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，自备水源</w:t>
      </w:r>
      <w:r>
        <w:rPr>
          <w:rFonts w:hint="eastAsia"/>
          <w:color w:val="000000" w:themeColor="text1"/>
          <w:spacing w:val="8"/>
          <w:szCs w:val="28"/>
          <w14:textFill>
            <w14:solidFill>
              <w14:schemeClr w14:val="tx1"/>
            </w14:solidFill>
          </w14:textFill>
        </w:rPr>
        <w:t>2545</w:t>
      </w:r>
      <w:r>
        <w:rPr>
          <w:color w:val="000000" w:themeColor="text1"/>
          <w:spacing w:val="8"/>
          <w:szCs w:val="28"/>
          <w14:textFill>
            <w14:solidFill>
              <w14:schemeClr w14:val="tx1"/>
            </w14:solidFill>
          </w14:textFill>
        </w:rPr>
        <w:t>万</w:t>
      </w:r>
      <w:r>
        <w:rPr>
          <w:rFonts w:hint="eastAsia"/>
          <w:color w:val="000000" w:themeColor="text1"/>
          <w:spacing w:val="8"/>
          <w:szCs w:val="28"/>
          <w14:textFill>
            <w14:solidFill>
              <w14:schemeClr w14:val="tx1"/>
            </w14:solidFill>
          </w14:textFill>
        </w:rPr>
        <w:t>m³</w:t>
      </w:r>
      <w:r>
        <w:rPr>
          <w:color w:val="000000" w:themeColor="text1"/>
          <w:spacing w:val="8"/>
          <w:szCs w:val="28"/>
          <w14:textFill>
            <w14:solidFill>
              <w14:schemeClr w14:val="tx1"/>
            </w14:solidFill>
          </w14:textFill>
        </w:rPr>
        <w:t xml:space="preserve">。 </w:t>
      </w:r>
    </w:p>
    <w:p>
      <w:pPr>
        <w:spacing w:line="520" w:lineRule="exact"/>
        <w:ind w:firstLine="592"/>
        <w:rPr>
          <w:color w:val="000000" w:themeColor="text1"/>
          <w:spacing w:val="8"/>
          <w:szCs w:val="28"/>
          <w14:textFill>
            <w14:solidFill>
              <w14:schemeClr w14:val="tx1"/>
            </w14:solidFill>
          </w14:textFill>
        </w:rPr>
      </w:pPr>
      <w:r>
        <w:rPr>
          <w:color w:val="000000" w:themeColor="text1"/>
          <w:spacing w:val="8"/>
          <w:szCs w:val="28"/>
          <w14:textFill>
            <w14:solidFill>
              <w14:schemeClr w14:val="tx1"/>
            </w14:solidFill>
          </w14:textFill>
        </w:rPr>
        <w:t>通川区分区现有水利设施当地径流净供水量详见表3.2.4。</w:t>
      </w:r>
    </w:p>
    <w:p>
      <w:pPr>
        <w:pStyle w:val="49"/>
        <w:spacing w:before="190" w:after="190"/>
        <w:rPr>
          <w:color w:val="000000" w:themeColor="text1"/>
          <w14:textFill>
            <w14:solidFill>
              <w14:schemeClr w14:val="tx1"/>
            </w14:solidFill>
          </w14:textFill>
        </w:rPr>
      </w:pPr>
      <w:r>
        <w:rPr>
          <w:color w:val="000000" w:themeColor="text1"/>
          <w:szCs w:val="21"/>
          <w14:textFill>
            <w14:solidFill>
              <w14:schemeClr w14:val="tx1"/>
            </w14:solidFill>
          </w14:textFill>
        </w:rPr>
        <w:t>表3.2.4  通川区分区供水设施可供水量表</w:t>
      </w:r>
    </w:p>
    <w:tbl>
      <w:tblPr>
        <w:tblStyle w:val="40"/>
        <w:tblW w:w="4997" w:type="pct"/>
        <w:tblInd w:w="0" w:type="dxa"/>
        <w:tblLayout w:type="autofit"/>
        <w:tblCellMar>
          <w:top w:w="0" w:type="dxa"/>
          <w:left w:w="0" w:type="dxa"/>
          <w:bottom w:w="0" w:type="dxa"/>
          <w:right w:w="0" w:type="dxa"/>
        </w:tblCellMar>
      </w:tblPr>
      <w:tblGrid>
        <w:gridCol w:w="1246"/>
        <w:gridCol w:w="1176"/>
        <w:gridCol w:w="710"/>
        <w:gridCol w:w="850"/>
        <w:gridCol w:w="770"/>
        <w:gridCol w:w="788"/>
        <w:gridCol w:w="850"/>
        <w:gridCol w:w="1133"/>
        <w:gridCol w:w="808"/>
      </w:tblGrid>
      <w:tr>
        <w:tblPrEx>
          <w:tblCellMar>
            <w:top w:w="0" w:type="dxa"/>
            <w:left w:w="0" w:type="dxa"/>
            <w:bottom w:w="0" w:type="dxa"/>
            <w:right w:w="0" w:type="dxa"/>
          </w:tblCellMar>
        </w:tblPrEx>
        <w:trPr>
          <w:trHeight w:val="397" w:hRule="atLeast"/>
        </w:trPr>
        <w:tc>
          <w:tcPr>
            <w:tcW w:w="74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bookmarkStart w:id="92" w:name="_Toc12187"/>
            <w:bookmarkStart w:id="93" w:name="_Toc21543"/>
            <w:bookmarkStart w:id="94" w:name="_Toc19822"/>
            <w:r>
              <w:rPr>
                <w:color w:val="000000" w:themeColor="text1"/>
                <w14:textFill>
                  <w14:solidFill>
                    <w14:schemeClr w14:val="tx1"/>
                  </w14:solidFill>
                </w14:textFill>
              </w:rPr>
              <w:t>供水水源</w:t>
            </w:r>
          </w:p>
        </w:tc>
        <w:tc>
          <w:tcPr>
            <w:tcW w:w="1132"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双龙河区</w:t>
            </w:r>
          </w:p>
        </w:tc>
        <w:tc>
          <w:tcPr>
            <w:tcW w:w="51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魏家河区</w:t>
            </w:r>
          </w:p>
        </w:tc>
        <w:tc>
          <w:tcPr>
            <w:tcW w:w="46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明月江区</w:t>
            </w:r>
          </w:p>
        </w:tc>
        <w:tc>
          <w:tcPr>
            <w:tcW w:w="983"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长滩河区</w:t>
            </w:r>
          </w:p>
        </w:tc>
        <w:tc>
          <w:tcPr>
            <w:tcW w:w="6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r>
      <w:tr>
        <w:tblPrEx>
          <w:tblCellMar>
            <w:top w:w="0" w:type="dxa"/>
            <w:left w:w="0" w:type="dxa"/>
            <w:bottom w:w="0" w:type="dxa"/>
            <w:right w:w="0" w:type="dxa"/>
          </w:tblCellMar>
        </w:tblPrEx>
        <w:trPr>
          <w:trHeight w:val="397" w:hRule="atLeast"/>
        </w:trPr>
        <w:tc>
          <w:tcPr>
            <w:tcW w:w="7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p>
        </w:tc>
        <w:tc>
          <w:tcPr>
            <w:tcW w:w="7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城区片（石莲花水库片）</w:t>
            </w:r>
          </w:p>
        </w:tc>
        <w:tc>
          <w:tcPr>
            <w:tcW w:w="42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北部片</w:t>
            </w:r>
          </w:p>
        </w:tc>
        <w:tc>
          <w:tcPr>
            <w:tcW w:w="51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双河口水库片</w:t>
            </w:r>
          </w:p>
        </w:tc>
        <w:tc>
          <w:tcPr>
            <w:tcW w:w="46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明月江片</w:t>
            </w:r>
          </w:p>
        </w:tc>
        <w:tc>
          <w:tcPr>
            <w:tcW w:w="47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安云水库片</w:t>
            </w:r>
          </w:p>
        </w:tc>
        <w:tc>
          <w:tcPr>
            <w:tcW w:w="51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长滩河西片</w:t>
            </w:r>
          </w:p>
        </w:tc>
        <w:tc>
          <w:tcPr>
            <w:tcW w:w="6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固家河区</w:t>
            </w: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50"/>
              <w:spacing w:before="0" w:beforeLines="0"/>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中型水库</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6025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289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6314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小型水库</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22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972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472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56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429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190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238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2378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塘堰</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5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324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223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64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198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344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14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1172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窖池</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195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198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引水工程</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473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168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74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135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13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3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865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提水工程</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85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13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134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225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125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167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216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62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171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98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31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870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自备水源</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2545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0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2545 </w:t>
            </w:r>
          </w:p>
        </w:tc>
      </w:tr>
      <w:tr>
        <w:tblPrEx>
          <w:tblCellMar>
            <w:top w:w="0" w:type="dxa"/>
            <w:left w:w="0" w:type="dxa"/>
            <w:bottom w:w="0" w:type="dxa"/>
            <w:right w:w="0" w:type="dxa"/>
          </w:tblCellMar>
        </w:tblPrEx>
        <w:trPr>
          <w:trHeight w:val="397" w:hRule="atLeast"/>
        </w:trPr>
        <w:tc>
          <w:tcPr>
            <w:tcW w:w="74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1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8806 </w:t>
            </w:r>
          </w:p>
        </w:tc>
        <w:tc>
          <w:tcPr>
            <w:tcW w:w="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1951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1503 </w:t>
            </w:r>
          </w:p>
        </w:tc>
        <w:tc>
          <w:tcPr>
            <w:tcW w:w="7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256 </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934 </w:t>
            </w:r>
          </w:p>
        </w:tc>
        <w:tc>
          <w:tcPr>
            <w:tcW w:w="8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831 </w:t>
            </w:r>
          </w:p>
        </w:tc>
        <w:tc>
          <w:tcPr>
            <w:tcW w:w="11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286 </w:t>
            </w: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 xml:space="preserve">14568 </w:t>
            </w:r>
          </w:p>
        </w:tc>
      </w:tr>
    </w:tbl>
    <w:p>
      <w:pPr>
        <w:pStyle w:val="4"/>
        <w:rPr>
          <w:rFonts w:ascii="Times New Roman" w:hAnsi="Times New Roman" w:cs="Times New Roman"/>
          <w:color w:val="000000" w:themeColor="text1"/>
          <w14:textFill>
            <w14:solidFill>
              <w14:schemeClr w14:val="tx1"/>
            </w14:solidFill>
          </w14:textFill>
        </w:rPr>
      </w:pPr>
      <w:bookmarkStart w:id="95" w:name="_Toc12161"/>
      <w:bookmarkStart w:id="96" w:name="_Toc32416"/>
      <w:r>
        <w:rPr>
          <w:rFonts w:ascii="Times New Roman" w:hAnsi="Times New Roman" w:cs="Times New Roman"/>
          <w:color w:val="000000" w:themeColor="text1"/>
          <w14:textFill>
            <w14:solidFill>
              <w14:schemeClr w14:val="tx1"/>
            </w14:solidFill>
          </w14:textFill>
        </w:rPr>
        <w:t>3.3  现状需水量及开发利用情况</w:t>
      </w:r>
      <w:bookmarkEnd w:id="92"/>
      <w:bookmarkEnd w:id="93"/>
      <w:bookmarkEnd w:id="94"/>
      <w:bookmarkEnd w:id="95"/>
      <w:bookmarkEnd w:id="96"/>
    </w:p>
    <w:p>
      <w:pPr>
        <w:pStyle w:val="5"/>
        <w:rPr>
          <w:rFonts w:ascii="Times New Roman" w:hAnsi="Times New Roman"/>
          <w:color w:val="000000" w:themeColor="text1"/>
          <w14:textFill>
            <w14:solidFill>
              <w14:schemeClr w14:val="tx1"/>
            </w14:solidFill>
          </w14:textFill>
        </w:rPr>
      </w:pPr>
      <w:bookmarkStart w:id="97" w:name="_Toc4587"/>
      <w:r>
        <w:rPr>
          <w:rFonts w:ascii="Times New Roman" w:hAnsi="Times New Roman"/>
          <w:color w:val="000000" w:themeColor="text1"/>
          <w14:textFill>
            <w14:solidFill>
              <w14:schemeClr w14:val="tx1"/>
            </w14:solidFill>
          </w14:textFill>
        </w:rPr>
        <w:t>3.3.1  现状需水量</w:t>
      </w:r>
      <w:bookmarkEnd w:id="97"/>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通川区现状多年平均净需水量为10898万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，p＝75％频率下净需水量11136万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，p＝95％频率下净需水量11918万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；现状多年平均毛需水量为14593万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，p＝75％频率下毛需水量14779万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；p＝95％频率下毛需水量16371万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。现状需水详见需水预测成果表。</w:t>
      </w:r>
    </w:p>
    <w:p>
      <w:pPr>
        <w:pStyle w:val="5"/>
        <w:ind w:firstLine="562" w:firstLineChars="200"/>
        <w:rPr>
          <w:rFonts w:ascii="Times New Roman" w:hAnsi="Times New Roman"/>
          <w:color w:val="000000" w:themeColor="text1"/>
          <w14:textFill>
            <w14:solidFill>
              <w14:schemeClr w14:val="tx1"/>
            </w14:solidFill>
          </w14:textFill>
        </w:rPr>
      </w:pPr>
      <w:bookmarkStart w:id="98" w:name="_Toc21845"/>
      <w:r>
        <w:rPr>
          <w:rFonts w:ascii="Times New Roman" w:hAnsi="Times New Roman"/>
          <w:color w:val="000000" w:themeColor="text1"/>
          <w14:textFill>
            <w14:solidFill>
              <w14:schemeClr w14:val="tx1"/>
            </w14:solidFill>
          </w14:textFill>
        </w:rPr>
        <w:t>3.3.2  开发利用情况分析</w:t>
      </w:r>
      <w:bookmarkEnd w:id="98"/>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  开发利用程度</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水资源开发利用程度与流域自然特征、地形地貌、水土资源条件、社会经济发展水平有关。通川区境内水资源总量5.17亿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，现状总供水量</w:t>
      </w:r>
      <w:r>
        <w:rPr>
          <w:rFonts w:hint="eastAsia"/>
          <w:color w:val="000000" w:themeColor="text1"/>
          <w14:textFill>
            <w14:solidFill>
              <w14:schemeClr w14:val="tx1"/>
            </w14:solidFill>
          </w14:textFill>
        </w:rPr>
        <w:t>1.43亿m³</w:t>
      </w:r>
      <w:r>
        <w:rPr>
          <w:color w:val="000000" w:themeColor="text1"/>
          <w14:textFill>
            <w14:solidFill>
              <w14:schemeClr w14:val="tx1"/>
            </w14:solidFill>
          </w14:textFill>
        </w:rPr>
        <w:t>，其中当地水利设施供水量（地表水和地下水）</w:t>
      </w:r>
      <w:r>
        <w:rPr>
          <w:rFonts w:hint="eastAsia"/>
          <w:color w:val="000000" w:themeColor="text1"/>
          <w14:textFill>
            <w14:solidFill>
              <w14:schemeClr w14:val="tx1"/>
            </w14:solidFill>
          </w14:textFill>
        </w:rPr>
        <w:t>1.43亿m³</w:t>
      </w:r>
      <w:r>
        <w:rPr>
          <w:color w:val="000000" w:themeColor="text1"/>
          <w14:textFill>
            <w14:solidFill>
              <w14:schemeClr w14:val="tx1"/>
            </w14:solidFill>
          </w14:textFill>
        </w:rPr>
        <w:t>，</w:t>
      </w:r>
      <w:r>
        <w:rPr>
          <w:iCs/>
          <w:color w:val="000000" w:themeColor="text1"/>
          <w:szCs w:val="28"/>
          <w14:textFill>
            <w14:solidFill>
              <w14:schemeClr w14:val="tx1"/>
            </w14:solidFill>
          </w14:textFill>
        </w:rPr>
        <w:t>扣除过境水利用水量后配置水量0.75</w:t>
      </w:r>
      <w:r>
        <w:rPr>
          <w:color w:val="000000" w:themeColor="text1"/>
          <w14:textFill>
            <w14:solidFill>
              <w14:schemeClr w14:val="tx1"/>
            </w14:solidFill>
          </w14:textFill>
        </w:rPr>
        <w:t>亿</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根据多年平均水资源数量以及现状供用水分析，通川区当地水资源开发利用程度达到</w:t>
      </w:r>
      <w:r>
        <w:rPr>
          <w:rFonts w:hint="eastAsia"/>
          <w:color w:val="000000" w:themeColor="text1"/>
          <w14:textFill>
            <w14:solidFill>
              <w14:schemeClr w14:val="tx1"/>
            </w14:solidFill>
          </w14:textFill>
        </w:rPr>
        <w:t>14.5</w:t>
      </w:r>
      <w:r>
        <w:rPr>
          <w:color w:val="000000" w:themeColor="text1"/>
          <w14:textFill>
            <w14:solidFill>
              <w14:schemeClr w14:val="tx1"/>
            </w14:solidFill>
          </w14:textFill>
        </w:rPr>
        <w:t>%。</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表3.3.1  通川区2020年现状水资源开发利用程度</w:t>
      </w:r>
    </w:p>
    <w:p>
      <w:pPr>
        <w:widowControl/>
        <w:spacing w:line="240" w:lineRule="auto"/>
        <w:ind w:firstLine="48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单位:万</w:t>
      </w:r>
      <w:r>
        <w:rPr>
          <w:rFonts w:hint="eastAsia" w:eastAsia="华文仿宋"/>
          <w:color w:val="000000" w:themeColor="text1"/>
          <w:sz w:val="24"/>
          <w14:textFill>
            <w14:solidFill>
              <w14:schemeClr w14:val="tx1"/>
            </w14:solidFill>
          </w14:textFill>
        </w:rPr>
        <w:t>m³</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55"/>
        <w:gridCol w:w="1555"/>
        <w:gridCol w:w="1102"/>
        <w:gridCol w:w="1555"/>
        <w:gridCol w:w="1016"/>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33"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行政区</w:t>
            </w:r>
          </w:p>
        </w:tc>
        <w:tc>
          <w:tcPr>
            <w:tcW w:w="933"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水资源总量</w:t>
            </w:r>
          </w:p>
        </w:tc>
        <w:tc>
          <w:tcPr>
            <w:tcW w:w="661"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总供水量</w:t>
            </w:r>
          </w:p>
        </w:tc>
        <w:tc>
          <w:tcPr>
            <w:tcW w:w="933" w:type="pct"/>
            <w:vMerge w:val="restart"/>
            <w:vAlign w:val="center"/>
          </w:tcPr>
          <w:p>
            <w:pPr>
              <w:pStyle w:val="50"/>
              <w:spacing w:before="0" w:beforeLines="0"/>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当地水源供水</w:t>
            </w:r>
            <w:r>
              <w:rPr>
                <w:rFonts w:hint="eastAsia"/>
                <w:color w:val="000000" w:themeColor="text1"/>
                <w:lang w:val="en-US" w:eastAsia="zh-CN"/>
                <w14:textFill>
                  <w14:solidFill>
                    <w14:schemeClr w14:val="tx1"/>
                  </w14:solidFill>
                </w14:textFill>
              </w:rPr>
              <w:t>/</w:t>
            </w:r>
            <w:r>
              <w:rPr>
                <w:iCs/>
                <w:color w:val="000000" w:themeColor="text1"/>
                <w:szCs w:val="28"/>
                <w14:textFill>
                  <w14:solidFill>
                    <w14:schemeClr w14:val="tx1"/>
                  </w14:solidFill>
                </w14:textFill>
              </w:rPr>
              <w:t>扣除过境水</w:t>
            </w:r>
            <w:r>
              <w:rPr>
                <w:rFonts w:hint="eastAsia"/>
                <w:iCs/>
                <w:color w:val="000000" w:themeColor="text1"/>
                <w:szCs w:val="28"/>
                <w:lang w:val="en-US" w:eastAsia="zh-CN"/>
                <w14:textFill>
                  <w14:solidFill>
                    <w14:schemeClr w14:val="tx1"/>
                  </w14:solidFill>
                </w14:textFill>
              </w:rPr>
              <w:t>供水</w:t>
            </w:r>
            <w:r>
              <w:rPr>
                <w:iCs/>
                <w:color w:val="000000" w:themeColor="text1"/>
                <w:szCs w:val="28"/>
                <w14:textFill>
                  <w14:solidFill>
                    <w14:schemeClr w14:val="tx1"/>
                  </w14:solidFill>
                </w14:textFill>
              </w:rPr>
              <w:t>后</w:t>
            </w:r>
          </w:p>
        </w:tc>
        <w:tc>
          <w:tcPr>
            <w:tcW w:w="609"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其他水源</w:t>
            </w:r>
          </w:p>
        </w:tc>
        <w:tc>
          <w:tcPr>
            <w:tcW w:w="933"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当地水资源开发利用程度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33" w:type="pct"/>
            <w:vMerge w:val="continue"/>
            <w:vAlign w:val="center"/>
          </w:tcPr>
          <w:p>
            <w:pPr>
              <w:pStyle w:val="50"/>
              <w:spacing w:before="0" w:beforeLines="0"/>
              <w:rPr>
                <w:color w:val="000000" w:themeColor="text1"/>
                <w14:textFill>
                  <w14:solidFill>
                    <w14:schemeClr w14:val="tx1"/>
                  </w14:solidFill>
                </w14:textFill>
              </w:rPr>
            </w:pPr>
          </w:p>
        </w:tc>
        <w:tc>
          <w:tcPr>
            <w:tcW w:w="933" w:type="pct"/>
            <w:vMerge w:val="continue"/>
            <w:vAlign w:val="center"/>
          </w:tcPr>
          <w:p>
            <w:pPr>
              <w:pStyle w:val="50"/>
              <w:spacing w:before="0" w:beforeLines="0"/>
              <w:rPr>
                <w:color w:val="000000" w:themeColor="text1"/>
                <w14:textFill>
                  <w14:solidFill>
                    <w14:schemeClr w14:val="tx1"/>
                  </w14:solidFill>
                </w14:textFill>
              </w:rPr>
            </w:pPr>
          </w:p>
        </w:tc>
        <w:tc>
          <w:tcPr>
            <w:tcW w:w="661" w:type="pct"/>
            <w:vMerge w:val="continue"/>
            <w:vAlign w:val="center"/>
          </w:tcPr>
          <w:p>
            <w:pPr>
              <w:pStyle w:val="50"/>
              <w:spacing w:before="0" w:beforeLines="0"/>
              <w:rPr>
                <w:color w:val="000000" w:themeColor="text1"/>
                <w14:textFill>
                  <w14:solidFill>
                    <w14:schemeClr w14:val="tx1"/>
                  </w14:solidFill>
                </w14:textFill>
              </w:rPr>
            </w:pPr>
          </w:p>
        </w:tc>
        <w:tc>
          <w:tcPr>
            <w:tcW w:w="933" w:type="pct"/>
            <w:vMerge w:val="continue"/>
            <w:vAlign w:val="center"/>
          </w:tcPr>
          <w:p>
            <w:pPr>
              <w:pStyle w:val="50"/>
              <w:spacing w:before="0" w:beforeLines="0"/>
              <w:rPr>
                <w:color w:val="000000" w:themeColor="text1"/>
                <w14:textFill>
                  <w14:solidFill>
                    <w14:schemeClr w14:val="tx1"/>
                  </w14:solidFill>
                </w14:textFill>
              </w:rPr>
            </w:pPr>
          </w:p>
        </w:tc>
        <w:tc>
          <w:tcPr>
            <w:tcW w:w="609" w:type="pct"/>
            <w:vMerge w:val="continue"/>
            <w:vAlign w:val="center"/>
          </w:tcPr>
          <w:p>
            <w:pPr>
              <w:pStyle w:val="50"/>
              <w:spacing w:before="0" w:beforeLines="0"/>
              <w:rPr>
                <w:color w:val="000000" w:themeColor="text1"/>
                <w14:textFill>
                  <w14:solidFill>
                    <w14:schemeClr w14:val="tx1"/>
                  </w14:solidFill>
                </w14:textFill>
              </w:rPr>
            </w:pPr>
          </w:p>
        </w:tc>
        <w:tc>
          <w:tcPr>
            <w:tcW w:w="933" w:type="pct"/>
            <w:vMerge w:val="continue"/>
            <w:vAlign w:val="center"/>
          </w:tcPr>
          <w:p>
            <w:pPr>
              <w:pStyle w:val="50"/>
              <w:spacing w:before="0" w:beforeLine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3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通川区</w:t>
            </w:r>
          </w:p>
        </w:tc>
        <w:tc>
          <w:tcPr>
            <w:tcW w:w="93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5.1</w:t>
            </w:r>
            <w:r>
              <w:rPr>
                <w:rFonts w:hint="eastAsia"/>
                <w:color w:val="000000" w:themeColor="text1"/>
                <w14:textFill>
                  <w14:solidFill>
                    <w14:schemeClr w14:val="tx1"/>
                  </w14:solidFill>
                </w14:textFill>
              </w:rPr>
              <w:t>7</w:t>
            </w:r>
          </w:p>
        </w:tc>
        <w:tc>
          <w:tcPr>
            <w:tcW w:w="661" w:type="pct"/>
            <w:vAlign w:val="center"/>
          </w:tcPr>
          <w:p>
            <w:pPr>
              <w:pStyle w:val="50"/>
              <w:spacing w:before="0" w:beforeLines="0"/>
              <w:rPr>
                <w:color w:val="000000" w:themeColor="text1"/>
                <w14:textFill>
                  <w14:solidFill>
                    <w14:schemeClr w14:val="tx1"/>
                  </w14:solidFill>
                </w14:textFill>
              </w:rPr>
            </w:pPr>
            <w:r>
              <w:rPr>
                <w:rFonts w:hint="eastAsia"/>
                <w:color w:val="000000" w:themeColor="text1"/>
                <w14:textFill>
                  <w14:solidFill>
                    <w14:schemeClr w14:val="tx1"/>
                  </w14:solidFill>
                </w14:textFill>
              </w:rPr>
              <w:t>1.43</w:t>
            </w:r>
          </w:p>
        </w:tc>
        <w:tc>
          <w:tcPr>
            <w:tcW w:w="93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43</w:t>
            </w:r>
            <w:r>
              <w:rPr>
                <w:color w:val="000000" w:themeColor="text1"/>
                <w14:textFill>
                  <w14:solidFill>
                    <w14:schemeClr w14:val="tx1"/>
                  </w14:solidFill>
                </w14:textFill>
              </w:rPr>
              <w:t>/0.75</w:t>
            </w:r>
          </w:p>
        </w:tc>
        <w:tc>
          <w:tcPr>
            <w:tcW w:w="609" w:type="pct"/>
            <w:vAlign w:val="center"/>
          </w:tcPr>
          <w:p>
            <w:pPr>
              <w:pStyle w:val="50"/>
              <w:spacing w:before="0" w:beforeLines="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 xml:space="preserve"> </w:t>
            </w:r>
          </w:p>
        </w:tc>
        <w:tc>
          <w:tcPr>
            <w:tcW w:w="933" w:type="pct"/>
            <w:vAlign w:val="center"/>
          </w:tcPr>
          <w:p>
            <w:pPr>
              <w:pStyle w:val="50"/>
              <w:spacing w:before="0" w:beforeLines="0"/>
              <w:rPr>
                <w:color w:val="000000" w:themeColor="text1"/>
                <w14:textFill>
                  <w14:solidFill>
                    <w14:schemeClr w14:val="tx1"/>
                  </w14:solidFill>
                </w14:textFill>
              </w:rPr>
            </w:pPr>
            <w:r>
              <w:rPr>
                <w:rFonts w:hint="eastAsia"/>
                <w:color w:val="000000" w:themeColor="text1"/>
                <w14:textFill>
                  <w14:solidFill>
                    <w14:schemeClr w14:val="tx1"/>
                  </w14:solidFill>
                </w14:textFill>
              </w:rPr>
              <w:t>14.5</w:t>
            </w:r>
            <w:r>
              <w:rPr>
                <w:color w:val="000000" w:themeColor="text1"/>
                <w14:textFill>
                  <w14:solidFill>
                    <w14:schemeClr w14:val="tx1"/>
                  </w14:solidFill>
                </w14:textFill>
              </w:rPr>
              <w:t>%</w:t>
            </w:r>
          </w:p>
        </w:tc>
      </w:tr>
    </w:tbl>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  现状用水水平和用水效率</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通川区现状城镇管网漏损率12%，灌溉水利用系数0.491；城镇居民人均生活指标为120L/人•天，综合灌溉用水指标为320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/亩，万元GDP增加值毛用水量42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，万元工业增加值用水量35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rFonts w:eastAsia="华文仿宋"/>
          <w:color w:val="000000" w:themeColor="text1"/>
          <w14:textFill>
            <w14:solidFill>
              <w14:schemeClr w14:val="tx1"/>
            </w14:solidFill>
          </w14:textFill>
        </w:rPr>
      </w:pPr>
      <w:r>
        <w:rPr>
          <w:color w:val="000000" w:themeColor="text1"/>
          <w14:textFill>
            <w14:solidFill>
              <w14:schemeClr w14:val="tx1"/>
            </w14:solidFill>
          </w14:textFill>
        </w:rPr>
        <w:t>通川区2020年用水指标见表表3.3.2。</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表3.3.2 通川区2020年用水指标统计表</w:t>
      </w:r>
    </w:p>
    <w:tbl>
      <w:tblPr>
        <w:tblStyle w:val="40"/>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59"/>
        <w:gridCol w:w="1559"/>
        <w:gridCol w:w="1418"/>
        <w:gridCol w:w="1559"/>
        <w:gridCol w:w="1134"/>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blHeader/>
        </w:trPr>
        <w:tc>
          <w:tcPr>
            <w:tcW w:w="959" w:type="dxa"/>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行政区</w:t>
            </w:r>
          </w:p>
        </w:tc>
        <w:tc>
          <w:tcPr>
            <w:tcW w:w="1559" w:type="dxa"/>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人均综合用水量(</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1418" w:type="dxa"/>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万元GDP用水量(</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1559" w:type="dxa"/>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万元工业增加值用水量（</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w:t>
            </w:r>
          </w:p>
        </w:tc>
        <w:tc>
          <w:tcPr>
            <w:tcW w:w="1134" w:type="dxa"/>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农田实灌亩均用水量(</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2160" w:type="dxa"/>
            <w:gridSpan w:val="2"/>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人均生活用水量(L/d)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blHeader/>
        </w:trPr>
        <w:tc>
          <w:tcPr>
            <w:tcW w:w="959" w:type="dxa"/>
            <w:vMerge w:val="continue"/>
            <w:tcBorders>
              <w:bottom w:val="single" w:color="auto" w:sz="4" w:space="0"/>
            </w:tcBorders>
            <w:shd w:val="clear" w:color="auto" w:fill="FFFFFF"/>
            <w:vAlign w:val="center"/>
          </w:tcPr>
          <w:p>
            <w:pPr>
              <w:pStyle w:val="50"/>
              <w:spacing w:before="0" w:beforeLines="0"/>
              <w:rPr>
                <w:color w:val="000000" w:themeColor="text1"/>
                <w14:textFill>
                  <w14:solidFill>
                    <w14:schemeClr w14:val="tx1"/>
                  </w14:solidFill>
                </w14:textFill>
              </w:rPr>
            </w:pPr>
          </w:p>
        </w:tc>
        <w:tc>
          <w:tcPr>
            <w:tcW w:w="1559" w:type="dxa"/>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1418" w:type="dxa"/>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1559" w:type="dxa"/>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1134" w:type="dxa"/>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1080"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城镇生活</w:t>
            </w:r>
          </w:p>
        </w:tc>
        <w:tc>
          <w:tcPr>
            <w:tcW w:w="1080"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农村生活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959"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通川区</w:t>
            </w:r>
          </w:p>
        </w:tc>
        <w:tc>
          <w:tcPr>
            <w:tcW w:w="1559"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418"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559"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134"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320</w:t>
            </w:r>
          </w:p>
        </w:tc>
        <w:tc>
          <w:tcPr>
            <w:tcW w:w="1080"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080" w:type="dxa"/>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80</w:t>
            </w:r>
          </w:p>
        </w:tc>
      </w:tr>
    </w:tbl>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现状农业灌溉水利用系数为0.491，与四川省平均水平基本一致；单位工业增加值用水量35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/万元，高于四川省平均水平。单位工业增加值用水量、灌溉水利用系数与发达国家的差距非常巨大。</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总体而言，通川区水资源利用方式还很粗放，用水效率不高，浪费仍较严重，与国际先进水平相比，节水管理与节水技术还比较落后。</w:t>
      </w:r>
    </w:p>
    <w:p>
      <w:pPr>
        <w:pStyle w:val="4"/>
        <w:rPr>
          <w:rFonts w:ascii="Times New Roman" w:hAnsi="Times New Roman" w:cs="Times New Roman"/>
          <w:color w:val="000000" w:themeColor="text1"/>
          <w14:textFill>
            <w14:solidFill>
              <w14:schemeClr w14:val="tx1"/>
            </w14:solidFill>
          </w14:textFill>
        </w:rPr>
      </w:pPr>
      <w:bookmarkStart w:id="99" w:name="_Toc3952"/>
      <w:bookmarkStart w:id="100" w:name="_Toc26535"/>
      <w:bookmarkStart w:id="101" w:name="_Toc20943"/>
      <w:bookmarkStart w:id="102" w:name="_Toc15575"/>
      <w:bookmarkStart w:id="103" w:name="_Toc8798"/>
      <w:r>
        <w:rPr>
          <w:rFonts w:ascii="Times New Roman" w:hAnsi="Times New Roman" w:cs="Times New Roman"/>
          <w:color w:val="000000" w:themeColor="text1"/>
          <w14:textFill>
            <w14:solidFill>
              <w14:schemeClr w14:val="tx1"/>
            </w14:solidFill>
          </w14:textFill>
        </w:rPr>
        <w:t>3.4  现状供需平衡分析</w:t>
      </w:r>
      <w:bookmarkEnd w:id="99"/>
      <w:bookmarkEnd w:id="100"/>
      <w:bookmarkEnd w:id="101"/>
      <w:bookmarkEnd w:id="102"/>
      <w:bookmarkEnd w:id="103"/>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根据现状通川区国民经济各部门需水量及可供水量分析成果，进行现状供需平衡分析，成果见表3.4.1。</w:t>
      </w:r>
    </w:p>
    <w:p>
      <w:pPr>
        <w:pStyle w:val="2"/>
        <w:ind w:firstLine="560"/>
        <w:rPr>
          <w:bCs/>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表3.4.1  通川区分区现状供需分析成果表</w:t>
      </w:r>
    </w:p>
    <w:p>
      <w:pPr>
        <w:ind w:firstLine="0" w:firstLineChars="0"/>
        <w:jc w:val="right"/>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单位：万</w:t>
      </w:r>
      <w:r>
        <w:rPr>
          <w:rFonts w:hint="eastAsia"/>
          <w:color w:val="000000" w:themeColor="text1"/>
          <w:sz w:val="24"/>
          <w:szCs w:val="22"/>
          <w14:textFill>
            <w14:solidFill>
              <w14:schemeClr w14:val="tx1"/>
            </w14:solidFill>
          </w14:textFill>
        </w:rPr>
        <w:t>m³</w:t>
      </w:r>
    </w:p>
    <w:tbl>
      <w:tblPr>
        <w:tblStyle w:val="40"/>
        <w:tblW w:w="5000" w:type="pct"/>
        <w:tblInd w:w="0" w:type="dxa"/>
        <w:tblLayout w:type="autofit"/>
        <w:tblCellMar>
          <w:top w:w="0" w:type="dxa"/>
          <w:left w:w="0" w:type="dxa"/>
          <w:bottom w:w="0" w:type="dxa"/>
          <w:right w:w="0" w:type="dxa"/>
        </w:tblCellMar>
      </w:tblPr>
      <w:tblGrid>
        <w:gridCol w:w="868"/>
        <w:gridCol w:w="868"/>
        <w:gridCol w:w="1288"/>
        <w:gridCol w:w="570"/>
        <w:gridCol w:w="570"/>
        <w:gridCol w:w="570"/>
        <w:gridCol w:w="570"/>
        <w:gridCol w:w="563"/>
        <w:gridCol w:w="645"/>
        <w:gridCol w:w="576"/>
        <w:gridCol w:w="570"/>
        <w:gridCol w:w="678"/>
      </w:tblGrid>
      <w:tr>
        <w:tblPrEx>
          <w:tblCellMar>
            <w:top w:w="0" w:type="dxa"/>
            <w:left w:w="0" w:type="dxa"/>
            <w:bottom w:w="0" w:type="dxa"/>
            <w:right w:w="0" w:type="dxa"/>
          </w:tblCellMar>
        </w:tblPrEx>
        <w:trPr>
          <w:trHeight w:val="369" w:hRule="atLeast"/>
          <w:tblHeader/>
        </w:trPr>
        <w:tc>
          <w:tcPr>
            <w:tcW w:w="426"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年型</w:t>
            </w:r>
          </w:p>
        </w:tc>
        <w:tc>
          <w:tcPr>
            <w:tcW w:w="1139" w:type="pct"/>
            <w:gridSpan w:val="2"/>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分片</w:t>
            </w:r>
          </w:p>
        </w:tc>
        <w:tc>
          <w:tcPr>
            <w:tcW w:w="2363" w:type="pct"/>
            <w:gridSpan w:val="6"/>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需水</w:t>
            </w:r>
          </w:p>
        </w:tc>
        <w:tc>
          <w:tcPr>
            <w:tcW w:w="39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供水量</w:t>
            </w:r>
          </w:p>
        </w:tc>
        <w:tc>
          <w:tcPr>
            <w:tcW w:w="387"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缺水</w:t>
            </w:r>
          </w:p>
        </w:tc>
        <w:tc>
          <w:tcPr>
            <w:tcW w:w="294"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缺水率</w:t>
            </w:r>
          </w:p>
        </w:tc>
      </w:tr>
      <w:tr>
        <w:tblPrEx>
          <w:tblCellMar>
            <w:top w:w="0" w:type="dxa"/>
            <w:left w:w="0" w:type="dxa"/>
            <w:bottom w:w="0" w:type="dxa"/>
            <w:right w:w="0" w:type="dxa"/>
          </w:tblCellMar>
        </w:tblPrEx>
        <w:trPr>
          <w:trHeight w:val="369" w:hRule="atLeast"/>
          <w:tblHeader/>
        </w:trPr>
        <w:tc>
          <w:tcPr>
            <w:tcW w:w="426"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1139" w:type="pct"/>
            <w:gridSpan w:val="2"/>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38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城镇生活</w:t>
            </w:r>
          </w:p>
        </w:tc>
        <w:tc>
          <w:tcPr>
            <w:tcW w:w="38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农村生活</w:t>
            </w:r>
          </w:p>
        </w:tc>
        <w:tc>
          <w:tcPr>
            <w:tcW w:w="38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二三产用水</w:t>
            </w:r>
          </w:p>
        </w:tc>
        <w:tc>
          <w:tcPr>
            <w:tcW w:w="38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农业用水</w:t>
            </w:r>
          </w:p>
        </w:tc>
        <w:tc>
          <w:tcPr>
            <w:tcW w:w="3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生态用水</w:t>
            </w:r>
          </w:p>
        </w:tc>
        <w:tc>
          <w:tcPr>
            <w:tcW w:w="4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小计</w:t>
            </w:r>
          </w:p>
        </w:tc>
        <w:tc>
          <w:tcPr>
            <w:tcW w:w="39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387"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294"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69" w:hRule="atLeast"/>
        </w:trPr>
        <w:tc>
          <w:tcPr>
            <w:tcW w:w="42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多年平均</w:t>
            </w:r>
          </w:p>
        </w:tc>
        <w:tc>
          <w:tcPr>
            <w:tcW w:w="42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城区片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2993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4330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510</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8144</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7152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992</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12.20%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北部片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698</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1467</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1387</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5.50%</w:t>
            </w:r>
          </w:p>
        </w:tc>
      </w:tr>
      <w:tr>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双河口水库片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189</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327</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340</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1208</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1203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218</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322</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199</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123</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38.30%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安云水库片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1259</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1531</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715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815</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53.30%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长滩河西片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920</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1165</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583</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50.10%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344</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456</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228</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1139" w:type="pct"/>
            <w:gridSpan w:val="2"/>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3408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1394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5051</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3845</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595</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15593</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14465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1128</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7.23%</w:t>
            </w:r>
          </w:p>
        </w:tc>
      </w:tr>
      <w:tr>
        <w:tblPrEx>
          <w:tblCellMar>
            <w:top w:w="0" w:type="dxa"/>
            <w:left w:w="0" w:type="dxa"/>
            <w:bottom w:w="0" w:type="dxa"/>
            <w:right w:w="0" w:type="dxa"/>
          </w:tblCellMar>
        </w:tblPrEx>
        <w:trPr>
          <w:trHeight w:val="369" w:hRule="atLeast"/>
        </w:trPr>
        <w:tc>
          <w:tcPr>
            <w:tcW w:w="42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42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城区片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2993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4330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74</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510</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8152</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7219</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933</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11.40%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北部片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786</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1555</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1514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双河口水库片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189</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327</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383</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1251</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1250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246</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350</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140</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安云水库片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1418</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1690</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860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830</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49.10%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长滩河西片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1037</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1282</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632</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49.30%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388</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499</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222</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44.40%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1139" w:type="pct"/>
            <w:gridSpan w:val="2"/>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3408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1394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5051</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4331</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595</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14779</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11981</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2798</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18.90%</w:t>
            </w:r>
          </w:p>
        </w:tc>
      </w:tr>
      <w:tr>
        <w:tblPrEx>
          <w:tblCellMar>
            <w:top w:w="0" w:type="dxa"/>
            <w:left w:w="0" w:type="dxa"/>
            <w:bottom w:w="0" w:type="dxa"/>
            <w:right w:w="0" w:type="dxa"/>
          </w:tblCellMar>
        </w:tblPrEx>
        <w:trPr>
          <w:trHeight w:val="369" w:hRule="atLeast"/>
        </w:trPr>
        <w:tc>
          <w:tcPr>
            <w:tcW w:w="42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95%</w:t>
            </w:r>
          </w:p>
        </w:tc>
        <w:tc>
          <w:tcPr>
            <w:tcW w:w="426" w:type="pct"/>
            <w:vMerge w:val="restar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城区片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2993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4330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101</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510</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8179</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6895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1285</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15.70%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北部片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245</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1075</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1844</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1774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双河口水库片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189</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327</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524</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1392</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1390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336</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440</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228</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51.90%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安云水库片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1939</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2211</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1398</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63.30%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长滩河西片</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1418</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1663</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1063</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63.90%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426"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714" w:type="pct"/>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固家河区</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530</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642</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232</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409</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63.80%</w:t>
            </w:r>
          </w:p>
        </w:tc>
      </w:tr>
      <w:tr>
        <w:tblPrEx>
          <w:tblCellMar>
            <w:top w:w="0" w:type="dxa"/>
            <w:left w:w="0" w:type="dxa"/>
            <w:bottom w:w="0" w:type="dxa"/>
            <w:right w:w="0" w:type="dxa"/>
          </w:tblCellMar>
        </w:tblPrEx>
        <w:trPr>
          <w:trHeight w:val="369" w:hRule="atLeast"/>
        </w:trPr>
        <w:tc>
          <w:tcPr>
            <w:tcW w:w="426" w:type="pct"/>
            <w:vMerge w:val="continue"/>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p>
        </w:tc>
        <w:tc>
          <w:tcPr>
            <w:tcW w:w="1139" w:type="pct"/>
            <w:gridSpan w:val="2"/>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3408</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1394</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5051</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5923</w:t>
            </w:r>
          </w:p>
        </w:tc>
        <w:tc>
          <w:tcPr>
            <w:tcW w:w="5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595</w:t>
            </w:r>
          </w:p>
        </w:tc>
        <w:tc>
          <w:tcPr>
            <w:tcW w:w="645"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16371</w:t>
            </w:r>
          </w:p>
        </w:tc>
        <w:tc>
          <w:tcPr>
            <w:tcW w:w="576"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11916</w:t>
            </w:r>
          </w:p>
        </w:tc>
        <w:tc>
          <w:tcPr>
            <w:tcW w:w="570"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4455</w:t>
            </w:r>
          </w:p>
        </w:tc>
        <w:tc>
          <w:tcPr>
            <w:tcW w:w="678"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27.20%</w:t>
            </w:r>
          </w:p>
        </w:tc>
      </w:tr>
    </w:tbl>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由现状供需水量平衡分析可知，通川区现状多年平均需水量为</w:t>
      </w:r>
      <w:r>
        <w:rPr>
          <w:rFonts w:hint="eastAsia"/>
          <w:bCs/>
          <w:color w:val="000000" w:themeColor="text1"/>
          <w14:textFill>
            <w14:solidFill>
              <w14:schemeClr w14:val="tx1"/>
            </w14:solidFill>
          </w14:textFill>
        </w:rPr>
        <w:t>15593</w:t>
      </w:r>
      <w:r>
        <w:rPr>
          <w:bCs/>
          <w:color w:val="000000" w:themeColor="text1"/>
          <w14:textFill>
            <w14:solidFill>
              <w14:schemeClr w14:val="tx1"/>
            </w14:solidFill>
          </w14:textFill>
        </w:rPr>
        <w:t>万</w:t>
      </w:r>
      <w:r>
        <w:rPr>
          <w:rFonts w:hint="eastAsia"/>
          <w:bCs/>
          <w:color w:val="000000" w:themeColor="text1"/>
          <w14:textFill>
            <w14:solidFill>
              <w14:schemeClr w14:val="tx1"/>
            </w14:solidFill>
          </w14:textFill>
        </w:rPr>
        <w:t>m³</w:t>
      </w:r>
      <w:r>
        <w:rPr>
          <w:bCs/>
          <w:color w:val="000000" w:themeColor="text1"/>
          <w14:textFill>
            <w14:solidFill>
              <w14:schemeClr w14:val="tx1"/>
            </w14:solidFill>
          </w14:textFill>
        </w:rPr>
        <w:t>，现有供水设施多年平均供水总量为</w:t>
      </w:r>
      <w:r>
        <w:rPr>
          <w:rFonts w:hint="eastAsia"/>
          <w:bCs/>
          <w:color w:val="000000" w:themeColor="text1"/>
          <w14:textFill>
            <w14:solidFill>
              <w14:schemeClr w14:val="tx1"/>
            </w14:solidFill>
          </w14:textFill>
        </w:rPr>
        <w:t>14465</w:t>
      </w:r>
      <w:r>
        <w:rPr>
          <w:bCs/>
          <w:color w:val="000000" w:themeColor="text1"/>
          <w14:textFill>
            <w14:solidFill>
              <w14:schemeClr w14:val="tx1"/>
            </w14:solidFill>
          </w14:textFill>
        </w:rPr>
        <w:t>万</w:t>
      </w:r>
      <w:r>
        <w:rPr>
          <w:rFonts w:hint="eastAsia"/>
          <w:bCs/>
          <w:color w:val="000000" w:themeColor="text1"/>
          <w14:textFill>
            <w14:solidFill>
              <w14:schemeClr w14:val="tx1"/>
            </w14:solidFill>
          </w14:textFill>
        </w:rPr>
        <w:t>m³</w:t>
      </w:r>
      <w:r>
        <w:rPr>
          <w:bCs/>
          <w:color w:val="000000" w:themeColor="text1"/>
          <w14:textFill>
            <w14:solidFill>
              <w14:schemeClr w14:val="tx1"/>
            </w14:solidFill>
          </w14:textFill>
        </w:rPr>
        <w:t>，缺水量</w:t>
      </w:r>
      <w:r>
        <w:rPr>
          <w:rFonts w:hint="eastAsia"/>
          <w:bCs/>
          <w:color w:val="000000" w:themeColor="text1"/>
          <w14:textFill>
            <w14:solidFill>
              <w14:schemeClr w14:val="tx1"/>
            </w14:solidFill>
          </w14:textFill>
        </w:rPr>
        <w:t>1128</w:t>
      </w:r>
      <w:r>
        <w:rPr>
          <w:bCs/>
          <w:color w:val="000000" w:themeColor="text1"/>
          <w14:textFill>
            <w14:solidFill>
              <w14:schemeClr w14:val="tx1"/>
            </w14:solidFill>
          </w14:textFill>
        </w:rPr>
        <w:t>万</w:t>
      </w:r>
      <w:r>
        <w:rPr>
          <w:rFonts w:hint="eastAsia"/>
          <w:bCs/>
          <w:color w:val="000000" w:themeColor="text1"/>
          <w14:textFill>
            <w14:solidFill>
              <w14:schemeClr w14:val="tx1"/>
            </w14:solidFill>
          </w14:textFill>
        </w:rPr>
        <w:t>m³</w:t>
      </w:r>
      <w:r>
        <w:rPr>
          <w:bCs/>
          <w:color w:val="000000" w:themeColor="text1"/>
          <w14:textFill>
            <w14:solidFill>
              <w14:schemeClr w14:val="tx1"/>
            </w14:solidFill>
          </w14:textFill>
        </w:rPr>
        <w:t>，缺水率</w:t>
      </w:r>
      <w:r>
        <w:rPr>
          <w:rFonts w:hint="eastAsia"/>
          <w:bCs/>
          <w:color w:val="000000" w:themeColor="text1"/>
          <w14:textFill>
            <w14:solidFill>
              <w14:schemeClr w14:val="tx1"/>
            </w14:solidFill>
          </w14:textFill>
        </w:rPr>
        <w:t>7.23</w:t>
      </w:r>
      <w:r>
        <w:rPr>
          <w:bCs/>
          <w:color w:val="000000" w:themeColor="text1"/>
          <w14:textFill>
            <w14:solidFill>
              <w14:schemeClr w14:val="tx1"/>
            </w14:solidFill>
          </w14:textFill>
        </w:rPr>
        <w:t>%。区域不仅水利工程多年平均供水总量小于需水总量，而且由于水资源分布不均，水利设施的结构不合理、调节能力低，枯期存在一定程度的缺水；在枯水年缺水现象更为突出，用水紧张时常常挤占农业用水。</w:t>
      </w:r>
    </w:p>
    <w:p>
      <w:pPr>
        <w:pStyle w:val="4"/>
        <w:rPr>
          <w:rFonts w:ascii="Times New Roman" w:hAnsi="Times New Roman" w:cs="Times New Roman"/>
          <w:color w:val="000000" w:themeColor="text1"/>
          <w14:textFill>
            <w14:solidFill>
              <w14:schemeClr w14:val="tx1"/>
            </w14:solidFill>
          </w14:textFill>
        </w:rPr>
      </w:pPr>
      <w:bookmarkStart w:id="104" w:name="_Toc20372"/>
      <w:bookmarkStart w:id="105" w:name="_Toc23982"/>
      <w:bookmarkStart w:id="106" w:name="_Toc26302"/>
      <w:bookmarkStart w:id="107" w:name="_Toc8789"/>
      <w:bookmarkStart w:id="108" w:name="_Toc23994"/>
      <w:r>
        <w:rPr>
          <w:rFonts w:ascii="Times New Roman" w:hAnsi="Times New Roman" w:cs="Times New Roman"/>
          <w:color w:val="000000" w:themeColor="text1"/>
          <w14:textFill>
            <w14:solidFill>
              <w14:schemeClr w14:val="tx1"/>
            </w14:solidFill>
          </w14:textFill>
        </w:rPr>
        <w:t>3.5  区域水资源开发利用的存在的问题</w:t>
      </w:r>
      <w:bookmarkEnd w:id="104"/>
      <w:bookmarkEnd w:id="105"/>
      <w:bookmarkEnd w:id="106"/>
      <w:bookmarkEnd w:id="107"/>
      <w:bookmarkEnd w:id="108"/>
    </w:p>
    <w:p>
      <w:pPr>
        <w:pStyle w:val="5"/>
        <w:rPr>
          <w:rFonts w:ascii="Times New Roman" w:hAnsi="Times New Roman"/>
          <w:color w:val="000000" w:themeColor="text1"/>
          <w14:textFill>
            <w14:solidFill>
              <w14:schemeClr w14:val="tx1"/>
            </w14:solidFill>
          </w14:textFill>
        </w:rPr>
      </w:pPr>
      <w:bookmarkStart w:id="109" w:name="_Toc27795"/>
      <w:r>
        <w:rPr>
          <w:rFonts w:ascii="Times New Roman" w:hAnsi="Times New Roman"/>
          <w:color w:val="000000" w:themeColor="text1"/>
          <w14:textFill>
            <w14:solidFill>
              <w14:schemeClr w14:val="tx1"/>
            </w14:solidFill>
          </w14:textFill>
        </w:rPr>
        <w:t>3.5.1  当地水资源总量少，水资源分布不均</w:t>
      </w:r>
      <w:bookmarkEnd w:id="109"/>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通川区幅员面积888k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，水资源总量5.17亿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，人均水资源量570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（按常住人口90.57万人计）。低于达州市人均水资源量1852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，远低于四川省人均水资源量3200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，低于全国人均水资源量2100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r>
        <w:rPr>
          <w:bCs/>
          <w:color w:val="000000" w:themeColor="text1"/>
          <w14:textFill>
            <w14:solidFill>
              <w14:schemeClr w14:val="tx1"/>
            </w14:solidFill>
          </w14:textFill>
        </w:rPr>
        <w:t>由于水量分布不均，水利设施不配套，同时受气候和地理条件的影响，全区缺水问题主要表现为季节性缺水。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降水量年际变化较明显，境内降水量变差系数在0.15～0.27之间，降水量年内分配不均，主要集中在5月～10月，其降水量占全年总量的70%以上，通川区降水量呈地区分布不均匀特点，降水量在1150～1250mm之间，由于流域地形条件复杂，降水时空分布不均，冬干、春旱、夏旱、伏旱频繁，加之水利基础设施不足，灌溉保证率低，抗御干旱能力弱，危及粮食和人畜饮水安全，制约了农业生产及国民经济的发展。</w:t>
      </w:r>
    </w:p>
    <w:p>
      <w:pPr>
        <w:pStyle w:val="5"/>
        <w:rPr>
          <w:rFonts w:ascii="Times New Roman" w:hAnsi="Times New Roman"/>
          <w:color w:val="000000" w:themeColor="text1"/>
          <w14:textFill>
            <w14:solidFill>
              <w14:schemeClr w14:val="tx1"/>
            </w14:solidFill>
          </w14:textFill>
        </w:rPr>
      </w:pPr>
      <w:bookmarkStart w:id="110" w:name="_Toc269216737"/>
      <w:bookmarkStart w:id="111" w:name="_Toc268969531"/>
      <w:bookmarkStart w:id="112" w:name="_Toc268969915"/>
      <w:bookmarkStart w:id="113" w:name="_Toc268968420"/>
      <w:bookmarkStart w:id="114" w:name="_Toc268968301"/>
      <w:bookmarkStart w:id="115" w:name="_Toc269113291"/>
      <w:bookmarkStart w:id="116" w:name="_Toc17707"/>
      <w:r>
        <w:rPr>
          <w:rFonts w:ascii="Times New Roman" w:hAnsi="Times New Roman"/>
          <w:color w:val="000000" w:themeColor="text1"/>
          <w14:textFill>
            <w14:solidFill>
              <w14:schemeClr w14:val="tx1"/>
            </w14:solidFill>
          </w14:textFill>
        </w:rPr>
        <w:t>3.5.</w:t>
      </w:r>
      <w:bookmarkEnd w:id="110"/>
      <w:bookmarkEnd w:id="111"/>
      <w:bookmarkEnd w:id="112"/>
      <w:bookmarkEnd w:id="113"/>
      <w:bookmarkEnd w:id="114"/>
      <w:bookmarkEnd w:id="115"/>
      <w:r>
        <w:rPr>
          <w:rFonts w:ascii="Times New Roman" w:hAnsi="Times New Roman"/>
          <w:color w:val="000000" w:themeColor="text1"/>
          <w14:textFill>
            <w14:solidFill>
              <w14:schemeClr w14:val="tx1"/>
            </w14:solidFill>
          </w14:textFill>
        </w:rPr>
        <w:t>2  抗御干旱能力弱，洪涝灾害严重</w:t>
      </w:r>
      <w:bookmarkEnd w:id="116"/>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旱灾：我区西部地区属夏伏旱交错区，东部属川东伏旱区。旱灾几乎年年都有。统计1959～1994年共36年资料分析，有旱年达33年（1971、1982、1983年基本无旱），频率高达91.7%。其旱种有夏旱（5～6月），伏旱（6月下旬～9月上旬），秋旱（8月下旬～10月上旬），以及由这三种旱象组成的连旱，如夏伏旱、夏伏秋旱、秋伏旱等。36年中，夏旱（包括夏连旱）共出现10次，频率27.8%；其中重夏旱一年伏旱（包括伏连旱）共出现21次，频率58.3%；秋旱（包括秋连旱）共出现17次，频率47.2%，以伏旱频率最高，对农业生产危害最重。</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1990年5月16日至6月17日，通川区遭受了长达26天的夏旱（其间降水仅21.6mm），紧接着，从6月30日至9月12日，又连遭长达51天的伏旱加秋干（其间降水41.8mm）。农作物受旱面积达30.5万亩，缺水人口达10.7万人，粮食减产0.17亿斤，直接经济损失850万元。</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1994年7月11日至8月18日，遭受了37天的伏旱，个别乡镇长达60天，其室外气温高达40℃—50℃。当时全区14个乡镇， 14.5万人受灾。农作物受旱面积达26万亩，占种植面积的100%。严重受旱面积达6.8万亩，占44.7%。绝收面积达3.2万亩，占11.4%。据统计， 80%溪河断流。70%山坪塘干涸。14个场镇、6.9万人饮水困难。粮食损失0.2亿斤，直接经济损失达1200万元。</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洪灾：我区以州河为主要河流，其间支流密布。在每年夏秋两季，除本地暴雨形成山洪灾害外，州河过境洪水淹没灾害最为严重。特别是州河及其支流明月江两岸，是我区工业、农业和其它国民经济的集中地带，发生洪水，势必对我区造成严重损失。</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1959年以来，我区日降水大于100mm的暴雨共57站次，发生时间最早的是4月中旬，最迟是11月上旬。1982年7月、2004年9月、2005年7月、2011年9月州河和巴河发生四次特大洪水，均超过百年一遇洪水标准，给我区经济社会造成重大损失。</w:t>
      </w:r>
    </w:p>
    <w:p>
      <w:pPr>
        <w:pStyle w:val="5"/>
        <w:rPr>
          <w:rFonts w:ascii="Times New Roman" w:hAnsi="Times New Roman"/>
          <w:color w:val="000000" w:themeColor="text1"/>
          <w14:textFill>
            <w14:solidFill>
              <w14:schemeClr w14:val="tx1"/>
            </w14:solidFill>
          </w14:textFill>
        </w:rPr>
      </w:pPr>
      <w:bookmarkStart w:id="117" w:name="_Toc25342"/>
      <w:r>
        <w:rPr>
          <w:rFonts w:ascii="Times New Roman" w:hAnsi="Times New Roman"/>
          <w:color w:val="000000" w:themeColor="text1"/>
          <w14:textFill>
            <w14:solidFill>
              <w14:schemeClr w14:val="tx1"/>
            </w14:solidFill>
          </w14:textFill>
        </w:rPr>
        <w:t>3.5.3  现有工程调蓄能力不足，水资源配置体系不完善</w:t>
      </w:r>
      <w:bookmarkEnd w:id="117"/>
    </w:p>
    <w:p>
      <w:pPr>
        <w:spacing w:line="52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通川区多年平均地表径流量5.17亿m³，但目前已有水库的调蓄能力不大，总的兴利库容仅0.79亿m³，占多年平均地表径流量的15%，不能满足通川区社会经济发展对水资源的需求，特别是遇枯水年份或连续干旱年份供用水矛盾更为突出。</w:t>
      </w:r>
    </w:p>
    <w:p>
      <w:pPr>
        <w:spacing w:line="52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通川区的水资源配置工程体系不完善，已有的灌溉设施也老化严重、配套不全，部分水库枢纽建成后多年渠系配套不完善，工程现状供水能力不能满足社会经济发展的需要，由于供水能力不足，供用水矛盾较为突出，特别是灌溉高峰期，缺水尤为突出，争水、挤水现象时有发生。供水能力的不足，严重制约了区域经济社会又好又快发展，迫切需要加快水利工程的建设</w:t>
      </w:r>
      <w:r>
        <w:rPr>
          <w:color w:val="000000" w:themeColor="text1"/>
          <w14:textFill>
            <w14:solidFill>
              <w14:schemeClr w14:val="tx1"/>
            </w14:solidFill>
          </w14:textFill>
        </w:rPr>
        <w:t>，增加拦蓄汛期水量的能力；修建当地径流水利工程，增加供水量；进行节水改造；推进节水灌溉提高灌溉水利用系数，提高污水回用比例。</w:t>
      </w:r>
    </w:p>
    <w:p>
      <w:pPr>
        <w:pStyle w:val="5"/>
        <w:rPr>
          <w:rFonts w:ascii="Times New Roman" w:hAnsi="Times New Roman"/>
          <w:color w:val="000000" w:themeColor="text1"/>
          <w14:textFill>
            <w14:solidFill>
              <w14:schemeClr w14:val="tx1"/>
            </w14:solidFill>
          </w14:textFill>
        </w:rPr>
      </w:pPr>
      <w:bookmarkStart w:id="118" w:name="_Toc11365"/>
      <w:r>
        <w:rPr>
          <w:rFonts w:ascii="Times New Roman" w:hAnsi="Times New Roman"/>
          <w:color w:val="000000" w:themeColor="text1"/>
          <w14:textFill>
            <w14:solidFill>
              <w14:schemeClr w14:val="tx1"/>
            </w14:solidFill>
          </w14:textFill>
        </w:rPr>
        <w:t>3.5.4  水资源环境逐渐改善，但节约保护、监督管理亟待加强</w:t>
      </w:r>
      <w:bookmarkEnd w:id="118"/>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经过近几年水环境综合整治，通川区水环境恶化、水土流失和水污染情况得到遏制，但是仍存在部分工业和污水排放等水域污染，尤其枯期大部份河流已失了水体应有的功能。现状年对通川区6座水库进行了常规水质监测，监测结果显示大部分水库水质较好，部分水库水质相对较差。其中罗江口电站、石莲花水库、谭家河水库、三上水库水质良好，水质均为Ⅲ类。其余水库全年水质为Ⅳ类，主要超标物为化学需氧量、总磷、氨氮等属于有机污染，应引起高度重视，加强水库水质监管。</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随着通川区社会经济的快速发展，特别是城镇化加快、城市工业的高速发展，废污水排放量可能增大。污染加剧的原因除各类点源和面源污染外，重大工程建设导致的水文情势变化也值得重视，水污染防治形势依然严峻。</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渠江流域是我省水土流失较重地区，水土流失恶化了生态环境，降低了水利工程设施效益，加大了河道的防洪压力，对沿江城市的防洪安全和水资源开发利用产生了一定的不利影响。</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119" w:name="_Toc23167"/>
      <w:bookmarkStart w:id="120" w:name="_Toc25437"/>
      <w:bookmarkStart w:id="121" w:name="_Toc6675"/>
      <w:bookmarkStart w:id="122" w:name="_Toc17422"/>
      <w:bookmarkStart w:id="123" w:name="_Toc3905"/>
      <w:r>
        <w:rPr>
          <w:color w:val="000000" w:themeColor="text1"/>
          <w14:textFill>
            <w14:solidFill>
              <w14:schemeClr w14:val="tx1"/>
            </w14:solidFill>
          </w14:textFill>
        </w:rPr>
        <w:t>4  水资源一次供需平衡</w:t>
      </w:r>
      <w:bookmarkEnd w:id="119"/>
      <w:bookmarkEnd w:id="120"/>
      <w:bookmarkEnd w:id="121"/>
      <w:bookmarkEnd w:id="122"/>
      <w:bookmarkEnd w:id="123"/>
    </w:p>
    <w:p>
      <w:pPr>
        <w:pStyle w:val="4"/>
        <w:rPr>
          <w:rFonts w:ascii="Times New Roman" w:hAnsi="Times New Roman" w:cs="Times New Roman"/>
          <w:color w:val="000000" w:themeColor="text1"/>
          <w14:textFill>
            <w14:solidFill>
              <w14:schemeClr w14:val="tx1"/>
            </w14:solidFill>
          </w14:textFill>
        </w:rPr>
      </w:pPr>
      <w:bookmarkStart w:id="124" w:name="_Toc6257"/>
      <w:bookmarkStart w:id="125" w:name="_Toc14393"/>
      <w:bookmarkStart w:id="126" w:name="_Toc865"/>
      <w:bookmarkStart w:id="127" w:name="_Toc526"/>
      <w:bookmarkStart w:id="128" w:name="_Toc7346"/>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HYPERLINK \l _Toc29644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4.1  国民经济发展预测</w:t>
      </w:r>
      <w:r>
        <w:rPr>
          <w:rFonts w:ascii="Times New Roman" w:hAnsi="Times New Roman" w:cs="Times New Roman"/>
          <w:color w:val="000000" w:themeColor="text1"/>
          <w14:textFill>
            <w14:solidFill>
              <w14:schemeClr w14:val="tx1"/>
            </w14:solidFill>
          </w14:textFill>
        </w:rPr>
        <w:fldChar w:fldCharType="end"/>
      </w:r>
      <w:bookmarkEnd w:id="124"/>
      <w:bookmarkEnd w:id="125"/>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《达州市通川区国民经济和社会发展第十四个五年规划和二0三五年远景目标纲要》（以下简称《纲要》）正式对外发布。《纲要》锚定到2035年通川区将基本实现社会主义现代化。到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十四五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末，通川区在综合实力、质量效益、开放活力、城乡建设、人民生活、社会文明、生态文明、治理效能等方面取得显著提升，地区生产总值力争突破800亿，人均GDP达到7万元以上，城市目标实现，城镇化率达到80%。到2035年，新型城镇化建设基本完成。</w:t>
      </w:r>
    </w:p>
    <w:p>
      <w:pPr>
        <w:spacing w:line="52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根据通川区目前确定的“三城三地三片区”发展战略，</w:t>
      </w:r>
      <w:r>
        <w:rPr>
          <w:color w:val="000000" w:themeColor="text1"/>
          <w14:textFill>
            <w14:solidFill>
              <w14:schemeClr w14:val="tx1"/>
            </w14:solidFill>
          </w14:textFill>
        </w:rPr>
        <w:t>全区共划分成3片，</w:t>
      </w:r>
      <w:r>
        <w:rPr>
          <w:rFonts w:hint="eastAsia"/>
          <w:color w:val="000000" w:themeColor="text1"/>
          <w:szCs w:val="28"/>
          <w14:textFill>
            <w14:solidFill>
              <w14:schemeClr w14:val="tx1"/>
            </w14:solidFill>
          </w14:textFill>
        </w:rPr>
        <w:t>分别为都市商贸物流集聚片区（即城市片区）、环凤产城一体发展片区（即城乡融合片区）、北部农旅融合发展片区（即农村片区）</w:t>
      </w:r>
      <w:r>
        <w:rPr>
          <w:color w:val="000000" w:themeColor="text1"/>
          <w14:textFill>
            <w14:solidFill>
              <w14:schemeClr w14:val="tx1"/>
            </w14:solidFill>
          </w14:textFill>
        </w:rPr>
        <w:t>，城市片区紧扣建设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川渝宜居消费新中心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，着力构建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一核两极多点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消费空间布局，培育现代服务业集聚区、商贸物流集散区，打造区域高端品牌首选地、原创品牌集聚地、消费时尚创新地；城乡融合片区依托交通和产业发展优势，打造食品医药、智能制造创新发展先行地。农村片区，坚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传统农业现代化、北部产业规模化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，科学布局农业生态空间，大力发展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数字农业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园区农业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休闲农业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基于通川区的发展规划预测出2025、2030、2035水平年与需水密切相关的主要社会经济指标。</w:t>
      </w:r>
    </w:p>
    <w:p>
      <w:pPr>
        <w:pStyle w:val="5"/>
        <w:rPr>
          <w:rFonts w:ascii="Times New Roman" w:hAnsi="Times New Roman"/>
          <w:color w:val="000000" w:themeColor="text1"/>
          <w14:textFill>
            <w14:solidFill>
              <w14:schemeClr w14:val="tx1"/>
            </w14:solidFill>
          </w14:textFill>
        </w:rPr>
      </w:pPr>
      <w:bookmarkStart w:id="129" w:name="_Toc44337340"/>
      <w:bookmarkStart w:id="130" w:name="_Toc4171"/>
      <w:r>
        <w:rPr>
          <w:rFonts w:ascii="Times New Roman" w:hAnsi="Times New Roman"/>
          <w:color w:val="000000" w:themeColor="text1"/>
          <w14:textFill>
            <w14:solidFill>
              <w14:schemeClr w14:val="tx1"/>
            </w14:solidFill>
          </w14:textFill>
        </w:rPr>
        <w:t>4.1.1  区域人口及牲畜发展</w:t>
      </w:r>
      <w:bookmarkEnd w:id="129"/>
      <w:bookmarkEnd w:id="130"/>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2020年通川区国民经济和社会发展公报》，2020年常住人口及相关指标数据，待第七次全国人口普查数据发布后另行公布，因此本报告现状年人口数据采用第七次口人普查数据。根据通川区第七次人口普查成果，通川区2020年全区常住人口为90.57万人，与2010年第六次全国人口普查相比，增加31.45万人，年平均增长率为4.36%。根据区域发展规划，通川区人口在2020～2025年间自然增长率将控制在2.2%；到2025年区域总人口将由现状的90.57万人增长到2025年的100.89万人，牲畜将达到27.67万头。在2025～2030年间人口自然增长率控制在4.9%，到2030年县域总人口将达128.04万人；牲畜将达到27.72万头。在2030～2035年间人口自然增长率控制在4.6%，到2035年县域总人口将达160.52万人；牲畜将达到27.76万头。按照各城镇的发展规模预测2025年通川区的城镇化率将达到80%，全区城镇人口将达到80.44万人；2030城镇化率将达到83%，通川区的城镇人口将达到106.51万人；2035城镇化率将达到86%，通川区的城镇人口将达到138.30万人；通川区不同水平年人口及牲畜预测情况见表4.1.1</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2。通川区2020</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2035年人口增长速率基本和第六、七人口普查增长速率（4.36%）一致。</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表4.1.1   通川区不同水平年人口及牲畜预测结果表</w:t>
      </w:r>
    </w:p>
    <w:tbl>
      <w:tblPr>
        <w:tblStyle w:val="40"/>
        <w:tblW w:w="5000" w:type="pct"/>
        <w:tblInd w:w="0" w:type="dxa"/>
        <w:tblLayout w:type="fixed"/>
        <w:tblCellMar>
          <w:top w:w="0" w:type="dxa"/>
          <w:left w:w="108" w:type="dxa"/>
          <w:bottom w:w="0" w:type="dxa"/>
          <w:right w:w="108" w:type="dxa"/>
        </w:tblCellMar>
      </w:tblPr>
      <w:tblGrid>
        <w:gridCol w:w="961"/>
        <w:gridCol w:w="1132"/>
        <w:gridCol w:w="2125"/>
        <w:gridCol w:w="993"/>
        <w:gridCol w:w="851"/>
        <w:gridCol w:w="849"/>
        <w:gridCol w:w="853"/>
        <w:gridCol w:w="758"/>
      </w:tblGrid>
      <w:tr>
        <w:tblPrEx>
          <w:tblCellMar>
            <w:top w:w="0" w:type="dxa"/>
            <w:left w:w="108" w:type="dxa"/>
            <w:bottom w:w="0" w:type="dxa"/>
            <w:right w:w="108" w:type="dxa"/>
          </w:tblCellMar>
        </w:tblPrEx>
        <w:trPr>
          <w:trHeight w:val="340" w:hRule="atLeast"/>
          <w:tblHeader/>
        </w:trPr>
        <w:tc>
          <w:tcPr>
            <w:tcW w:w="564" w:type="pct"/>
            <w:tcBorders>
              <w:top w:val="single" w:color="auto" w:sz="4" w:space="0"/>
              <w:left w:val="single" w:color="auto" w:sz="4" w:space="0"/>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水平年</w:t>
            </w:r>
          </w:p>
        </w:tc>
        <w:tc>
          <w:tcPr>
            <w:tcW w:w="1911" w:type="pct"/>
            <w:gridSpan w:val="2"/>
            <w:tcBorders>
              <w:top w:val="single" w:color="auto" w:sz="4" w:space="0"/>
              <w:left w:val="nil"/>
              <w:bottom w:val="single" w:color="auto" w:sz="4" w:space="0"/>
              <w:right w:val="single" w:color="000000"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分片</w:t>
            </w:r>
          </w:p>
        </w:tc>
        <w:tc>
          <w:tcPr>
            <w:tcW w:w="583" w:type="pct"/>
            <w:tcBorders>
              <w:top w:val="single" w:color="auto" w:sz="4" w:space="0"/>
              <w:left w:val="nil"/>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总人口</w:t>
            </w:r>
          </w:p>
        </w:tc>
        <w:tc>
          <w:tcPr>
            <w:tcW w:w="499" w:type="pct"/>
            <w:tcBorders>
              <w:top w:val="single" w:color="auto" w:sz="4" w:space="0"/>
              <w:left w:val="nil"/>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城镇人口</w:t>
            </w:r>
          </w:p>
        </w:tc>
        <w:tc>
          <w:tcPr>
            <w:tcW w:w="498" w:type="pct"/>
            <w:tcBorders>
              <w:top w:val="single" w:color="auto" w:sz="4" w:space="0"/>
              <w:left w:val="nil"/>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农村人口</w:t>
            </w:r>
          </w:p>
        </w:tc>
        <w:tc>
          <w:tcPr>
            <w:tcW w:w="500" w:type="pct"/>
            <w:tcBorders>
              <w:top w:val="single" w:color="auto" w:sz="4" w:space="0"/>
              <w:left w:val="nil"/>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牲畜</w:t>
            </w:r>
          </w:p>
        </w:tc>
        <w:tc>
          <w:tcPr>
            <w:tcW w:w="445" w:type="pct"/>
            <w:tcBorders>
              <w:top w:val="single" w:color="auto" w:sz="4" w:space="0"/>
              <w:left w:val="nil"/>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＃大牲畜</w:t>
            </w:r>
          </w:p>
        </w:tc>
      </w:tr>
      <w:tr>
        <w:tblPrEx>
          <w:tblCellMar>
            <w:top w:w="0" w:type="dxa"/>
            <w:left w:w="108" w:type="dxa"/>
            <w:bottom w:w="0" w:type="dxa"/>
            <w:right w:w="108" w:type="dxa"/>
          </w:tblCellMar>
        </w:tblPrEx>
        <w:trPr>
          <w:trHeight w:val="340" w:hRule="atLeast"/>
        </w:trPr>
        <w:tc>
          <w:tcPr>
            <w:tcW w:w="5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2020</w:t>
            </w: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color w:val="000000" w:themeColor="text1"/>
                <w14:textFill>
                  <w14:solidFill>
                    <w14:schemeClr w14:val="tx1"/>
                  </w14:solidFill>
                </w14:textFill>
              </w:rPr>
            </w:pPr>
            <w:r>
              <w:rPr>
                <w:rFonts w:eastAsia="宋体"/>
                <w:color w:val="000000" w:themeColor="text1"/>
                <w:kern w:val="0"/>
                <w:sz w:val="24"/>
                <w14:textFill>
                  <w14:solidFill>
                    <w14:schemeClr w14:val="tx1"/>
                  </w14:solidFill>
                </w14:textFill>
              </w:rPr>
              <w:t>城区片</w:t>
            </w:r>
          </w:p>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（石莲花水库片）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64.46</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60.14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4.32</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0.03</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7.63</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4.30</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3.33</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6.41</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0.85</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9.66</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5.12</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2.91</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0.20</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0.31</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0.26</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3.45</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0.28</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0.78</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3.05</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0.30</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2.75</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6.06</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0.68</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0.28</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0.86</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3.40</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0.31</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911" w:type="pct"/>
            <w:gridSpan w:val="2"/>
            <w:tcBorders>
              <w:top w:val="single" w:color="auto" w:sz="4" w:space="0"/>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90.57</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70.15</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20.42</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27.62</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3.12</w:t>
            </w:r>
          </w:p>
        </w:tc>
      </w:tr>
      <w:tr>
        <w:tblPrEx>
          <w:tblCellMar>
            <w:top w:w="0" w:type="dxa"/>
            <w:left w:w="108" w:type="dxa"/>
            <w:bottom w:w="0" w:type="dxa"/>
            <w:right w:w="108" w:type="dxa"/>
          </w:tblCellMar>
        </w:tblPrEx>
        <w:trPr>
          <w:trHeight w:val="340" w:hRule="atLeast"/>
        </w:trPr>
        <w:tc>
          <w:tcPr>
            <w:tcW w:w="5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2025</w:t>
            </w: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color w:val="000000" w:themeColor="text1"/>
                <w14:textFill>
                  <w14:solidFill>
                    <w14:schemeClr w14:val="tx1"/>
                  </w14:solidFill>
                </w14:textFill>
              </w:rPr>
            </w:pPr>
            <w:r>
              <w:rPr>
                <w:rFonts w:eastAsia="宋体"/>
                <w:color w:val="000000" w:themeColor="text1"/>
                <w:kern w:val="0"/>
                <w:sz w:val="24"/>
                <w14:textFill>
                  <w14:solidFill>
                    <w14:schemeClr w14:val="tx1"/>
                  </w14:solidFill>
                </w14:textFill>
              </w:rPr>
              <w:t>城区片</w:t>
            </w:r>
          </w:p>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（石莲花水库片）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73.55</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69.35</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4.19</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0.03</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7.87</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4.59</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3.28</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6.42</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0.86</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10.40</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5.11</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5.28</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2.91</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0.20</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1.22</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0.26</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3.55</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0.36</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3.20</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6.76</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0.80</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0.37</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6.07</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0.69</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1.17</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0.31</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0.86</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3.40</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0.32</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911" w:type="pct"/>
            <w:gridSpan w:val="2"/>
            <w:tcBorders>
              <w:top w:val="single" w:color="auto" w:sz="4" w:space="0"/>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100.89</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80.44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20.45</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27.67</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3.17</w:t>
            </w:r>
          </w:p>
        </w:tc>
      </w:tr>
      <w:tr>
        <w:tblPrEx>
          <w:tblCellMar>
            <w:top w:w="0" w:type="dxa"/>
            <w:left w:w="108" w:type="dxa"/>
            <w:bottom w:w="0" w:type="dxa"/>
            <w:right w:w="108" w:type="dxa"/>
          </w:tblCellMar>
        </w:tblPrEx>
        <w:trPr>
          <w:trHeight w:val="340" w:hRule="atLeast"/>
        </w:trPr>
        <w:tc>
          <w:tcPr>
            <w:tcW w:w="5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2030</w:t>
            </w: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color w:val="000000" w:themeColor="text1"/>
                <w14:textFill>
                  <w14:solidFill>
                    <w14:schemeClr w14:val="tx1"/>
                  </w14:solidFill>
                </w14:textFill>
              </w:rPr>
            </w:pPr>
            <w:r>
              <w:rPr>
                <w:rFonts w:eastAsia="宋体"/>
                <w:color w:val="000000" w:themeColor="text1"/>
                <w:kern w:val="0"/>
                <w:sz w:val="24"/>
                <w14:textFill>
                  <w14:solidFill>
                    <w14:schemeClr w14:val="tx1"/>
                  </w14:solidFill>
                </w14:textFill>
              </w:rPr>
              <w:t>城区片</w:t>
            </w:r>
          </w:p>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（石莲花水库片）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98.14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93.60</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4.54</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0.03</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4.91</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3.23</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6.43</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0.88</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6.37</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2.92</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0.21</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1.26</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0.38</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0.88</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1.96</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0.27</w:t>
            </w:r>
          </w:p>
        </w:tc>
      </w:tr>
      <w:tr>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3.68</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3.24</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6.77</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0.81</w:t>
            </w:r>
          </w:p>
        </w:tc>
      </w:tr>
      <w:tr>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3.25</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0.45</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2.80</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6.08</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0.70</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1.21</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3.41</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0.32</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911" w:type="pct"/>
            <w:gridSpan w:val="2"/>
            <w:tcBorders>
              <w:top w:val="single" w:color="auto" w:sz="4" w:space="0"/>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128.04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106.51</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21.53</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27.72</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3.21</w:t>
            </w:r>
          </w:p>
        </w:tc>
      </w:tr>
      <w:tr>
        <w:tblPrEx>
          <w:tblCellMar>
            <w:top w:w="0" w:type="dxa"/>
            <w:left w:w="108" w:type="dxa"/>
            <w:bottom w:w="0" w:type="dxa"/>
            <w:right w:w="108" w:type="dxa"/>
          </w:tblCellMar>
        </w:tblPrEx>
        <w:trPr>
          <w:trHeight w:val="340" w:hRule="atLeast"/>
        </w:trPr>
        <w:tc>
          <w:tcPr>
            <w:tcW w:w="5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2035</w:t>
            </w: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color w:val="000000" w:themeColor="text1"/>
                <w14:textFill>
                  <w14:solidFill>
                    <w14:schemeClr w14:val="tx1"/>
                  </w14:solidFill>
                </w14:textFill>
              </w:rPr>
            </w:pPr>
            <w:r>
              <w:rPr>
                <w:rFonts w:eastAsia="宋体"/>
                <w:color w:val="000000" w:themeColor="text1"/>
                <w:kern w:val="0"/>
                <w:sz w:val="24"/>
                <w14:textFill>
                  <w14:solidFill>
                    <w14:schemeClr w14:val="tx1"/>
                  </w14:solidFill>
                </w14:textFill>
              </w:rPr>
              <w:t>城区片</w:t>
            </w:r>
          </w:p>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（石莲花水库片）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128.27</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123.54</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4.73</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0.03</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8.35</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5.20</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3.15</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6.45</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0.89</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14.26</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7.70</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6.56</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2.92</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0.21</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1.29</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0.41</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0.88</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1.96</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0.27</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3.77</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0.53</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3.24</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6.78</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0.82</w:t>
            </w:r>
          </w:p>
        </w:tc>
      </w:tr>
      <w:tr>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3.33</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0.53</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2.80</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6.09</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0.72</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64" w:type="pct"/>
            <w:tcBorders>
              <w:top w:val="nil"/>
              <w:left w:val="nil"/>
              <w:bottom w:val="single" w:color="auto" w:sz="4" w:space="0"/>
              <w:right w:val="single" w:color="auto" w:sz="4" w:space="0"/>
            </w:tcBorders>
            <w:shd w:val="clear" w:color="auto" w:fill="auto"/>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247" w:type="pct"/>
            <w:tcBorders>
              <w:top w:val="nil"/>
              <w:left w:val="nil"/>
              <w:bottom w:val="single" w:color="auto" w:sz="4" w:space="0"/>
              <w:right w:val="single" w:color="auto" w:sz="4" w:space="0"/>
            </w:tcBorders>
            <w:shd w:val="clear" w:color="000000" w:fill="FFFFFF"/>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1.24</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0.38</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0.87</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3.41</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0.33</w:t>
            </w:r>
          </w:p>
        </w:tc>
      </w:tr>
      <w:tr>
        <w:tblPrEx>
          <w:tblCellMar>
            <w:top w:w="0" w:type="dxa"/>
            <w:left w:w="108" w:type="dxa"/>
            <w:bottom w:w="0" w:type="dxa"/>
            <w:right w:w="108" w:type="dxa"/>
          </w:tblCellMar>
        </w:tblPrEx>
        <w:trPr>
          <w:trHeight w:val="340" w:hRule="atLeast"/>
        </w:trPr>
        <w:tc>
          <w:tcPr>
            <w:tcW w:w="564" w:type="pct"/>
            <w:vMerge w:val="continue"/>
            <w:tcBorders>
              <w:top w:val="nil"/>
              <w:left w:val="single" w:color="auto" w:sz="4" w:space="0"/>
              <w:bottom w:val="single" w:color="auto" w:sz="4" w:space="0"/>
              <w:right w:val="single" w:color="auto" w:sz="4" w:space="0"/>
            </w:tcBorders>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911" w:type="pct"/>
            <w:gridSpan w:val="2"/>
            <w:tcBorders>
              <w:top w:val="single" w:color="auto" w:sz="4" w:space="0"/>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83"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160.52</w:t>
            </w:r>
          </w:p>
        </w:tc>
        <w:tc>
          <w:tcPr>
            <w:tcW w:w="499"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138.30</w:t>
            </w:r>
          </w:p>
        </w:tc>
        <w:tc>
          <w:tcPr>
            <w:tcW w:w="498"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22.22</w:t>
            </w:r>
          </w:p>
        </w:tc>
        <w:tc>
          <w:tcPr>
            <w:tcW w:w="500"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27.76</w:t>
            </w:r>
          </w:p>
        </w:tc>
        <w:tc>
          <w:tcPr>
            <w:tcW w:w="445" w:type="pct"/>
            <w:tcBorders>
              <w:top w:val="nil"/>
              <w:left w:val="nil"/>
              <w:bottom w:val="single" w:color="auto" w:sz="4" w:space="0"/>
              <w:right w:val="single" w:color="auto" w:sz="4" w:space="0"/>
            </w:tcBorders>
            <w:noWrap/>
            <w:vAlign w:val="center"/>
          </w:tcPr>
          <w:p>
            <w:pPr>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3.26</w:t>
            </w:r>
          </w:p>
        </w:tc>
      </w:tr>
    </w:tbl>
    <w:p>
      <w:pPr>
        <w:ind w:firstLine="560"/>
        <w:rPr>
          <w:color w:val="000000" w:themeColor="text1"/>
          <w14:textFill>
            <w14:solidFill>
              <w14:schemeClr w14:val="tx1"/>
            </w14:solidFill>
          </w14:textFill>
        </w:rPr>
      </w:pP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表4.1.2   通川区乡镇不同水平年人口及牲畜预测结果表</w:t>
      </w:r>
    </w:p>
    <w:tbl>
      <w:tblPr>
        <w:tblStyle w:val="40"/>
        <w:tblW w:w="5000" w:type="pct"/>
        <w:tblInd w:w="0" w:type="dxa"/>
        <w:tblLayout w:type="fixed"/>
        <w:tblCellMar>
          <w:top w:w="0" w:type="dxa"/>
          <w:left w:w="108" w:type="dxa"/>
          <w:bottom w:w="0" w:type="dxa"/>
          <w:right w:w="108" w:type="dxa"/>
        </w:tblCellMar>
      </w:tblPr>
      <w:tblGrid>
        <w:gridCol w:w="1243"/>
        <w:gridCol w:w="1277"/>
        <w:gridCol w:w="1133"/>
        <w:gridCol w:w="1277"/>
        <w:gridCol w:w="1133"/>
        <w:gridCol w:w="1277"/>
        <w:gridCol w:w="1182"/>
      </w:tblGrid>
      <w:tr>
        <w:tblPrEx>
          <w:tblCellMar>
            <w:top w:w="0" w:type="dxa"/>
            <w:left w:w="108" w:type="dxa"/>
            <w:bottom w:w="0" w:type="dxa"/>
            <w:right w:w="108" w:type="dxa"/>
          </w:tblCellMar>
        </w:tblPrEx>
        <w:trPr>
          <w:trHeight w:val="283" w:hRule="atLeast"/>
          <w:tblHeader/>
        </w:trPr>
        <w:tc>
          <w:tcPr>
            <w:tcW w:w="729" w:type="pct"/>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水平年</w:t>
            </w:r>
          </w:p>
        </w:tc>
        <w:tc>
          <w:tcPr>
            <w:tcW w:w="749" w:type="pct"/>
            <w:tcBorders>
              <w:top w:val="single" w:color="auto" w:sz="4" w:space="0"/>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乡镇</w:t>
            </w:r>
          </w:p>
        </w:tc>
        <w:tc>
          <w:tcPr>
            <w:tcW w:w="665"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总人口</w:t>
            </w:r>
          </w:p>
        </w:tc>
        <w:tc>
          <w:tcPr>
            <w:tcW w:w="749"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城镇人口</w:t>
            </w:r>
          </w:p>
        </w:tc>
        <w:tc>
          <w:tcPr>
            <w:tcW w:w="665"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农村人口</w:t>
            </w:r>
          </w:p>
        </w:tc>
        <w:tc>
          <w:tcPr>
            <w:tcW w:w="749"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牲畜</w:t>
            </w:r>
          </w:p>
        </w:tc>
        <w:tc>
          <w:tcPr>
            <w:tcW w:w="694"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＃大牲畜</w:t>
            </w:r>
          </w:p>
        </w:tc>
      </w:tr>
      <w:tr>
        <w:tblPrEx>
          <w:tblCellMar>
            <w:top w:w="0" w:type="dxa"/>
            <w:left w:w="108" w:type="dxa"/>
            <w:bottom w:w="0" w:type="dxa"/>
            <w:right w:w="108" w:type="dxa"/>
          </w:tblCellMar>
        </w:tblPrEx>
        <w:trPr>
          <w:trHeight w:val="283" w:hRule="atLeast"/>
        </w:trPr>
        <w:tc>
          <w:tcPr>
            <w:tcW w:w="72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17.86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17.86</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16.34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16.34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26.20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23.99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4.05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3.40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2.43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3.34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1.38</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5.94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3.02</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2.92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0.58</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3.73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1.53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0.17</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0.26</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0.06</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1.17</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0.15</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2.49</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90.57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71.87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18.89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25.33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3.95</w:t>
            </w:r>
          </w:p>
        </w:tc>
      </w:tr>
      <w:tr>
        <w:tblPrEx>
          <w:tblCellMar>
            <w:top w:w="0" w:type="dxa"/>
            <w:left w:w="108" w:type="dxa"/>
            <w:bottom w:w="0" w:type="dxa"/>
            <w:right w:w="108" w:type="dxa"/>
          </w:tblCellMar>
        </w:tblPrEx>
        <w:trPr>
          <w:trHeight w:val="283" w:hRule="atLeast"/>
        </w:trPr>
        <w:tc>
          <w:tcPr>
            <w:tcW w:w="72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20.21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20.21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18.49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18.49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30.38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28.42</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4.47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3.50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2.57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1.77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5.64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0.56</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6.56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3.46</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3.09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0.58</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3.84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0.17</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0.26</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0.12</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1.17</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0.15</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2.50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合计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100.89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80.44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20.45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27.67</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3.17</w:t>
            </w:r>
          </w:p>
        </w:tc>
      </w:tr>
      <w:tr>
        <w:tblPrEx>
          <w:tblCellMar>
            <w:top w:w="0" w:type="dxa"/>
            <w:left w:w="108" w:type="dxa"/>
            <w:bottom w:w="0" w:type="dxa"/>
            <w:right w:w="108" w:type="dxa"/>
          </w:tblCellMar>
        </w:tblPrEx>
        <w:trPr>
          <w:trHeight w:val="283" w:hRule="atLeast"/>
        </w:trPr>
        <w:tc>
          <w:tcPr>
            <w:tcW w:w="72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27.04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27.04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24.74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24.74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40.65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38.85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5.71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2.97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1.26</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3.63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0.62</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2.43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1.79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5.65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0.56</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8.37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4.58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3.78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0.58</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3.98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1.79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0.18</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0.27</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0.15</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1.17</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0.14</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0.07</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0.15</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2.50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合计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128.04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106.51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21.53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27.72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3.21</w:t>
            </w:r>
          </w:p>
        </w:tc>
      </w:tr>
      <w:tr>
        <w:tblPrEx>
          <w:tblCellMar>
            <w:top w:w="0" w:type="dxa"/>
            <w:left w:w="108" w:type="dxa"/>
            <w:bottom w:w="0" w:type="dxa"/>
            <w:right w:w="108" w:type="dxa"/>
          </w:tblCellMar>
        </w:tblPrEx>
        <w:trPr>
          <w:trHeight w:val="283" w:hRule="atLeast"/>
        </w:trPr>
        <w:tc>
          <w:tcPr>
            <w:tcW w:w="72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2035</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35.34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35.34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32.34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32.34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53.13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51.83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7.46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4.03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3.43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0.02</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1.34</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0.99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3.72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2.88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0.84</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1.13</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0.66</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0.10</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2.49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1.78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5.65</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0.57</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10.18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5.78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4.40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0.58</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4.08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1.92</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2.34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0.18</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0.41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1.96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0.27</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0.18</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2.16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0.34</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0.68</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0.57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0.66</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1.17</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0.14</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1.00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0.12</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0.89</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1.84</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0.21</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0.09</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0.73</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1.37</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0.15</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1.42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0.21</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1.21</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2.51</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0.33</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1.10</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0.23</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0.87</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2.22</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0.24</w:t>
            </w:r>
          </w:p>
        </w:tc>
      </w:tr>
      <w:tr>
        <w:tblPrEx>
          <w:tblCellMar>
            <w:top w:w="0" w:type="dxa"/>
            <w:left w:w="108" w:type="dxa"/>
            <w:bottom w:w="0" w:type="dxa"/>
            <w:right w:w="108" w:type="dxa"/>
          </w:tblCellMar>
        </w:tblPrEx>
        <w:trPr>
          <w:trHeight w:val="283" w:hRule="atLeast"/>
        </w:trPr>
        <w:tc>
          <w:tcPr>
            <w:tcW w:w="72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合计</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160.52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138.30</w:t>
            </w:r>
          </w:p>
        </w:tc>
        <w:tc>
          <w:tcPr>
            <w:tcW w:w="665"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22.22</w:t>
            </w:r>
          </w:p>
        </w:tc>
        <w:tc>
          <w:tcPr>
            <w:tcW w:w="74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27.76</w:t>
            </w:r>
          </w:p>
        </w:tc>
        <w:tc>
          <w:tcPr>
            <w:tcW w:w="69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14:textFill>
                  <w14:solidFill>
                    <w14:schemeClr w14:val="tx1"/>
                  </w14:solidFill>
                </w14:textFill>
              </w:rPr>
              <w:t>3.26</w:t>
            </w:r>
          </w:p>
        </w:tc>
      </w:tr>
    </w:tbl>
    <w:p>
      <w:pPr>
        <w:ind w:firstLine="560"/>
        <w:rPr>
          <w:color w:val="000000" w:themeColor="text1"/>
          <w14:textFill>
            <w14:solidFill>
              <w14:schemeClr w14:val="tx1"/>
            </w14:solidFill>
          </w14:textFill>
        </w:rPr>
      </w:pPr>
    </w:p>
    <w:p>
      <w:pPr>
        <w:pStyle w:val="5"/>
        <w:rPr>
          <w:rFonts w:ascii="Times New Roman" w:hAnsi="Times New Roman"/>
          <w:color w:val="000000" w:themeColor="text1"/>
          <w14:textFill>
            <w14:solidFill>
              <w14:schemeClr w14:val="tx1"/>
            </w14:solidFill>
          </w14:textFill>
        </w:rPr>
      </w:pPr>
      <w:bookmarkStart w:id="131" w:name="_Toc13403"/>
      <w:r>
        <w:rPr>
          <w:rFonts w:ascii="Times New Roman" w:hAnsi="Times New Roman"/>
          <w:color w:val="000000" w:themeColor="text1"/>
          <w14:textFill>
            <w14:solidFill>
              <w14:schemeClr w14:val="tx1"/>
            </w14:solidFill>
          </w14:textFill>
        </w:rPr>
        <w:t>4.1.2  二、三产业发展</w:t>
      </w:r>
      <w:bookmarkEnd w:id="131"/>
    </w:p>
    <w:p>
      <w:pPr>
        <w:spacing w:line="520" w:lineRule="exact"/>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w:t>
      </w:r>
      <w:r>
        <w:rPr>
          <w:color w:val="000000" w:themeColor="text1"/>
          <w:szCs w:val="28"/>
          <w14:textFill>
            <w14:solidFill>
              <w14:schemeClr w14:val="tx1"/>
            </w14:solidFill>
          </w14:textFill>
        </w:rPr>
        <w:t>三城三地三片区</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发展战略（实力之城、活力之城、魅力之城，通达开放前沿地、城郊旅游目的地、幸福宜居首选地，都市商贸物流集聚片区、环凤产城一体发展片区、北部农旅融合发展片区）的提出，市第五次党代会，提出了达州建设重要经济、创新创业、交通物流、文化旅游、幸福宜居</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五个中心</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的奋斗方向，</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五个中心</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都与通川悉悉相关，</w:t>
      </w:r>
      <w:r>
        <w:rPr>
          <w:rFonts w:hint="eastAsia"/>
          <w:color w:val="000000" w:themeColor="text1"/>
          <w:szCs w:val="28"/>
          <w14:textFill>
            <w14:solidFill>
              <w14:schemeClr w14:val="tx1"/>
            </w14:solidFill>
          </w14:textFill>
        </w:rPr>
        <w:t>通过</w:t>
      </w:r>
      <w:r>
        <w:rPr>
          <w:color w:val="000000" w:themeColor="text1"/>
          <w:szCs w:val="28"/>
          <w14:textFill>
            <w14:solidFill>
              <w14:schemeClr w14:val="tx1"/>
            </w14:solidFill>
          </w14:textFill>
        </w:rPr>
        <w:t>建设</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三城三地三片区</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，既是通川助力达州建设</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五个中心</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的坚定行动，也是通川借助达州建设</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五个中心</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大势，做大做强特色产业、支柱产业的重要抓手。</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发展规划，通川区将充分发挥区位优势，积极运用高新技术和先进适用技术，加快经济发展，到2025年全区的工业增加值将由现状的64.62亿元增加到86.48亿元；到2030年全区的工业增加值将增加到113.02亿元；到2035年</w:t>
      </w:r>
      <w:r>
        <w:rPr>
          <w:rFonts w:hint="eastAsia"/>
          <w:color w:val="000000" w:themeColor="text1"/>
          <w:szCs w:val="28"/>
          <w14:textFill>
            <w14:solidFill>
              <w14:schemeClr w14:val="tx1"/>
            </w14:solidFill>
          </w14:textFill>
        </w:rPr>
        <w:t>全区</w:t>
      </w:r>
      <w:r>
        <w:rPr>
          <w:color w:val="000000" w:themeColor="text1"/>
          <w:szCs w:val="28"/>
          <w14:textFill>
            <w14:solidFill>
              <w14:schemeClr w14:val="tx1"/>
            </w14:solidFill>
          </w14:textFill>
        </w:rPr>
        <w:t>的工业增加值增加到137.51亿元；到2035年建筑业增加值将由现状的46.08亿元增加到98.06亿元；到2035年第三产业增加值将增加到496.88亿元。</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不同水平年通川区第二、三产业增加值预测结果如表4.1.3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4。</w:t>
      </w:r>
    </w:p>
    <w:p>
      <w:pPr>
        <w:widowControl/>
        <w:adjustRightInd/>
        <w:snapToGrid/>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表4.1.3  通川区不同水平年第二、三产业增加值预测结果表</w:t>
      </w:r>
    </w:p>
    <w:tbl>
      <w:tblPr>
        <w:tblStyle w:val="40"/>
        <w:tblW w:w="5000" w:type="pct"/>
        <w:tblInd w:w="0" w:type="dxa"/>
        <w:tblLayout w:type="autofit"/>
        <w:tblCellMar>
          <w:top w:w="0" w:type="dxa"/>
          <w:left w:w="108" w:type="dxa"/>
          <w:bottom w:w="0" w:type="dxa"/>
          <w:right w:w="108" w:type="dxa"/>
        </w:tblCellMar>
      </w:tblPr>
      <w:tblGrid>
        <w:gridCol w:w="696"/>
        <w:gridCol w:w="1176"/>
        <w:gridCol w:w="2856"/>
        <w:gridCol w:w="876"/>
        <w:gridCol w:w="876"/>
        <w:gridCol w:w="769"/>
        <w:gridCol w:w="1273"/>
      </w:tblGrid>
      <w:tr>
        <w:tblPrEx>
          <w:tblCellMar>
            <w:top w:w="0" w:type="dxa"/>
            <w:left w:w="108" w:type="dxa"/>
            <w:bottom w:w="0" w:type="dxa"/>
            <w:right w:w="108" w:type="dxa"/>
          </w:tblCellMar>
        </w:tblPrEx>
        <w:trPr>
          <w:trHeight w:val="340" w:hRule="atLeast"/>
          <w:tblHeader/>
        </w:trPr>
        <w:tc>
          <w:tcPr>
            <w:tcW w:w="492"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水平年</w:t>
            </w:r>
          </w:p>
        </w:tc>
        <w:tc>
          <w:tcPr>
            <w:tcW w:w="1457" w:type="pct"/>
            <w:gridSpan w:val="2"/>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分片</w:t>
            </w:r>
          </w:p>
        </w:tc>
        <w:tc>
          <w:tcPr>
            <w:tcW w:w="2122" w:type="pct"/>
            <w:gridSpan w:val="3"/>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第二产业</w:t>
            </w:r>
          </w:p>
        </w:tc>
        <w:tc>
          <w:tcPr>
            <w:tcW w:w="928"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第三产业</w:t>
            </w:r>
          </w:p>
        </w:tc>
      </w:tr>
      <w:tr>
        <w:tblPrEx>
          <w:tblCellMar>
            <w:top w:w="0" w:type="dxa"/>
            <w:left w:w="108" w:type="dxa"/>
            <w:bottom w:w="0" w:type="dxa"/>
            <w:right w:w="108" w:type="dxa"/>
          </w:tblCellMar>
        </w:tblPrEx>
        <w:trPr>
          <w:trHeight w:val="340" w:hRule="atLeast"/>
          <w:tblHeader/>
        </w:trPr>
        <w:tc>
          <w:tcPr>
            <w:tcW w:w="492"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457" w:type="pct"/>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541"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41"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#工业</w:t>
            </w:r>
          </w:p>
        </w:tc>
        <w:tc>
          <w:tcPr>
            <w:tcW w:w="1040"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#建筑业</w:t>
            </w:r>
          </w:p>
        </w:tc>
        <w:tc>
          <w:tcPr>
            <w:tcW w:w="928"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340" w:hRule="atLeast"/>
        </w:trPr>
        <w:tc>
          <w:tcPr>
            <w:tcW w:w="4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2020</w:t>
            </w: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94.90</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55.40</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39.50</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173.69</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6.79</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3.96</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2.82</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12.42</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7.17</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4.19</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2.99</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13.13</w:t>
            </w:r>
          </w:p>
        </w:tc>
      </w:tr>
      <w:tr>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0.49</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0.28</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0.20</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0.89</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0.26</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0.18</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0.80</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0.48</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0.28</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0.20</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0.87</w:t>
            </w:r>
          </w:p>
        </w:tc>
      </w:tr>
      <w:tr>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0.26</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0.18</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0.80</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457"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110.70</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64.62</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46.08</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202.60</w:t>
            </w:r>
          </w:p>
        </w:tc>
      </w:tr>
      <w:tr>
        <w:tblPrEx>
          <w:tblCellMar>
            <w:top w:w="0" w:type="dxa"/>
            <w:left w:w="108" w:type="dxa"/>
            <w:bottom w:w="0" w:type="dxa"/>
            <w:right w:w="108" w:type="dxa"/>
          </w:tblCellMar>
        </w:tblPrEx>
        <w:trPr>
          <w:trHeight w:val="340" w:hRule="atLeast"/>
        </w:trPr>
        <w:tc>
          <w:tcPr>
            <w:tcW w:w="4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2025</w:t>
            </w: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127.00</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74.14</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52.87</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243.61</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9.08</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5.30</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3.78</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17.42</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9.60</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5.60</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4.00</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18.41</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0.65</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0.38</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0.27</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1.25</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0.59</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0.34</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0.24</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1.12</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0.64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0.37</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0.27</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0.59</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0.34</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0.24</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1.12</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457"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148.14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86.48</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61.67</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284.16</w:t>
            </w:r>
          </w:p>
        </w:tc>
      </w:tr>
      <w:tr>
        <w:tblPrEx>
          <w:tblCellMar>
            <w:top w:w="0" w:type="dxa"/>
            <w:left w:w="108" w:type="dxa"/>
            <w:bottom w:w="0" w:type="dxa"/>
            <w:right w:w="108" w:type="dxa"/>
          </w:tblCellMar>
        </w:tblPrEx>
        <w:trPr>
          <w:trHeight w:val="340" w:hRule="atLeast"/>
        </w:trPr>
        <w:tc>
          <w:tcPr>
            <w:tcW w:w="4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2030</w:t>
            </w: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165.99</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96.89</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69.09</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333.77</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11.87</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6.93</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4.94</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23.86</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12.54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7.32</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5.22</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25.22</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0.85</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0.50</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0.35</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1.71</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0.77</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0.45</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0.32</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1.54</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0.49</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0.35</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1.68</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0.77</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0.45</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0.32</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1.54</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457"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193.62</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113.02</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80.59</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389.32</w:t>
            </w:r>
          </w:p>
        </w:tc>
      </w:tr>
      <w:tr>
        <w:tblPrEx>
          <w:tblCellMar>
            <w:top w:w="0" w:type="dxa"/>
            <w:left w:w="108" w:type="dxa"/>
            <w:bottom w:w="0" w:type="dxa"/>
            <w:right w:w="108" w:type="dxa"/>
          </w:tblCellMar>
        </w:tblPrEx>
        <w:trPr>
          <w:trHeight w:val="340" w:hRule="atLeast"/>
        </w:trPr>
        <w:tc>
          <w:tcPr>
            <w:tcW w:w="4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2035</w:t>
            </w: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201.95</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117.89</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84.06</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425.98</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14.44</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8.43</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6.01</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30.46</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15.26</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8.91</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6.35</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32.19</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0.60</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0.43</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2.18</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0.93</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0.54</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0.39</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1.96</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1.02</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0.59</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0.42</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2.14</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450"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100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0.93</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0.54</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0.39</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1.97</w:t>
            </w:r>
          </w:p>
        </w:tc>
      </w:tr>
      <w:tr>
        <w:tblPrEx>
          <w:tblCellMar>
            <w:top w:w="0" w:type="dxa"/>
            <w:left w:w="108" w:type="dxa"/>
            <w:bottom w:w="0" w:type="dxa"/>
            <w:right w:w="108" w:type="dxa"/>
          </w:tblCellMar>
        </w:tblPrEx>
        <w:trPr>
          <w:trHeight w:val="340" w:hRule="atLeast"/>
        </w:trPr>
        <w:tc>
          <w:tcPr>
            <w:tcW w:w="49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p>
        </w:tc>
        <w:tc>
          <w:tcPr>
            <w:tcW w:w="1457"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235.56</w:t>
            </w:r>
          </w:p>
        </w:tc>
        <w:tc>
          <w:tcPr>
            <w:tcW w:w="5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137.51</w:t>
            </w:r>
          </w:p>
        </w:tc>
        <w:tc>
          <w:tcPr>
            <w:tcW w:w="104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98.06</w:t>
            </w:r>
          </w:p>
        </w:tc>
        <w:tc>
          <w:tcPr>
            <w:tcW w:w="92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496.88</w:t>
            </w:r>
          </w:p>
        </w:tc>
      </w:tr>
    </w:tbl>
    <w:p>
      <w:pPr>
        <w:pStyle w:val="51"/>
        <w:spacing w:before="156"/>
        <w:ind w:firstLine="528"/>
        <w:rPr>
          <w:rFonts w:cs="Times New Roman"/>
          <w:color w:val="000000" w:themeColor="text1"/>
          <w14:textFill>
            <w14:solidFill>
              <w14:schemeClr w14:val="tx1"/>
            </w14:solidFill>
          </w14:textFill>
        </w:rPr>
      </w:pPr>
    </w:p>
    <w:p>
      <w:pPr>
        <w:pStyle w:val="13"/>
        <w:ind w:firstLine="480"/>
        <w:rPr>
          <w:color w:val="000000" w:themeColor="text1"/>
          <w14:textFill>
            <w14:solidFill>
              <w14:schemeClr w14:val="tx1"/>
            </w14:solidFill>
          </w14:textFill>
        </w:rPr>
      </w:pP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表4.1.4  不同水平年第二、三产业增加值预测结果表（分乡镇）</w:t>
      </w:r>
    </w:p>
    <w:tbl>
      <w:tblPr>
        <w:tblStyle w:val="40"/>
        <w:tblW w:w="5000" w:type="pct"/>
        <w:tblInd w:w="0" w:type="dxa"/>
        <w:tblLayout w:type="autofit"/>
        <w:tblCellMar>
          <w:top w:w="0" w:type="dxa"/>
          <w:left w:w="108" w:type="dxa"/>
          <w:bottom w:w="0" w:type="dxa"/>
          <w:right w:w="108" w:type="dxa"/>
        </w:tblCellMar>
      </w:tblPr>
      <w:tblGrid>
        <w:gridCol w:w="1173"/>
        <w:gridCol w:w="1176"/>
        <w:gridCol w:w="1174"/>
        <w:gridCol w:w="1239"/>
        <w:gridCol w:w="1239"/>
        <w:gridCol w:w="2521"/>
      </w:tblGrid>
      <w:tr>
        <w:tblPrEx>
          <w:tblCellMar>
            <w:top w:w="0" w:type="dxa"/>
            <w:left w:w="108" w:type="dxa"/>
            <w:bottom w:w="0" w:type="dxa"/>
            <w:right w:w="108" w:type="dxa"/>
          </w:tblCellMar>
        </w:tblPrEx>
        <w:trPr>
          <w:trHeight w:val="272" w:hRule="atLeast"/>
          <w:tblHeader/>
        </w:trPr>
        <w:tc>
          <w:tcPr>
            <w:tcW w:w="689"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水平年</w:t>
            </w:r>
          </w:p>
        </w:tc>
        <w:tc>
          <w:tcPr>
            <w:tcW w:w="689" w:type="pct"/>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乡镇</w:t>
            </w:r>
          </w:p>
        </w:tc>
        <w:tc>
          <w:tcPr>
            <w:tcW w:w="2143" w:type="pct"/>
            <w:gridSpan w:val="3"/>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第二产业</w:t>
            </w:r>
          </w:p>
        </w:tc>
        <w:tc>
          <w:tcPr>
            <w:tcW w:w="1480"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第三产业</w:t>
            </w:r>
          </w:p>
        </w:tc>
      </w:tr>
      <w:tr>
        <w:tblPrEx>
          <w:tblCellMar>
            <w:top w:w="0" w:type="dxa"/>
            <w:left w:w="108" w:type="dxa"/>
            <w:bottom w:w="0" w:type="dxa"/>
            <w:right w:w="108" w:type="dxa"/>
          </w:tblCellMar>
        </w:tblPrEx>
        <w:trPr>
          <w:trHeight w:val="272" w:hRule="atLeast"/>
          <w:tblHeader/>
        </w:trPr>
        <w:tc>
          <w:tcPr>
            <w:tcW w:w="689"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727"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#工业</w:t>
            </w:r>
          </w:p>
        </w:tc>
        <w:tc>
          <w:tcPr>
            <w:tcW w:w="727" w:type="pct"/>
            <w:tcBorders>
              <w:top w:val="nil"/>
              <w:left w:val="nil"/>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#建筑业</w:t>
            </w:r>
          </w:p>
        </w:tc>
        <w:tc>
          <w:tcPr>
            <w:tcW w:w="1480"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68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2020</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28.18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16.45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11.73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51.58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西城街道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25.79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15.05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10.73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47.20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朝阳街道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37.86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22.10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15.76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69.29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凤西街道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3.07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1.28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5.62</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蒲家镇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0.72</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3.16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复兴镇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3.83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2.24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1.59</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7.01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1.47</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凤北街道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4.76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2.78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1.98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8.71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罗江镇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2.41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1.41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1.00</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4.42</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磐石镇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0.20</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碑庙镇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0.27</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青宁乡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0.05</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金石镇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梓桐镇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0.02</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江陵镇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0.07</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0.33</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北山镇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110.70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64.62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46.08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202.60</w:t>
            </w:r>
          </w:p>
        </w:tc>
      </w:tr>
      <w:tr>
        <w:tblPrEx>
          <w:tblCellMar>
            <w:top w:w="0" w:type="dxa"/>
            <w:left w:w="108" w:type="dxa"/>
            <w:bottom w:w="0" w:type="dxa"/>
            <w:right w:w="108" w:type="dxa"/>
          </w:tblCellMar>
        </w:tblPrEx>
        <w:trPr>
          <w:trHeight w:val="270" w:hRule="atLeast"/>
        </w:trPr>
        <w:tc>
          <w:tcPr>
            <w:tcW w:w="68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2025</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37.71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22.02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15.70</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72.34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西城街道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34.51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14.37</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66.20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朝阳街道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50.67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29.58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21.09</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97.19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凤西街道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4.11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2.40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1.71</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7.88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蒲家镇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2.31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1.35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0.96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4.44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复兴镇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5.13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2.99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9.84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2.21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0.45</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凤北街道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6.37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3.72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2.65</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12.22</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罗江镇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3.23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1.88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1.34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6.19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磐石镇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0.27</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1.25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碑庙镇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0.37</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0.05</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青宁乡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金石镇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梓桐镇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江陵镇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北山镇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0.62</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148.14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86.48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61.67</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284.16</w:t>
            </w:r>
          </w:p>
        </w:tc>
      </w:tr>
      <w:tr>
        <w:tblPrEx>
          <w:tblCellMar>
            <w:top w:w="0" w:type="dxa"/>
            <w:left w:w="108" w:type="dxa"/>
            <w:bottom w:w="0" w:type="dxa"/>
            <w:right w:w="108" w:type="dxa"/>
          </w:tblCellMar>
        </w:tblPrEx>
        <w:trPr>
          <w:trHeight w:val="270" w:hRule="atLeast"/>
        </w:trPr>
        <w:tc>
          <w:tcPr>
            <w:tcW w:w="68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2030</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49.29</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28.77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20.52</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99.11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西城街道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45.11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26.33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18.78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90.70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朝阳街道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66.22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38.66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27.56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133.15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凤西街道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5.37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3.14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2.24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10.80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蒲家镇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3.02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1.26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6.08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复兴镇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6.70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3.91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2.79</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13.48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3.03</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1.40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2.82</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凤北街道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8.32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4.86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3.46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16.74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罗江镇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4.22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2.46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8.48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磐石镇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0.35</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碑庙镇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0.11</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0.07</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青宁乡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金石镇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梓桐镇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江陵镇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0.63</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北山镇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0.18</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193.62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113.02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80.59</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389.32</w:t>
            </w:r>
          </w:p>
        </w:tc>
      </w:tr>
      <w:tr>
        <w:tblPrEx>
          <w:tblCellMar>
            <w:top w:w="0" w:type="dxa"/>
            <w:left w:w="108" w:type="dxa"/>
            <w:bottom w:w="0" w:type="dxa"/>
            <w:right w:w="108" w:type="dxa"/>
          </w:tblCellMar>
        </w:tblPrEx>
        <w:trPr>
          <w:trHeight w:val="270" w:hRule="atLeast"/>
        </w:trPr>
        <w:tc>
          <w:tcPr>
            <w:tcW w:w="689" w:type="pct"/>
            <w:vMerge w:val="restart"/>
            <w:tcBorders>
              <w:top w:val="nil"/>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2035</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59.97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35.01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24.96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126.50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西城街道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54.88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32.03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22.84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115.75</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朝阳街道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80.57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47.03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33.54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169.94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凤西街道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6.54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3.82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2.72</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13.79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蒲家镇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3.68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1.53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7.76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复兴镇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8.15</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4.76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3.39</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17.20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东岳镇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1.83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0.76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3.86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0.71</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3.61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凤北街道</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10.13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5.91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4.22</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21.36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罗江镇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5.13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3.00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2.14</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10.83</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磐石镇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1.03</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2.18</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碑庙镇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0.13</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0.09</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0.44</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青宁乡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0.14</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0.51</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金石镇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0.07</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梓桐镇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0.07</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0.05</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0.26</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江陵镇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0.38</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0.80</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北山镇</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0.52</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0.30</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0.21</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1.09</w:t>
            </w:r>
          </w:p>
        </w:tc>
      </w:tr>
      <w:tr>
        <w:tblPrEx>
          <w:tblCellMar>
            <w:top w:w="0" w:type="dxa"/>
            <w:left w:w="108" w:type="dxa"/>
            <w:bottom w:w="0" w:type="dxa"/>
            <w:right w:w="108" w:type="dxa"/>
          </w:tblCellMar>
        </w:tblPrEx>
        <w:trPr>
          <w:trHeight w:val="270" w:hRule="atLeast"/>
        </w:trPr>
        <w:tc>
          <w:tcPr>
            <w:tcW w:w="689"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689"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235.56</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137.51</w:t>
            </w:r>
          </w:p>
        </w:tc>
        <w:tc>
          <w:tcPr>
            <w:tcW w:w="727"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98.06</w:t>
            </w:r>
          </w:p>
        </w:tc>
        <w:tc>
          <w:tcPr>
            <w:tcW w:w="1480"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496.88</w:t>
            </w:r>
          </w:p>
        </w:tc>
      </w:tr>
    </w:tbl>
    <w:p>
      <w:pPr>
        <w:pStyle w:val="5"/>
        <w:rPr>
          <w:rFonts w:ascii="Times New Roman" w:hAnsi="Times New Roman"/>
          <w:color w:val="000000" w:themeColor="text1"/>
          <w14:textFill>
            <w14:solidFill>
              <w14:schemeClr w14:val="tx1"/>
            </w14:solidFill>
          </w14:textFill>
        </w:rPr>
      </w:pPr>
      <w:bookmarkStart w:id="132" w:name="_Toc833"/>
      <w:r>
        <w:rPr>
          <w:rFonts w:ascii="Times New Roman" w:hAnsi="Times New Roman"/>
          <w:color w:val="000000" w:themeColor="text1"/>
          <w14:textFill>
            <w14:solidFill>
              <w14:schemeClr w14:val="tx1"/>
            </w14:solidFill>
          </w14:textFill>
        </w:rPr>
        <w:t>4.1.3  灌溉面积发展规划</w:t>
      </w:r>
      <w:bookmarkEnd w:id="132"/>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通川区耕地面积47.24万亩，农田有效灌溉面积11.96万亩。农田灌溉发展，根据通川区的特点，首先是搞好现有灌区的改建、续建、配套和节水改造，提高管理水平，充分发挥现有有效灌溉面积的经济效益，在巩固已有灌区的基础上，根据各地区的水土资源条件，结合可能兴建的水源工程，发展部分新灌区。</w:t>
      </w:r>
    </w:p>
    <w:p>
      <w:pPr>
        <w:pStyle w:val="113"/>
        <w:spacing w:line="487" w:lineRule="exact"/>
        <w:ind w:firstLine="560"/>
        <w:rPr>
          <w:rFonts w:ascii="Times New Roman" w:hAnsi="Times New Roman" w:eastAsia="仿宋_GB2312" w:cs="Times New Roman"/>
          <w:color w:val="000000" w:themeColor="text1"/>
          <w:sz w:val="28"/>
          <w:szCs w:val="20"/>
          <w:lang w:val="en-US" w:eastAsia="zh-CN" w:bidi="ar-SA"/>
          <w14:textFill>
            <w14:solidFill>
              <w14:schemeClr w14:val="tx1"/>
            </w14:solidFill>
          </w14:textFill>
        </w:rPr>
      </w:pPr>
      <w:r>
        <w:rPr>
          <w:rFonts w:ascii="Times New Roman" w:hAnsi="Times New Roman" w:eastAsia="仿宋_GB2312" w:cs="Times New Roman"/>
          <w:color w:val="000000" w:themeColor="text1"/>
          <w:sz w:val="28"/>
          <w:szCs w:val="20"/>
          <w:lang w:val="en-US" w:eastAsia="zh-CN" w:bidi="ar-SA"/>
          <w14:textFill>
            <w14:solidFill>
              <w14:schemeClr w14:val="tx1"/>
            </w14:solidFill>
          </w14:textFill>
        </w:rPr>
        <w:t>随着通川区水利改革发展的加快以及乡村振兴战略的推进，农业的基础地位将会得到进一步巩固。根据通川区粮食安全要求，结合通川区相关流域规划、农田水利规划和水利发展规划等相关成果对通川区农业发展指标进行预测。</w:t>
      </w:r>
    </w:p>
    <w:p>
      <w:pPr>
        <w:pStyle w:val="113"/>
        <w:spacing w:line="491" w:lineRule="exact"/>
        <w:ind w:firstLine="560"/>
        <w:rPr>
          <w:rFonts w:ascii="Times New Roman" w:hAnsi="Times New Roman" w:eastAsia="仿宋_GB2312" w:cs="Times New Roman"/>
          <w:color w:val="000000" w:themeColor="text1"/>
          <w:sz w:val="28"/>
          <w:szCs w:val="20"/>
          <w:lang w:val="en-US" w:eastAsia="zh-CN" w:bidi="ar-SA"/>
          <w14:textFill>
            <w14:solidFill>
              <w14:schemeClr w14:val="tx1"/>
            </w14:solidFill>
          </w14:textFill>
        </w:rPr>
      </w:pPr>
      <w:r>
        <w:rPr>
          <w:rFonts w:ascii="Times New Roman" w:hAnsi="Times New Roman" w:eastAsia="仿宋_GB2312" w:cs="Times New Roman"/>
          <w:color w:val="000000" w:themeColor="text1"/>
          <w:sz w:val="28"/>
          <w:szCs w:val="20"/>
          <w:lang w:val="en-US" w:eastAsia="zh-CN" w:bidi="ar-SA"/>
          <w14:textFill>
            <w14:solidFill>
              <w14:schemeClr w14:val="tx1"/>
            </w14:solidFill>
          </w14:textFill>
        </w:rPr>
        <w:t>预测到2025年，农田有效灌溉面积19.68万亩，鱼塘补水面积1.78万亩。</w:t>
      </w:r>
    </w:p>
    <w:p>
      <w:pPr>
        <w:pStyle w:val="113"/>
        <w:spacing w:line="491" w:lineRule="exact"/>
        <w:ind w:firstLine="560"/>
        <w:rPr>
          <w:rFonts w:ascii="Times New Roman" w:hAnsi="Times New Roman" w:eastAsia="仿宋_GB2312" w:cs="Times New Roman"/>
          <w:color w:val="000000" w:themeColor="text1"/>
          <w:sz w:val="28"/>
          <w:szCs w:val="20"/>
          <w:lang w:val="en-US" w:eastAsia="zh-CN" w:bidi="ar-SA"/>
          <w14:textFill>
            <w14:solidFill>
              <w14:schemeClr w14:val="tx1"/>
            </w14:solidFill>
          </w14:textFill>
        </w:rPr>
      </w:pPr>
      <w:r>
        <w:rPr>
          <w:rFonts w:ascii="Times New Roman" w:hAnsi="Times New Roman" w:eastAsia="仿宋_GB2312" w:cs="Times New Roman"/>
          <w:color w:val="000000" w:themeColor="text1"/>
          <w:sz w:val="28"/>
          <w:szCs w:val="20"/>
          <w:lang w:val="en-US" w:eastAsia="zh-CN" w:bidi="ar-SA"/>
          <w14:textFill>
            <w14:solidFill>
              <w14:schemeClr w14:val="tx1"/>
            </w14:solidFill>
          </w14:textFill>
        </w:rPr>
        <w:t>预测到2030年，农田有效灌溉面积34.54万亩，鱼塘补水面积1.88万亩。</w:t>
      </w:r>
    </w:p>
    <w:p>
      <w:pPr>
        <w:pStyle w:val="113"/>
        <w:spacing w:line="491" w:lineRule="exact"/>
        <w:ind w:firstLine="560"/>
        <w:rPr>
          <w:rFonts w:ascii="Times New Roman" w:hAnsi="Times New Roman" w:eastAsia="仿宋_GB2312" w:cs="Times New Roman"/>
          <w:color w:val="000000" w:themeColor="text1"/>
          <w:sz w:val="28"/>
          <w:szCs w:val="20"/>
          <w:lang w:val="en-US" w:eastAsia="zh-CN" w:bidi="ar-SA"/>
          <w14:textFill>
            <w14:solidFill>
              <w14:schemeClr w14:val="tx1"/>
            </w14:solidFill>
          </w14:textFill>
        </w:rPr>
      </w:pPr>
      <w:r>
        <w:rPr>
          <w:rFonts w:ascii="Times New Roman" w:hAnsi="Times New Roman" w:eastAsia="仿宋_GB2312" w:cs="Times New Roman"/>
          <w:color w:val="000000" w:themeColor="text1"/>
          <w:sz w:val="28"/>
          <w:szCs w:val="20"/>
          <w:lang w:val="en-US" w:eastAsia="zh-CN" w:bidi="ar-SA"/>
          <w14:textFill>
            <w14:solidFill>
              <w14:schemeClr w14:val="tx1"/>
            </w14:solidFill>
          </w14:textFill>
        </w:rPr>
        <w:t>预测到2035年，农田有效灌溉面积37.54万亩，鱼塘补水面积1.99万亩。</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表4.1.5  不同水平年农田有效灌溉面积和鱼塘面积预测结果表</w:t>
      </w:r>
    </w:p>
    <w:tbl>
      <w:tblPr>
        <w:tblStyle w:val="40"/>
        <w:tblW w:w="5000" w:type="pct"/>
        <w:tblInd w:w="0" w:type="dxa"/>
        <w:tblLayout w:type="autofit"/>
        <w:tblCellMar>
          <w:top w:w="0" w:type="dxa"/>
          <w:left w:w="108" w:type="dxa"/>
          <w:bottom w:w="0" w:type="dxa"/>
          <w:right w:w="108" w:type="dxa"/>
        </w:tblCellMar>
      </w:tblPr>
      <w:tblGrid>
        <w:gridCol w:w="1270"/>
        <w:gridCol w:w="1374"/>
        <w:gridCol w:w="3073"/>
        <w:gridCol w:w="1433"/>
        <w:gridCol w:w="1372"/>
      </w:tblGrid>
      <w:tr>
        <w:tblPrEx>
          <w:tblCellMar>
            <w:top w:w="0" w:type="dxa"/>
            <w:left w:w="108" w:type="dxa"/>
            <w:bottom w:w="0" w:type="dxa"/>
            <w:right w:w="108" w:type="dxa"/>
          </w:tblCellMar>
        </w:tblPrEx>
        <w:trPr>
          <w:trHeight w:val="340" w:hRule="atLeast"/>
        </w:trPr>
        <w:tc>
          <w:tcPr>
            <w:tcW w:w="74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水平年</w:t>
            </w:r>
          </w:p>
        </w:tc>
        <w:tc>
          <w:tcPr>
            <w:tcW w:w="2609" w:type="pct"/>
            <w:gridSpan w:val="2"/>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分片</w:t>
            </w:r>
          </w:p>
        </w:tc>
        <w:tc>
          <w:tcPr>
            <w:tcW w:w="84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灌溉面积</w:t>
            </w:r>
          </w:p>
        </w:tc>
        <w:tc>
          <w:tcPr>
            <w:tcW w:w="80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鱼塘补水面积</w:t>
            </w:r>
          </w:p>
        </w:tc>
      </w:tr>
      <w:tr>
        <w:tblPrEx>
          <w:tblCellMar>
            <w:top w:w="0" w:type="dxa"/>
            <w:left w:w="108" w:type="dxa"/>
            <w:bottom w:w="0" w:type="dxa"/>
            <w:right w:w="108" w:type="dxa"/>
          </w:tblCellMar>
        </w:tblPrEx>
        <w:trPr>
          <w:trHeight w:val="340" w:hRule="atLeast"/>
        </w:trPr>
        <w:tc>
          <w:tcPr>
            <w:tcW w:w="745"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2609" w:type="pct"/>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41"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5"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r>
      <w:tr>
        <w:tblPrEx>
          <w:tblCellMar>
            <w:top w:w="0" w:type="dxa"/>
            <w:left w:w="108" w:type="dxa"/>
            <w:bottom w:w="0" w:type="dxa"/>
            <w:right w:w="108" w:type="dxa"/>
          </w:tblCellMar>
        </w:tblPrEx>
        <w:trPr>
          <w:trHeight w:val="340" w:hRule="atLeast"/>
        </w:trPr>
        <w:tc>
          <w:tcPr>
            <w:tcW w:w="745"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w:t>
            </w:r>
            <w:r>
              <w:rPr>
                <w:color w:val="000000" w:themeColor="text1"/>
                <w14:textFill>
                  <w14:solidFill>
                    <w14:schemeClr w14:val="tx1"/>
                  </w14:solidFill>
                </w14:textFill>
              </w:rPr>
              <w:t>20</w:t>
            </w: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城区片（石莲花水库片）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0.20</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0.25</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北部片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2.17</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0.19</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魏家河区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双河口水库片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1.06</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0.29</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0.68</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0.05</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3.91</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长滩河西片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2.86</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0.16</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1.07</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0.05</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2609"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11.96</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1.16</w:t>
            </w:r>
          </w:p>
        </w:tc>
      </w:tr>
      <w:tr>
        <w:tblPrEx>
          <w:tblCellMar>
            <w:top w:w="0" w:type="dxa"/>
            <w:left w:w="108" w:type="dxa"/>
            <w:bottom w:w="0" w:type="dxa"/>
            <w:right w:w="108" w:type="dxa"/>
          </w:tblCellMar>
        </w:tblPrEx>
        <w:trPr>
          <w:trHeight w:val="340" w:hRule="atLeast"/>
        </w:trPr>
        <w:tc>
          <w:tcPr>
            <w:tcW w:w="745"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2025</w:t>
            </w: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城区片（石莲花水库片）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0.34</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北部片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3.57</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0.29</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魏家河区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双河口水库片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1.74</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0.45</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1.12</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6.44</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长滩河西片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4.71</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0.24</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1.76</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0.07</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2609"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19.68</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1.78</w:t>
            </w:r>
          </w:p>
        </w:tc>
      </w:tr>
      <w:tr>
        <w:tblPrEx>
          <w:tblCellMar>
            <w:top w:w="0" w:type="dxa"/>
            <w:left w:w="108" w:type="dxa"/>
            <w:bottom w:w="0" w:type="dxa"/>
            <w:right w:w="108" w:type="dxa"/>
          </w:tblCellMar>
        </w:tblPrEx>
        <w:trPr>
          <w:trHeight w:val="340" w:hRule="atLeast"/>
        </w:trPr>
        <w:tc>
          <w:tcPr>
            <w:tcW w:w="745"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2030</w:t>
            </w: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城区片（石莲花水库片）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0.59</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0.40</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北部片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6.27</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0.31</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魏家河区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双河口水库片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3.05</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0.47</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1.96</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11.31</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0.29</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长滩河西片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8.27</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0.25</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3.09</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2609"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34.54</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1.88</w:t>
            </w:r>
          </w:p>
        </w:tc>
      </w:tr>
      <w:tr>
        <w:tblPrEx>
          <w:tblCellMar>
            <w:top w:w="0" w:type="dxa"/>
            <w:left w:w="108" w:type="dxa"/>
            <w:bottom w:w="0" w:type="dxa"/>
            <w:right w:w="108" w:type="dxa"/>
          </w:tblCellMar>
        </w:tblPrEx>
        <w:trPr>
          <w:trHeight w:val="340" w:hRule="atLeast"/>
        </w:trPr>
        <w:tc>
          <w:tcPr>
            <w:tcW w:w="745"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2035</w:t>
            </w: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双龙河区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城区片（石莲花水库片）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0.64</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0.42</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北部片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6.82</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0.32</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魏家河区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双河口水库片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3.32</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0.50</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明月江片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2.13</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安云水库片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12.29</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0.31</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长滩河西片</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8.99</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0.27</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80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180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固家河区</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3.36</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0.08</w:t>
            </w:r>
          </w:p>
        </w:tc>
      </w:tr>
      <w:tr>
        <w:tblPrEx>
          <w:tblCellMar>
            <w:top w:w="0" w:type="dxa"/>
            <w:left w:w="108" w:type="dxa"/>
            <w:bottom w:w="0" w:type="dxa"/>
            <w:right w:w="108" w:type="dxa"/>
          </w:tblCellMar>
        </w:tblPrEx>
        <w:trPr>
          <w:trHeight w:val="340" w:hRule="atLeast"/>
        </w:trPr>
        <w:tc>
          <w:tcPr>
            <w:tcW w:w="745"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p>
        </w:tc>
        <w:tc>
          <w:tcPr>
            <w:tcW w:w="2609"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合计</w:t>
            </w:r>
          </w:p>
        </w:tc>
        <w:tc>
          <w:tcPr>
            <w:tcW w:w="8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37.54</w:t>
            </w:r>
          </w:p>
        </w:tc>
        <w:tc>
          <w:tcPr>
            <w:tcW w:w="8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24"/>
                <w:szCs w:val="20"/>
                <w14:textFill>
                  <w14:solidFill>
                    <w14:schemeClr w14:val="tx1"/>
                  </w14:solidFill>
                </w14:textFill>
              </w:rPr>
            </w:pPr>
            <w:r>
              <w:rPr>
                <w:rFonts w:eastAsia="宋体"/>
                <w:color w:val="000000" w:themeColor="text1"/>
                <w:kern w:val="0"/>
                <w:sz w:val="24"/>
                <w:szCs w:val="20"/>
                <w14:textFill>
                  <w14:solidFill>
                    <w14:schemeClr w14:val="tx1"/>
                  </w14:solidFill>
                </w14:textFill>
              </w:rPr>
              <w:t>1.99</w:t>
            </w:r>
          </w:p>
        </w:tc>
      </w:tr>
    </w:tbl>
    <w:p>
      <w:pPr>
        <w:spacing w:line="520" w:lineRule="exact"/>
        <w:ind w:firstLine="560"/>
        <w:rPr>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bookmarkStart w:id="133" w:name="_Toc2947"/>
    </w:p>
    <w:p>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4.1.4  城镇公共绿地和环卫面积发展预测</w:t>
      </w:r>
      <w:bookmarkEnd w:id="133"/>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1）公共绿地发展</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2020年通川区县城镇公共绿地为554万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，城镇人均公共绿地为7.9</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；根据城市建设规划，到2025年城镇人均公共绿地达到12</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，面积达到965万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；2030年城镇人均公共绿地达到15</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，面积达到1598万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；到2035年城镇人均公共绿地达到18</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，面积达到2489万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2）河湖补水面积</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2020年通川区各城镇河湖补水面积281万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，参照城市发展目标，2025年城镇河湖补水面积总面积达402万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；2030年城镇河湖补水面积总面积达639万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2035年城镇河湖补水面积总面积达968万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3）环卫面积发展</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2020年通川区各城镇环卫面积293万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，参照成都等周边城市，2025年城镇人均面积达到4.7</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，总面积达376万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；2030年城镇人均面积达到5.6</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，总面积达601万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；2035年城镇人均面积达到6.6</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，总面积达919万</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p>
      <w:pPr>
        <w:spacing w:line="54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通川区社会经济发展主要指标预测成果表见表4.1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p>
    <w:p>
      <w:pPr>
        <w:pStyle w:val="2"/>
        <w:ind w:firstLine="560"/>
        <w:rPr>
          <w:color w:val="000000" w:themeColor="text1"/>
          <w14:textFill>
            <w14:solidFill>
              <w14:schemeClr w14:val="tx1"/>
            </w14:solidFill>
          </w14:textFill>
        </w:rPr>
      </w:pPr>
    </w:p>
    <w:p>
      <w:pPr>
        <w:spacing w:line="520" w:lineRule="exact"/>
        <w:ind w:firstLine="560"/>
        <w:rPr>
          <w:rFonts w:eastAsia="华文仿宋"/>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pStyle w:val="49"/>
        <w:spacing w:before="156" w:after="156"/>
        <w:rPr>
          <w:color w:val="000000" w:themeColor="text1"/>
          <w14:textFill>
            <w14:solidFill>
              <w14:schemeClr w14:val="tx1"/>
            </w14:solidFill>
          </w14:textFill>
        </w:rPr>
      </w:pPr>
      <w:r>
        <w:rPr>
          <w:color w:val="000000" w:themeColor="text1"/>
          <w14:textFill>
            <w14:solidFill>
              <w14:schemeClr w14:val="tx1"/>
            </w14:solidFill>
          </w14:textFill>
        </w:rPr>
        <w:t>表4.1.6  通川区各片社会经济发展主要指标预测成果表</w:t>
      </w:r>
    </w:p>
    <w:tbl>
      <w:tblPr>
        <w:tblStyle w:val="40"/>
        <w:tblW w:w="5000" w:type="pct"/>
        <w:tblInd w:w="0" w:type="dxa"/>
        <w:tblLayout w:type="autofit"/>
        <w:tblCellMar>
          <w:top w:w="0" w:type="dxa"/>
          <w:left w:w="108" w:type="dxa"/>
          <w:bottom w:w="0" w:type="dxa"/>
          <w:right w:w="108" w:type="dxa"/>
        </w:tblCellMar>
      </w:tblPr>
      <w:tblGrid>
        <w:gridCol w:w="756"/>
        <w:gridCol w:w="936"/>
        <w:gridCol w:w="2196"/>
        <w:gridCol w:w="711"/>
        <w:gridCol w:w="711"/>
        <w:gridCol w:w="936"/>
        <w:gridCol w:w="711"/>
        <w:gridCol w:w="633"/>
        <w:gridCol w:w="711"/>
        <w:gridCol w:w="711"/>
        <w:gridCol w:w="711"/>
        <w:gridCol w:w="621"/>
        <w:gridCol w:w="998"/>
        <w:gridCol w:w="621"/>
        <w:gridCol w:w="531"/>
        <w:gridCol w:w="576"/>
        <w:gridCol w:w="486"/>
        <w:gridCol w:w="618"/>
      </w:tblGrid>
      <w:tr>
        <w:tblPrEx>
          <w:tblCellMar>
            <w:top w:w="0" w:type="dxa"/>
            <w:left w:w="108" w:type="dxa"/>
            <w:bottom w:w="0" w:type="dxa"/>
            <w:right w:w="108" w:type="dxa"/>
          </w:tblCellMar>
        </w:tblPrEx>
        <w:trPr>
          <w:trHeight w:val="369" w:hRule="atLeast"/>
          <w:tblHeader/>
        </w:trPr>
        <w:tc>
          <w:tcPr>
            <w:tcW w:w="2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水平年</w:t>
            </w:r>
          </w:p>
        </w:tc>
        <w:tc>
          <w:tcPr>
            <w:tcW w:w="102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分片</w:t>
            </w:r>
          </w:p>
        </w:tc>
        <w:tc>
          <w:tcPr>
            <w:tcW w:w="468" w:type="pct"/>
            <w:gridSpan w:val="2"/>
            <w:tcBorders>
              <w:top w:val="single" w:color="auto" w:sz="4" w:space="0"/>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总人口(万人）</w:t>
            </w:r>
          </w:p>
        </w:tc>
        <w:tc>
          <w:tcPr>
            <w:tcW w:w="308" w:type="pct"/>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城镇化率</w:t>
            </w:r>
          </w:p>
        </w:tc>
        <w:tc>
          <w:tcPr>
            <w:tcW w:w="1241" w:type="pct"/>
            <w:gridSpan w:val="5"/>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GDP（万元）</w:t>
            </w:r>
          </w:p>
        </w:tc>
        <w:tc>
          <w:tcPr>
            <w:tcW w:w="250" w:type="pct"/>
            <w:vMerge w:val="restart"/>
            <w:tcBorders>
              <w:top w:val="single" w:color="auto" w:sz="4" w:space="0"/>
              <w:left w:val="nil"/>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灌溉面积(万亩）</w:t>
            </w:r>
          </w:p>
        </w:tc>
        <w:tc>
          <w:tcPr>
            <w:tcW w:w="400"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鱼塘补水（万亩）</w:t>
            </w:r>
          </w:p>
        </w:tc>
        <w:tc>
          <w:tcPr>
            <w:tcW w:w="400" w:type="pct"/>
            <w:gridSpan w:val="2"/>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牲畜头数（万头）</w:t>
            </w:r>
          </w:p>
        </w:tc>
        <w:tc>
          <w:tcPr>
            <w:tcW w:w="661" w:type="pct"/>
            <w:gridSpan w:val="3"/>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河道外生态环境（万</w:t>
            </w:r>
            <w:r>
              <w:rPr>
                <w:rFonts w:hint="eastAsia" w:eastAsia="宋体"/>
                <w:color w:val="000000" w:themeColor="text1"/>
                <w:kern w:val="0"/>
                <w:sz w:val="18"/>
                <w:szCs w:val="18"/>
                <w14:textFill>
                  <w14:solidFill>
                    <w14:schemeClr w14:val="tx1"/>
                  </w14:solidFill>
                </w14:textFill>
              </w:rPr>
              <w:t>m³</w:t>
            </w:r>
            <w:r>
              <w:rPr>
                <w:rFonts w:eastAsia="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369" w:hRule="atLeast"/>
          <w:tblHeader/>
        </w:trPr>
        <w:tc>
          <w:tcPr>
            <w:tcW w:w="2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102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23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234"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#城镇</w:t>
            </w:r>
          </w:p>
        </w:tc>
        <w:tc>
          <w:tcPr>
            <w:tcW w:w="3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241"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250"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一产</w:t>
            </w:r>
          </w:p>
        </w:tc>
        <w:tc>
          <w:tcPr>
            <w:tcW w:w="251"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二产</w:t>
            </w:r>
          </w:p>
        </w:tc>
        <w:tc>
          <w:tcPr>
            <w:tcW w:w="250"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#工业</w:t>
            </w:r>
          </w:p>
        </w:tc>
        <w:tc>
          <w:tcPr>
            <w:tcW w:w="250"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三产</w:t>
            </w:r>
          </w:p>
        </w:tc>
        <w:tc>
          <w:tcPr>
            <w:tcW w:w="250" w:type="pct"/>
            <w:vMerge w:val="continue"/>
            <w:tcBorders>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40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205"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195"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#大</w:t>
            </w:r>
          </w:p>
        </w:tc>
        <w:tc>
          <w:tcPr>
            <w:tcW w:w="200"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绿化</w:t>
            </w:r>
          </w:p>
        </w:tc>
        <w:tc>
          <w:tcPr>
            <w:tcW w:w="213"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河湖需水</w:t>
            </w:r>
          </w:p>
        </w:tc>
        <w:tc>
          <w:tcPr>
            <w:tcW w:w="248"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环境卫生</w:t>
            </w:r>
          </w:p>
        </w:tc>
      </w:tr>
      <w:tr>
        <w:tblPrEx>
          <w:tblCellMar>
            <w:top w:w="0" w:type="dxa"/>
            <w:left w:w="108" w:type="dxa"/>
            <w:bottom w:w="0" w:type="dxa"/>
            <w:right w:w="108" w:type="dxa"/>
          </w:tblCellMar>
        </w:tblPrEx>
        <w:trPr>
          <w:trHeight w:val="369" w:hRule="atLeast"/>
        </w:trPr>
        <w:tc>
          <w:tcPr>
            <w:tcW w:w="2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2020</w:t>
            </w: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双龙河区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城区片（石莲花水库片）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64.46</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60.14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93%</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274.39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5.79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94.90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55.40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173.69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0.20</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0.25</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0.03</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475</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241</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251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北部片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7.63</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4.30</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56%</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23.68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4.47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6.79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3.96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12.42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2.17</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0.19</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6.41</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0.85</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17</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18</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魏家河区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双河口水库片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9.66</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4.54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47%</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27.17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6.87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7.17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4.19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13.13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1.06</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0.29</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2.91</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0.20</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36</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18</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1.18</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0.31</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26%</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2.54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1.17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0.28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0.89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0.68</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0.05</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0.26</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安云水库片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3.45</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0.28</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5.50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4.26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0.26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0.80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3.91</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6.75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0.78</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长滩河西片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3.05</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0.30</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5.04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3.68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0.28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0.87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2.86</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0.16</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6.06</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0.68</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0.28</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24%</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2.39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1.15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0.26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0.80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1.07</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0.05</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3.40</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0.31</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1021"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90.57</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70.15</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77%</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340.70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27.40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110.70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64.62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202.60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11.96</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1.16</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27.62</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3.12</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554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281</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293</w:t>
            </w:r>
          </w:p>
        </w:tc>
      </w:tr>
      <w:tr>
        <w:tblPrEx>
          <w:tblCellMar>
            <w:top w:w="0" w:type="dxa"/>
            <w:left w:w="108" w:type="dxa"/>
            <w:bottom w:w="0" w:type="dxa"/>
            <w:right w:w="108" w:type="dxa"/>
          </w:tblCellMar>
        </w:tblPrEx>
        <w:trPr>
          <w:trHeight w:val="369" w:hRule="atLeast"/>
        </w:trPr>
        <w:tc>
          <w:tcPr>
            <w:tcW w:w="2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2025</w:t>
            </w: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双龙河区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城区片（石莲花水库片）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73.55</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69.35</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94%</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377.66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7.05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127.00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74.14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243.61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0.34</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0.03</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832</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347</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324</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北部片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7.87</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4.59</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58%</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31.94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5.44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9.08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5.30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17.42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3.57</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0.29</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6.42</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0.86</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55</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23</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魏家河区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双河口水库片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10.40</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5.11</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49%</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36.36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8.36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9.60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5.60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18.41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1.74</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0.45</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2.91</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0.20</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61</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26</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24</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1.22</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28%</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3.32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1.42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0.65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0.38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1.25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1.12</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0.26</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安云水库片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3.55</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0.36</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6.89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5.18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0.59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0.34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6.44</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6.76</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0.80</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长滩河西片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3.14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0.37</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6.35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4.48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0.64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0.37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1.23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4.71</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0.24</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6.07</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0.69</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1.17</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0.31</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26%</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3.11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1.40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0.59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0.34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1.76</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0.07</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3.40</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0.32</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1021"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100.89</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80.44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80%</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465.63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33.34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148.14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86.48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284.16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19.68</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1.78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27.67</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3.17</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965</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402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376</w:t>
            </w:r>
          </w:p>
        </w:tc>
      </w:tr>
      <w:tr>
        <w:tblPrEx>
          <w:tblCellMar>
            <w:top w:w="0" w:type="dxa"/>
            <w:left w:w="108" w:type="dxa"/>
            <w:bottom w:w="0" w:type="dxa"/>
            <w:right w:w="108" w:type="dxa"/>
          </w:tblCellMar>
        </w:tblPrEx>
        <w:trPr>
          <w:trHeight w:val="369" w:hRule="atLeast"/>
        </w:trPr>
        <w:tc>
          <w:tcPr>
            <w:tcW w:w="2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2030</w:t>
            </w: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双龙河区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城区片（石莲花水库片）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98.14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93.60</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95%</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508.12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8.37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165.99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96.89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333.77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0.59</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0.40</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0.03</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1404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562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528</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北部片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8.14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4.91</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42.19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6.46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11.87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6.93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23.86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6.27</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0.31</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6.43</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0.88</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29</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28</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魏家河区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双河口水库片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12.34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6.37</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52%</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47.69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9.93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12.54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7.32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25.22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3.05</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0.47</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2.92</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0.21</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96</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38</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36</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1.26</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0.38</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30%</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4.25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1.69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0.85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0.50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1.71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1.96</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1.96</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0.27</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安云水库片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3.68</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8.46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6.15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0.77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1.54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11.31</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0.29</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6.77</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0.81</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长滩河西片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3.25</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0.45</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14%</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7.84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5.32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0.84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1.68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8.27</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0.25</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6.08</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0.70</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1.21</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28%</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3.97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1.67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0.77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0.45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1.54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3.09</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3.41</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0.32</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1021"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128.04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106.51</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83%</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622.53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39.59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193.62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113.02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389.32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34.54</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1.88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27.72</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3.21</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1598</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639</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601</w:t>
            </w:r>
          </w:p>
        </w:tc>
      </w:tr>
      <w:tr>
        <w:tblPrEx>
          <w:tblCellMar>
            <w:top w:w="0" w:type="dxa"/>
            <w:left w:w="108" w:type="dxa"/>
            <w:bottom w:w="0" w:type="dxa"/>
            <w:right w:w="108" w:type="dxa"/>
          </w:tblCellMar>
        </w:tblPrEx>
        <w:trPr>
          <w:trHeight w:val="369" w:hRule="atLeast"/>
        </w:trPr>
        <w:tc>
          <w:tcPr>
            <w:tcW w:w="25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2035</w:t>
            </w: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双龙河区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城区片（石莲花水库片）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128.27</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123.54</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96%</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637.63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9.70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201.95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117.89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425.98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0.64</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0.42</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0.15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0.03</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2224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865</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821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北部片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8.35</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5.20</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62%</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52.39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7.49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14.44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8.43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30.46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6.82</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0.32</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6.45</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0.89</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94</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36</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35</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魏家河区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双河口水库片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14.26</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7.70</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54%</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58.96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11.51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15.26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8.91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32.19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3.32</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0.50</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2.92</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0.21</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139</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54</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51</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明月江片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1.29</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0.41</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32%</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5.17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1.96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1.03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0.60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2.18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2.13</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1.96</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0.27</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安云水库片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3.77</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0.53</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14%</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10.03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7.13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0.93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0.54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1.96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12.29</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0.31</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6.78</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0.82</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长滩河西片</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3.33</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0.53</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16%</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9.33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6.17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1.02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0.59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2.14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8.99</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0.27</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6.09</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0.72</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30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713" w:type="pct"/>
            <w:tcBorders>
              <w:top w:val="nil"/>
              <w:left w:val="nil"/>
              <w:bottom w:val="single" w:color="auto" w:sz="4" w:space="0"/>
              <w:right w:val="single" w:color="auto" w:sz="4" w:space="0"/>
            </w:tcBorders>
            <w:shd w:val="clear" w:color="000000" w:fill="FFFFFF"/>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固家河区</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1.24</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0.38</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30%</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4.83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1.93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0.93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0.54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1.97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3.36</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0.08</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3.41</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0.33</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r>
      <w:tr>
        <w:tblPrEx>
          <w:tblCellMar>
            <w:top w:w="0" w:type="dxa"/>
            <w:left w:w="108" w:type="dxa"/>
            <w:bottom w:w="0" w:type="dxa"/>
            <w:right w:w="108" w:type="dxa"/>
          </w:tblCellMar>
        </w:tblPrEx>
        <w:trPr>
          <w:trHeight w:val="369" w:hRule="atLeast"/>
        </w:trPr>
        <w:tc>
          <w:tcPr>
            <w:tcW w:w="25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p>
        </w:tc>
        <w:tc>
          <w:tcPr>
            <w:tcW w:w="1021" w:type="pct"/>
            <w:gridSpan w:val="2"/>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合计</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160.52</w:t>
            </w:r>
          </w:p>
        </w:tc>
        <w:tc>
          <w:tcPr>
            <w:tcW w:w="234"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138.30</w:t>
            </w:r>
          </w:p>
        </w:tc>
        <w:tc>
          <w:tcPr>
            <w:tcW w:w="30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86%</w:t>
            </w:r>
          </w:p>
        </w:tc>
        <w:tc>
          <w:tcPr>
            <w:tcW w:w="24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778.34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45.90 </w:t>
            </w:r>
          </w:p>
        </w:tc>
        <w:tc>
          <w:tcPr>
            <w:tcW w:w="251"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235.56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137.51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 xml:space="preserve">496.88 </w:t>
            </w:r>
          </w:p>
        </w:tc>
        <w:tc>
          <w:tcPr>
            <w:tcW w:w="25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37.54</w:t>
            </w:r>
          </w:p>
        </w:tc>
        <w:tc>
          <w:tcPr>
            <w:tcW w:w="4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1.99</w:t>
            </w:r>
          </w:p>
        </w:tc>
        <w:tc>
          <w:tcPr>
            <w:tcW w:w="20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27.76</w:t>
            </w:r>
          </w:p>
        </w:tc>
        <w:tc>
          <w:tcPr>
            <w:tcW w:w="195"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3.26</w:t>
            </w:r>
          </w:p>
        </w:tc>
        <w:tc>
          <w:tcPr>
            <w:tcW w:w="200"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2489</w:t>
            </w:r>
          </w:p>
        </w:tc>
        <w:tc>
          <w:tcPr>
            <w:tcW w:w="213"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968</w:t>
            </w:r>
          </w:p>
        </w:tc>
        <w:tc>
          <w:tcPr>
            <w:tcW w:w="248" w:type="pct"/>
            <w:tcBorders>
              <w:top w:val="nil"/>
              <w:left w:val="nil"/>
              <w:bottom w:val="single" w:color="auto" w:sz="4" w:space="0"/>
              <w:right w:val="single" w:color="auto" w:sz="4" w:space="0"/>
            </w:tcBorders>
            <w:noWrap/>
            <w:vAlign w:val="center"/>
          </w:tcPr>
          <w:p>
            <w:pPr>
              <w:spacing w:line="240" w:lineRule="auto"/>
              <w:ind w:firstLine="0" w:firstLineChars="0"/>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919</w:t>
            </w:r>
          </w:p>
        </w:tc>
      </w:tr>
    </w:tbl>
    <w:p>
      <w:pPr>
        <w:pStyle w:val="51"/>
        <w:spacing w:before="156"/>
        <w:ind w:firstLine="528"/>
        <w:rPr>
          <w:rFonts w:cs="Times New Roman"/>
          <w:color w:val="000000" w:themeColor="text1"/>
          <w14:textFill>
            <w14:solidFill>
              <w14:schemeClr w14:val="tx1"/>
            </w14:solidFill>
          </w14:textFill>
        </w:rPr>
      </w:pPr>
    </w:p>
    <w:p>
      <w:pPr>
        <w:pStyle w:val="49"/>
        <w:spacing w:before="156" w:after="156"/>
        <w:rPr>
          <w:color w:val="000000" w:themeColor="text1"/>
          <w14:textFill>
            <w14:solidFill>
              <w14:schemeClr w14:val="tx1"/>
            </w14:solidFill>
          </w14:textFill>
        </w:rPr>
      </w:pPr>
      <w:r>
        <w:rPr>
          <w:color w:val="000000" w:themeColor="text1"/>
          <w14:textFill>
            <w14:solidFill>
              <w14:schemeClr w14:val="tx1"/>
            </w14:solidFill>
          </w14:textFill>
        </w:rPr>
        <w:t>表4.1.7  社会经济发展主要指标预测成果表（分乡镇）</w:t>
      </w:r>
    </w:p>
    <w:tbl>
      <w:tblPr>
        <w:tblStyle w:val="40"/>
        <w:tblW w:w="5000" w:type="pct"/>
        <w:tblInd w:w="0" w:type="dxa"/>
        <w:tblLayout w:type="autofit"/>
        <w:tblCellMar>
          <w:top w:w="0" w:type="dxa"/>
          <w:left w:w="108" w:type="dxa"/>
          <w:bottom w:w="0" w:type="dxa"/>
          <w:right w:w="108" w:type="dxa"/>
        </w:tblCellMar>
      </w:tblPr>
      <w:tblGrid>
        <w:gridCol w:w="846"/>
        <w:gridCol w:w="1056"/>
        <w:gridCol w:w="794"/>
        <w:gridCol w:w="794"/>
        <w:gridCol w:w="1056"/>
        <w:gridCol w:w="794"/>
        <w:gridCol w:w="831"/>
        <w:gridCol w:w="846"/>
        <w:gridCol w:w="841"/>
        <w:gridCol w:w="931"/>
        <w:gridCol w:w="786"/>
        <w:gridCol w:w="917"/>
        <w:gridCol w:w="702"/>
        <w:gridCol w:w="628"/>
        <w:gridCol w:w="917"/>
        <w:gridCol w:w="702"/>
        <w:gridCol w:w="733"/>
      </w:tblGrid>
      <w:tr>
        <w:tblPrEx>
          <w:tblCellMar>
            <w:top w:w="0" w:type="dxa"/>
            <w:left w:w="108" w:type="dxa"/>
            <w:bottom w:w="0" w:type="dxa"/>
            <w:right w:w="108" w:type="dxa"/>
          </w:tblCellMar>
        </w:tblPrEx>
        <w:trPr>
          <w:trHeight w:val="270" w:hRule="atLeast"/>
          <w:tblHeader/>
        </w:trPr>
        <w:tc>
          <w:tcPr>
            <w:tcW w:w="29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水平年</w:t>
            </w:r>
          </w:p>
        </w:tc>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乡镇</w:t>
            </w:r>
          </w:p>
        </w:tc>
        <w:tc>
          <w:tcPr>
            <w:tcW w:w="560" w:type="pct"/>
            <w:gridSpan w:val="2"/>
            <w:tcBorders>
              <w:top w:val="single" w:color="auto" w:sz="4" w:space="0"/>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总人口(万人）</w:t>
            </w:r>
          </w:p>
        </w:tc>
        <w:tc>
          <w:tcPr>
            <w:tcW w:w="373" w:type="pct"/>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城镇化率</w:t>
            </w:r>
          </w:p>
        </w:tc>
        <w:tc>
          <w:tcPr>
            <w:tcW w:w="1515" w:type="pct"/>
            <w:gridSpan w:val="5"/>
            <w:tcBorders>
              <w:top w:val="single" w:color="auto" w:sz="4" w:space="0"/>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GDP（万元）</w:t>
            </w:r>
          </w:p>
        </w:tc>
        <w:tc>
          <w:tcPr>
            <w:tcW w:w="243" w:type="pct"/>
            <w:vMerge w:val="restart"/>
            <w:tcBorders>
              <w:top w:val="single" w:color="auto" w:sz="4" w:space="0"/>
              <w:left w:val="nil"/>
              <w:right w:val="single" w:color="auto" w:sz="4" w:space="0"/>
            </w:tcBorders>
            <w:shd w:val="clear" w:color="000000" w:fill="FFFFFF"/>
            <w:vAlign w:val="center"/>
          </w:tcPr>
          <w:p>
            <w:pPr>
              <w:widowControl/>
              <w:adjustRightInd/>
              <w:snapToGrid/>
              <w:spacing w:line="240" w:lineRule="auto"/>
              <w:ind w:firstLine="36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灌溉面积(万亩）</w:t>
            </w:r>
          </w:p>
        </w:tc>
        <w:tc>
          <w:tcPr>
            <w:tcW w:w="326"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鱼塘补水（万亩）</w:t>
            </w:r>
          </w:p>
        </w:tc>
        <w:tc>
          <w:tcPr>
            <w:tcW w:w="474" w:type="pct"/>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牲畜头数（万头）</w:t>
            </w:r>
          </w:p>
        </w:tc>
        <w:tc>
          <w:tcPr>
            <w:tcW w:w="837" w:type="pct"/>
            <w:gridSpan w:val="3"/>
            <w:tcBorders>
              <w:top w:val="single" w:color="auto" w:sz="4" w:space="0"/>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河道外生态环境（万</w:t>
            </w:r>
            <w:r>
              <w:rPr>
                <w:rFonts w:hint="eastAsia" w:eastAsia="宋体"/>
                <w:color w:val="000000" w:themeColor="text1"/>
                <w:kern w:val="0"/>
                <w:sz w:val="21"/>
                <w:szCs w:val="21"/>
                <w14:textFill>
                  <w14:solidFill>
                    <w14:schemeClr w14:val="tx1"/>
                  </w14:solidFill>
                </w14:textFill>
              </w:rPr>
              <w:t>m³</w:t>
            </w:r>
            <w:r>
              <w:rPr>
                <w:rFonts w:eastAsia="宋体"/>
                <w:color w:val="000000" w:themeColor="text1"/>
                <w:kern w:val="0"/>
                <w:sz w:val="21"/>
                <w:szCs w:val="21"/>
                <w14:textFill>
                  <w14:solidFill>
                    <w14:schemeClr w14:val="tx1"/>
                  </w14:solidFill>
                </w14:textFill>
              </w:rPr>
              <w:t>）</w:t>
            </w:r>
          </w:p>
        </w:tc>
      </w:tr>
      <w:tr>
        <w:tblPrEx>
          <w:tblCellMar>
            <w:top w:w="0" w:type="dxa"/>
            <w:left w:w="108" w:type="dxa"/>
            <w:bottom w:w="0" w:type="dxa"/>
            <w:right w:w="108" w:type="dxa"/>
          </w:tblCellMar>
        </w:tblPrEx>
        <w:trPr>
          <w:trHeight w:val="270" w:hRule="atLeast"/>
          <w:tblHeader/>
        </w:trPr>
        <w:tc>
          <w:tcPr>
            <w:tcW w:w="2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280"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80"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#城镇</w:t>
            </w:r>
          </w:p>
        </w:tc>
        <w:tc>
          <w:tcPr>
            <w:tcW w:w="3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28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9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一产</w:t>
            </w:r>
          </w:p>
        </w:tc>
        <w:tc>
          <w:tcPr>
            <w:tcW w:w="301"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二产</w:t>
            </w:r>
          </w:p>
        </w:tc>
        <w:tc>
          <w:tcPr>
            <w:tcW w:w="29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#工业</w:t>
            </w:r>
          </w:p>
        </w:tc>
        <w:tc>
          <w:tcPr>
            <w:tcW w:w="331"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三产</w:t>
            </w:r>
          </w:p>
        </w:tc>
        <w:tc>
          <w:tcPr>
            <w:tcW w:w="243" w:type="pct"/>
            <w:vMerge w:val="continue"/>
            <w:tcBorders>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250"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24"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w:t>
            </w:r>
          </w:p>
        </w:tc>
        <w:tc>
          <w:tcPr>
            <w:tcW w:w="326"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绿化</w:t>
            </w:r>
          </w:p>
        </w:tc>
        <w:tc>
          <w:tcPr>
            <w:tcW w:w="250"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河湖需水</w:t>
            </w:r>
          </w:p>
        </w:tc>
        <w:tc>
          <w:tcPr>
            <w:tcW w:w="261"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环境卫生</w:t>
            </w:r>
          </w:p>
        </w:tc>
      </w:tr>
      <w:tr>
        <w:tblPrEx>
          <w:tblCellMar>
            <w:top w:w="0" w:type="dxa"/>
            <w:left w:w="108" w:type="dxa"/>
            <w:bottom w:w="0" w:type="dxa"/>
            <w:right w:w="108" w:type="dxa"/>
          </w:tblCellMar>
        </w:tblPrEx>
        <w:trPr>
          <w:trHeight w:val="270" w:hRule="atLeast"/>
        </w:trPr>
        <w:tc>
          <w:tcPr>
            <w:tcW w:w="299"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2020</w:t>
            </w: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17.86</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17.86</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79.76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28.18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16.45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51.58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西城街道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16.34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16.34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72.99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25.79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15.05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47.20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68</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朝阳街道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26.20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110.12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37.86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22.10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69.29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96</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凤西街道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4.05</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11.52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1.79</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5.62</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蒲家镇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复兴镇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2.43</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12.15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1.31</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2.24</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双龙镇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0.47</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1.69</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33.25</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凤北街道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3.02</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17.39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8.71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0.58</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罗江镇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1.53</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2.95</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4.42</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磐石镇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1.95</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碑庙镇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0.27</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2.15</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安云乡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0.75</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青宁乡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金石镇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梓桐镇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0.95</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江陵镇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0.33</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2.49</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北山镇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1.14</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90.57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70.15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340.70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27.40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110.70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64.62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202.60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11.96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55.24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293</w:t>
            </w:r>
          </w:p>
        </w:tc>
      </w:tr>
      <w:tr>
        <w:tblPrEx>
          <w:tblCellMar>
            <w:top w:w="0" w:type="dxa"/>
            <w:left w:w="108" w:type="dxa"/>
            <w:bottom w:w="0" w:type="dxa"/>
            <w:right w:w="108" w:type="dxa"/>
          </w:tblCellMar>
        </w:tblPrEx>
        <w:trPr>
          <w:trHeight w:val="270" w:hRule="atLeast"/>
        </w:trPr>
        <w:tc>
          <w:tcPr>
            <w:tcW w:w="299"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2025</w:t>
            </w: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20.21</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110.06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37.71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22.02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72.34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西城街道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18.49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18.49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100.71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34.51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20.15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66.20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朝阳街道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30.38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28.42</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151.47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3.61</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50.67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29.58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97.19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凤西街道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15.43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3.44</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7.88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蒲家镇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8.43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1.68</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复兴镇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16.55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2.99</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9.84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0.49</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0.67</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双龙镇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2.88</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0.63</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33.31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凤北街道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6.56</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3.46</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0.58</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罗江镇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43%</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13.01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6.19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磐石镇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1.95</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碑庙镇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0.37</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2.15</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安云乡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青宁乡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金石镇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1.41</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梓桐镇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江陵镇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1.93</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北山镇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0.19</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0.62</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100.89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80.44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465.63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33.34</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148.14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86.48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284.16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55.34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965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376</w:t>
            </w:r>
          </w:p>
        </w:tc>
      </w:tr>
      <w:tr>
        <w:tblPrEx>
          <w:tblCellMar>
            <w:top w:w="0" w:type="dxa"/>
            <w:left w:w="108" w:type="dxa"/>
            <w:bottom w:w="0" w:type="dxa"/>
            <w:right w:w="108" w:type="dxa"/>
          </w:tblCellMar>
        </w:tblPrEx>
        <w:trPr>
          <w:trHeight w:val="270" w:hRule="atLeast"/>
        </w:trPr>
        <w:tc>
          <w:tcPr>
            <w:tcW w:w="299"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2030</w:t>
            </w: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27.04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27.04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148.40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49.29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28.77</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99.11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西城街道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24.74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24.74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135.80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26.33</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90.70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朝阳街道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40.65</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38.85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203.66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66.22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38.66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133.15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583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219</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凤西街道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5.71</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4.08</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3.14</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蒲家镇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1.26</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11.10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2.25</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复兴镇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22.06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13.48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0.62</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3.03</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双龙镇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2.82</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4.87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33.36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凤北街道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30.73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4.86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16.74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0.58</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罗江镇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16.97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8.48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磐石镇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1.26</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碑庙镇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2.13</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安云乡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0.66</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2.19</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青宁乡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金石镇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1.68</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梓桐镇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江陵镇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0.63</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北山镇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1.07</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1.65</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128.04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106.51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622.53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193.62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113.02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389.32</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34.54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6.43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1598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639</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601</w:t>
            </w:r>
          </w:p>
        </w:tc>
      </w:tr>
      <w:tr>
        <w:tblPrEx>
          <w:tblCellMar>
            <w:top w:w="0" w:type="dxa"/>
            <w:left w:w="108" w:type="dxa"/>
            <w:bottom w:w="0" w:type="dxa"/>
            <w:right w:w="108" w:type="dxa"/>
          </w:tblCellMar>
        </w:tblPrEx>
        <w:trPr>
          <w:trHeight w:val="270" w:hRule="atLeast"/>
        </w:trPr>
        <w:tc>
          <w:tcPr>
            <w:tcW w:w="299"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2035</w:t>
            </w: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35.34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35.34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186.47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59.97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35.01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126.50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247</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西城街道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32.34</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32.34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170.63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54.88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32.03</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115.75</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582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226</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朝阳街道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53.13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51.83</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255.48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4.97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80.57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47.03</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169.94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933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344</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凤西街道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7.46</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4.03</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54%</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25.05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4.73</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13.79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蒲家镇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1.34</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13.75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2.15</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复兴镇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27.54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8.15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4.76</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17.20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1.06</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0.66</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0.95</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1.07</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1.02</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双龙镇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5.29</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33.42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凤北街道</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38.06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21.36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0.58</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罗江镇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1.92</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20.90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4.94</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10.83</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磐石镇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0.27</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碑庙镇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2.47</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0.18</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2.16</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安云乡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0.68</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0.44</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2.38</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青宁乡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0.79</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0.13</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0.51</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0.06</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金石镇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1.94</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1.84</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梓桐镇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0.81</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0.09</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1.59</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0.26</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0.07</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1.37</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0.15</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江陵镇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2.66</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0.22</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0.80</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3.31</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0.12</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2.51</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北山镇</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0.23</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1.92</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0.30</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3.76</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0.08</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2.22</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tc>
        <w:tc>
          <w:tcPr>
            <w:tcW w:w="373"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160.52</w:t>
            </w:r>
          </w:p>
        </w:tc>
        <w:tc>
          <w:tcPr>
            <w:tcW w:w="28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138.30</w:t>
            </w:r>
          </w:p>
        </w:tc>
        <w:tc>
          <w:tcPr>
            <w:tcW w:w="3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c>
          <w:tcPr>
            <w:tcW w:w="285"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778.34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45.90</w:t>
            </w:r>
          </w:p>
        </w:tc>
        <w:tc>
          <w:tcPr>
            <w:tcW w:w="30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235.56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137.51</w:t>
            </w:r>
          </w:p>
        </w:tc>
        <w:tc>
          <w:tcPr>
            <w:tcW w:w="33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496.88</w:t>
            </w:r>
          </w:p>
        </w:tc>
        <w:tc>
          <w:tcPr>
            <w:tcW w:w="24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37.54</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55.53</w:t>
            </w:r>
          </w:p>
        </w:tc>
        <w:tc>
          <w:tcPr>
            <w:tcW w:w="22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6.53</w:t>
            </w:r>
          </w:p>
        </w:tc>
        <w:tc>
          <w:tcPr>
            <w:tcW w:w="32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2489</w:t>
            </w:r>
          </w:p>
        </w:tc>
        <w:tc>
          <w:tcPr>
            <w:tcW w:w="2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968</w:t>
            </w:r>
          </w:p>
        </w:tc>
        <w:tc>
          <w:tcPr>
            <w:tcW w:w="26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919</w:t>
            </w:r>
          </w:p>
        </w:tc>
      </w:tr>
    </w:tbl>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p>
    <w:p>
      <w:pPr>
        <w:spacing w:line="520" w:lineRule="exact"/>
        <w:ind w:firstLine="560"/>
        <w:rPr>
          <w:rFonts w:eastAsia="华文仿宋"/>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12" w:charSpace="0"/>
        </w:sectPr>
      </w:pPr>
    </w:p>
    <w:p>
      <w:pPr>
        <w:pStyle w:val="4"/>
        <w:rPr>
          <w:rFonts w:ascii="Times New Roman" w:hAnsi="Times New Roman" w:cs="Times New Roman"/>
          <w:color w:val="000000" w:themeColor="text1"/>
          <w14:textFill>
            <w14:solidFill>
              <w14:schemeClr w14:val="tx1"/>
            </w14:solidFill>
          </w14:textFill>
        </w:rPr>
      </w:pPr>
      <w:bookmarkStart w:id="134" w:name="_Toc546"/>
      <w:bookmarkStart w:id="135" w:name="_Toc20844"/>
      <w:bookmarkStart w:id="136" w:name="_Toc23454"/>
      <w:bookmarkStart w:id="137" w:name="_Toc24910"/>
      <w:bookmarkStart w:id="138" w:name="_Toc8164"/>
      <w:r>
        <w:rPr>
          <w:rFonts w:ascii="Times New Roman" w:hAnsi="Times New Roman" w:cs="Times New Roman"/>
          <w:color w:val="000000" w:themeColor="text1"/>
          <w14:textFill>
            <w14:solidFill>
              <w14:schemeClr w14:val="tx1"/>
            </w14:solidFill>
          </w14:textFill>
        </w:rPr>
        <w:t xml:space="preserve">4.2  </w:t>
      </w:r>
      <w:bookmarkEnd w:id="134"/>
      <w:bookmarkEnd w:id="135"/>
      <w:bookmarkEnd w:id="136"/>
      <w:r>
        <w:rPr>
          <w:rFonts w:ascii="Times New Roman" w:hAnsi="Times New Roman" w:cs="Times New Roman"/>
          <w:color w:val="000000" w:themeColor="text1"/>
          <w14:textFill>
            <w14:solidFill>
              <w14:schemeClr w14:val="tx1"/>
            </w14:solidFill>
          </w14:textFill>
        </w:rPr>
        <w:t>节水评价</w:t>
      </w:r>
      <w:bookmarkEnd w:id="137"/>
      <w:bookmarkEnd w:id="138"/>
    </w:p>
    <w:p>
      <w:pPr>
        <w:pStyle w:val="5"/>
        <w:rPr>
          <w:rFonts w:ascii="Times New Roman" w:hAnsi="Times New Roman"/>
          <w:color w:val="000000" w:themeColor="text1"/>
          <w14:textFill>
            <w14:solidFill>
              <w14:schemeClr w14:val="tx1"/>
            </w14:solidFill>
          </w14:textFill>
        </w:rPr>
      </w:pPr>
      <w:bookmarkStart w:id="139" w:name="_Toc27622"/>
      <w:r>
        <w:rPr>
          <w:rFonts w:ascii="Times New Roman" w:hAnsi="Times New Roman"/>
          <w:color w:val="000000" w:themeColor="text1"/>
          <w14:textFill>
            <w14:solidFill>
              <w14:schemeClr w14:val="tx1"/>
            </w14:solidFill>
          </w14:textFill>
        </w:rPr>
        <w:t>4.2.1  现状用水水平分析与节水潜力分析</w:t>
      </w:r>
      <w:bookmarkEnd w:id="139"/>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4.2.1.1  现状节水水平评价</w:t>
      </w:r>
    </w:p>
    <w:p>
      <w:pPr>
        <w:spacing w:line="48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1、供水量</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根据通川区近</w:t>
      </w:r>
      <w:r>
        <w:rPr>
          <w:rFonts w:hint="eastAsia" w:eastAsia="仿宋_GB2312"/>
          <w:bCs/>
          <w:color w:val="000000" w:themeColor="text1"/>
          <w:kern w:val="2"/>
          <w:sz w:val="28"/>
          <w14:textFill>
            <w14:solidFill>
              <w14:schemeClr w14:val="tx1"/>
            </w14:solidFill>
          </w14:textFill>
        </w:rPr>
        <w:t>3</w:t>
      </w:r>
      <w:r>
        <w:rPr>
          <w:rFonts w:eastAsia="仿宋_GB2312"/>
          <w:bCs/>
          <w:color w:val="000000" w:themeColor="text1"/>
          <w:kern w:val="2"/>
          <w:sz w:val="28"/>
          <w14:textFill>
            <w14:solidFill>
              <w14:schemeClr w14:val="tx1"/>
            </w14:solidFill>
          </w14:textFill>
        </w:rPr>
        <w:t>年水资源公报统计，2018年通川区总供水量11922万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，地表水源供水量11096万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，占总供水量的93.1%：地下水源供水量826万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，占总供水量的6.9%，其它水源供水量0万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。2020年，通川区的总供水量为</w:t>
      </w:r>
      <w:r>
        <w:rPr>
          <w:rFonts w:hint="eastAsia" w:eastAsia="仿宋_GB2312"/>
          <w:bCs/>
          <w:color w:val="000000" w:themeColor="text1"/>
          <w:kern w:val="2"/>
          <w:sz w:val="28"/>
          <w14:textFill>
            <w14:solidFill>
              <w14:schemeClr w14:val="tx1"/>
            </w14:solidFill>
          </w14:textFill>
        </w:rPr>
        <w:t>14281</w:t>
      </w:r>
      <w:r>
        <w:rPr>
          <w:rFonts w:eastAsia="仿宋_GB2312"/>
          <w:bCs/>
          <w:color w:val="000000" w:themeColor="text1"/>
          <w:kern w:val="2"/>
          <w:sz w:val="28"/>
          <w14:textFill>
            <w14:solidFill>
              <w14:schemeClr w14:val="tx1"/>
            </w14:solidFill>
          </w14:textFill>
        </w:rPr>
        <w:t>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，其中地表水</w:t>
      </w:r>
      <w:r>
        <w:rPr>
          <w:rFonts w:hint="eastAsia" w:eastAsia="仿宋_GB2312"/>
          <w:bCs/>
          <w:color w:val="000000" w:themeColor="text1"/>
          <w:kern w:val="2"/>
          <w:sz w:val="28"/>
          <w14:textFill>
            <w14:solidFill>
              <w14:schemeClr w14:val="tx1"/>
            </w14:solidFill>
          </w14:textFill>
        </w:rPr>
        <w:t>14280</w:t>
      </w:r>
      <w:r>
        <w:rPr>
          <w:rFonts w:eastAsia="仿宋_GB2312"/>
          <w:bCs/>
          <w:color w:val="000000" w:themeColor="text1"/>
          <w:kern w:val="2"/>
          <w:sz w:val="28"/>
          <w14:textFill>
            <w14:solidFill>
              <w14:schemeClr w14:val="tx1"/>
            </w14:solidFill>
          </w14:textFill>
        </w:rPr>
        <w:t>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，占总供水量的99.</w:t>
      </w:r>
      <w:r>
        <w:rPr>
          <w:rFonts w:hint="eastAsia" w:eastAsia="仿宋_GB2312"/>
          <w:bCs/>
          <w:color w:val="000000" w:themeColor="text1"/>
          <w:kern w:val="2"/>
          <w:sz w:val="28"/>
          <w14:textFill>
            <w14:solidFill>
              <w14:schemeClr w14:val="tx1"/>
            </w14:solidFill>
          </w14:textFill>
        </w:rPr>
        <w:t>99</w:t>
      </w:r>
      <w:r>
        <w:rPr>
          <w:rFonts w:eastAsia="仿宋_GB2312"/>
          <w:bCs/>
          <w:color w:val="000000" w:themeColor="text1"/>
          <w:kern w:val="2"/>
          <w:sz w:val="28"/>
          <w14:textFill>
            <w14:solidFill>
              <w14:schemeClr w14:val="tx1"/>
            </w14:solidFill>
          </w14:textFill>
        </w:rPr>
        <w:t>%，地下水源供水量</w:t>
      </w:r>
      <w:r>
        <w:rPr>
          <w:rFonts w:hint="eastAsia" w:eastAsia="仿宋_GB2312"/>
          <w:bCs/>
          <w:color w:val="000000" w:themeColor="text1"/>
          <w:kern w:val="2"/>
          <w:sz w:val="28"/>
          <w14:textFill>
            <w14:solidFill>
              <w14:schemeClr w14:val="tx1"/>
            </w14:solidFill>
          </w14:textFill>
        </w:rPr>
        <w:t>2</w:t>
      </w:r>
      <w:r>
        <w:rPr>
          <w:rFonts w:eastAsia="仿宋_GB2312"/>
          <w:bCs/>
          <w:color w:val="000000" w:themeColor="text1"/>
          <w:kern w:val="2"/>
          <w:sz w:val="28"/>
          <w14:textFill>
            <w14:solidFill>
              <w14:schemeClr w14:val="tx1"/>
            </w14:solidFill>
          </w14:textFill>
        </w:rPr>
        <w:t>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，占总供水量的0.</w:t>
      </w:r>
      <w:r>
        <w:rPr>
          <w:rFonts w:hint="eastAsia" w:eastAsia="仿宋_GB2312"/>
          <w:bCs/>
          <w:color w:val="000000" w:themeColor="text1"/>
          <w:kern w:val="2"/>
          <w:sz w:val="28"/>
          <w14:textFill>
            <w14:solidFill>
              <w14:schemeClr w14:val="tx1"/>
            </w14:solidFill>
          </w14:textFill>
        </w:rPr>
        <w:t>01</w:t>
      </w:r>
      <w:r>
        <w:rPr>
          <w:rFonts w:eastAsia="仿宋_GB2312"/>
          <w:bCs/>
          <w:color w:val="000000" w:themeColor="text1"/>
          <w:kern w:val="2"/>
          <w:sz w:val="28"/>
          <w14:textFill>
            <w14:solidFill>
              <w14:schemeClr w14:val="tx1"/>
            </w14:solidFill>
          </w14:textFill>
        </w:rPr>
        <w:t>%。现状地表水源供水量是通川区的主要的供水水源，再生水等水源利用较少。</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近3年通川区供水量见表4.2.1。</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表4.2.1  近3年通川区供水量</w:t>
      </w:r>
    </w:p>
    <w:p>
      <w:pPr>
        <w:pStyle w:val="111"/>
        <w:spacing w:line="240" w:lineRule="auto"/>
        <w:jc w:val="right"/>
        <w:rPr>
          <w:color w:val="000000" w:themeColor="text1"/>
          <w14:textFill>
            <w14:solidFill>
              <w14:schemeClr w14:val="tx1"/>
            </w14:solidFill>
          </w14:textFill>
        </w:rPr>
      </w:pPr>
      <w:r>
        <w:rPr>
          <w:color w:val="000000" w:themeColor="text1"/>
          <w14:textFill>
            <w14:solidFill>
              <w14:schemeClr w14:val="tx1"/>
            </w14:solidFill>
          </w14:textFill>
        </w:rPr>
        <w:t>单位：万</w:t>
      </w:r>
      <w:r>
        <w:rPr>
          <w:rFonts w:hint="eastAsia"/>
          <w:color w:val="000000" w:themeColor="text1"/>
          <w14:textFill>
            <w14:solidFill>
              <w14:schemeClr w14:val="tx1"/>
            </w14:solidFill>
          </w14:textFill>
        </w:rPr>
        <w:t>m³</w:t>
      </w:r>
    </w:p>
    <w:tbl>
      <w:tblPr>
        <w:tblStyle w:val="40"/>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1841"/>
        <w:gridCol w:w="1583"/>
        <w:gridCol w:w="1583"/>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right"/>
        </w:trPr>
        <w:tc>
          <w:tcPr>
            <w:tcW w:w="983" w:type="pct"/>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年份</w:t>
            </w:r>
          </w:p>
        </w:tc>
        <w:tc>
          <w:tcPr>
            <w:tcW w:w="1080"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地表水源</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地下水源</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其它水源</w:t>
            </w:r>
          </w:p>
        </w:tc>
        <w:tc>
          <w:tcPr>
            <w:tcW w:w="107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总供水量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right"/>
        </w:trPr>
        <w:tc>
          <w:tcPr>
            <w:tcW w:w="983"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2018</w:t>
            </w:r>
          </w:p>
        </w:tc>
        <w:tc>
          <w:tcPr>
            <w:tcW w:w="1080"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11096</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826</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107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right"/>
        </w:trPr>
        <w:tc>
          <w:tcPr>
            <w:tcW w:w="983"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2019</w:t>
            </w:r>
          </w:p>
        </w:tc>
        <w:tc>
          <w:tcPr>
            <w:tcW w:w="1080"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11699</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35</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15</w:t>
            </w:r>
          </w:p>
        </w:tc>
        <w:tc>
          <w:tcPr>
            <w:tcW w:w="107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11749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right"/>
        </w:trPr>
        <w:tc>
          <w:tcPr>
            <w:tcW w:w="983"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2020</w:t>
            </w:r>
          </w:p>
        </w:tc>
        <w:tc>
          <w:tcPr>
            <w:tcW w:w="1080"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14280</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92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1079" w:type="pct"/>
            <w:noWrap/>
            <w:vAlign w:val="center"/>
          </w:tcPr>
          <w:p>
            <w:pPr>
              <w:pStyle w:val="116"/>
              <w:ind w:left="-140" w:right="-140"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14282</w:t>
            </w:r>
          </w:p>
        </w:tc>
      </w:tr>
    </w:tbl>
    <w:p>
      <w:pPr>
        <w:spacing w:line="48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2、用水量</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用水量指分配给用户的包括输水损失在内的毛用水量，按用户特性分为生活用水、生产用水和生态环境用水三大类。生活用水指居民住宅日常生活用水，分为城镇生活和农村生活用水；生产用水再划分为第一产业用水（农田灌溉用水和林牧渔畜用水）、第二产业用水（工业用水和建筑业用水）和第三产业用水（服务业用水）；生态用水分为城镇生态环境用水（含河湖补水和绿化、清洁用水）和农村生态补水（对湖泊、洼淀、沼泽的补水）。</w:t>
      </w:r>
    </w:p>
    <w:p>
      <w:pPr>
        <w:pStyle w:val="160"/>
        <w:spacing w:line="480" w:lineRule="exact"/>
        <w:ind w:firstLine="56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根据通川区近3年水资源公报统计，2018年，通川区的用水量为11922万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，其中：农业用水量3927万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，占总用水量的32.9%；工业用水量3456万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，占总用水量的29.0%；生活用水量（含城镇公共）4275万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，占总用水量的35.9%；生态用水264万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，占总用水量的2.2%。2020年，通川区的用水量为</w:t>
      </w:r>
      <w:r>
        <w:rPr>
          <w:rFonts w:hint="eastAsia" w:eastAsia="仿宋_GB2312"/>
          <w:color w:val="000000" w:themeColor="text1"/>
          <w:sz w:val="28"/>
          <w14:textFill>
            <w14:solidFill>
              <w14:schemeClr w14:val="tx1"/>
            </w14:solidFill>
          </w14:textFill>
        </w:rPr>
        <w:t>14282</w:t>
      </w:r>
      <w:r>
        <w:rPr>
          <w:rFonts w:eastAsia="仿宋_GB2312"/>
          <w:color w:val="000000" w:themeColor="text1"/>
          <w:sz w:val="28"/>
          <w14:textFill>
            <w14:solidFill>
              <w14:schemeClr w14:val="tx1"/>
            </w14:solidFill>
          </w14:textFill>
        </w:rPr>
        <w:t>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，其中：农业用水量</w:t>
      </w:r>
      <w:r>
        <w:rPr>
          <w:rFonts w:hint="eastAsia" w:eastAsia="仿宋_GB2312"/>
          <w:color w:val="000000" w:themeColor="text1"/>
          <w:sz w:val="28"/>
          <w14:textFill>
            <w14:solidFill>
              <w14:schemeClr w14:val="tx1"/>
            </w14:solidFill>
          </w14:textFill>
        </w:rPr>
        <w:t>6062</w:t>
      </w:r>
      <w:r>
        <w:rPr>
          <w:rFonts w:eastAsia="仿宋_GB2312"/>
          <w:color w:val="000000" w:themeColor="text1"/>
          <w:sz w:val="28"/>
          <w14:textFill>
            <w14:solidFill>
              <w14:schemeClr w14:val="tx1"/>
            </w14:solidFill>
          </w14:textFill>
        </w:rPr>
        <w:t>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w:t>
      </w:r>
      <w:r>
        <w:rPr>
          <w:rFonts w:hint="eastAsia" w:eastAsia="仿宋_GB2312"/>
          <w:color w:val="000000" w:themeColor="text1"/>
          <w:sz w:val="28"/>
          <w14:textFill>
            <w14:solidFill>
              <w14:schemeClr w14:val="tx1"/>
            </w14:solidFill>
          </w14:textFill>
        </w:rPr>
        <w:t>42.4</w:t>
      </w:r>
      <w:r>
        <w:rPr>
          <w:rFonts w:eastAsia="仿宋_GB2312"/>
          <w:color w:val="000000" w:themeColor="text1"/>
          <w:sz w:val="28"/>
          <w14:textFill>
            <w14:solidFill>
              <w14:schemeClr w14:val="tx1"/>
            </w14:solidFill>
          </w14:textFill>
        </w:rPr>
        <w:t>%；工业用水量</w:t>
      </w:r>
      <w:r>
        <w:rPr>
          <w:rFonts w:hint="eastAsia" w:eastAsia="仿宋_GB2312"/>
          <w:color w:val="000000" w:themeColor="text1"/>
          <w:sz w:val="28"/>
          <w14:textFill>
            <w14:solidFill>
              <w14:schemeClr w14:val="tx1"/>
            </w14:solidFill>
          </w14:textFill>
        </w:rPr>
        <w:t>2323</w:t>
      </w:r>
      <w:r>
        <w:rPr>
          <w:rFonts w:eastAsia="仿宋_GB2312"/>
          <w:color w:val="000000" w:themeColor="text1"/>
          <w:sz w:val="28"/>
          <w14:textFill>
            <w14:solidFill>
              <w14:schemeClr w14:val="tx1"/>
            </w14:solidFill>
          </w14:textFill>
        </w:rPr>
        <w:t>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，占总用水量的1</w:t>
      </w:r>
      <w:r>
        <w:rPr>
          <w:rFonts w:hint="eastAsia" w:eastAsia="仿宋_GB2312"/>
          <w:color w:val="000000" w:themeColor="text1"/>
          <w:sz w:val="28"/>
          <w14:textFill>
            <w14:solidFill>
              <w14:schemeClr w14:val="tx1"/>
            </w14:solidFill>
          </w14:textFill>
        </w:rPr>
        <w:t>6.3</w:t>
      </w:r>
      <w:r>
        <w:rPr>
          <w:rFonts w:eastAsia="仿宋_GB2312"/>
          <w:color w:val="000000" w:themeColor="text1"/>
          <w:sz w:val="28"/>
          <w14:textFill>
            <w14:solidFill>
              <w14:schemeClr w14:val="tx1"/>
            </w14:solidFill>
          </w14:textFill>
        </w:rPr>
        <w:t>%；生活用水量（含城镇公共）</w:t>
      </w:r>
      <w:r>
        <w:rPr>
          <w:rFonts w:hint="eastAsia" w:eastAsia="仿宋_GB2312"/>
          <w:color w:val="000000" w:themeColor="text1"/>
          <w:sz w:val="28"/>
          <w14:textFill>
            <w14:solidFill>
              <w14:schemeClr w14:val="tx1"/>
            </w14:solidFill>
          </w14:textFill>
        </w:rPr>
        <w:t>5146</w:t>
      </w:r>
      <w:r>
        <w:rPr>
          <w:rFonts w:eastAsia="仿宋_GB2312"/>
          <w:color w:val="000000" w:themeColor="text1"/>
          <w:sz w:val="28"/>
          <w14:textFill>
            <w14:solidFill>
              <w14:schemeClr w14:val="tx1"/>
            </w14:solidFill>
          </w14:textFill>
        </w:rPr>
        <w:t>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w:t>
      </w:r>
      <w:r>
        <w:rPr>
          <w:rFonts w:hint="eastAsia" w:eastAsia="仿宋_GB2312"/>
          <w:color w:val="000000" w:themeColor="text1"/>
          <w:sz w:val="28"/>
          <w14:textFill>
            <w14:solidFill>
              <w14:schemeClr w14:val="tx1"/>
            </w14:solidFill>
          </w14:textFill>
        </w:rPr>
        <w:t>36.0</w:t>
      </w:r>
      <w:r>
        <w:rPr>
          <w:rFonts w:eastAsia="仿宋_GB2312"/>
          <w:color w:val="000000" w:themeColor="text1"/>
          <w:sz w:val="28"/>
          <w14:textFill>
            <w14:solidFill>
              <w14:schemeClr w14:val="tx1"/>
            </w14:solidFill>
          </w14:textFill>
        </w:rPr>
        <w:t>%；生态用水</w:t>
      </w:r>
      <w:r>
        <w:rPr>
          <w:rFonts w:hint="eastAsia" w:eastAsia="仿宋_GB2312"/>
          <w:color w:val="000000" w:themeColor="text1"/>
          <w:sz w:val="28"/>
          <w14:textFill>
            <w14:solidFill>
              <w14:schemeClr w14:val="tx1"/>
            </w14:solidFill>
          </w14:textFill>
        </w:rPr>
        <w:t>751</w:t>
      </w:r>
      <w:r>
        <w:rPr>
          <w:rFonts w:eastAsia="仿宋_GB2312"/>
          <w:color w:val="000000" w:themeColor="text1"/>
          <w:sz w:val="28"/>
          <w14:textFill>
            <w14:solidFill>
              <w14:schemeClr w14:val="tx1"/>
            </w14:solidFill>
          </w14:textFill>
        </w:rPr>
        <w:t>万</w:t>
      </w:r>
      <w:r>
        <w:rPr>
          <w:rFonts w:hint="eastAsia" w:eastAsia="仿宋_GB2312"/>
          <w:color w:val="000000" w:themeColor="text1"/>
          <w:sz w:val="28"/>
          <w14:textFill>
            <w14:solidFill>
              <w14:schemeClr w14:val="tx1"/>
            </w14:solidFill>
          </w14:textFill>
        </w:rPr>
        <w:t>m³</w:t>
      </w:r>
      <w:r>
        <w:rPr>
          <w:rFonts w:eastAsia="仿宋_GB2312"/>
          <w:color w:val="000000" w:themeColor="text1"/>
          <w:sz w:val="28"/>
          <w14:textFill>
            <w14:solidFill>
              <w14:schemeClr w14:val="tx1"/>
            </w14:solidFill>
          </w14:textFill>
        </w:rPr>
        <w:t>，占总用水量的</w:t>
      </w:r>
      <w:r>
        <w:rPr>
          <w:rFonts w:hint="eastAsia" w:eastAsia="仿宋_GB2312"/>
          <w:color w:val="000000" w:themeColor="text1"/>
          <w:sz w:val="28"/>
          <w14:textFill>
            <w14:solidFill>
              <w14:schemeClr w14:val="tx1"/>
            </w14:solidFill>
          </w14:textFill>
        </w:rPr>
        <w:t>5.3</w:t>
      </w:r>
      <w:r>
        <w:rPr>
          <w:rFonts w:eastAsia="仿宋_GB2312"/>
          <w:color w:val="000000" w:themeColor="text1"/>
          <w:sz w:val="28"/>
          <w14:textFill>
            <w14:solidFill>
              <w14:schemeClr w14:val="tx1"/>
            </w14:solidFill>
          </w14:textFill>
        </w:rPr>
        <w:t>%。</w:t>
      </w:r>
    </w:p>
    <w:p>
      <w:pPr>
        <w:pStyle w:val="160"/>
        <w:spacing w:line="480" w:lineRule="exact"/>
        <w:ind w:firstLine="560"/>
        <w:rPr>
          <w:rFonts w:eastAsia="仿宋_GB2312"/>
          <w:color w:val="000000" w:themeColor="text1"/>
          <w14:textFill>
            <w14:solidFill>
              <w14:schemeClr w14:val="tx1"/>
            </w14:solidFill>
          </w14:textFill>
        </w:rPr>
      </w:pPr>
      <w:r>
        <w:rPr>
          <w:rFonts w:eastAsia="仿宋_GB2312"/>
          <w:color w:val="000000" w:themeColor="text1"/>
          <w:sz w:val="28"/>
          <w14:textFill>
            <w14:solidFill>
              <w14:schemeClr w14:val="tx1"/>
            </w14:solidFill>
          </w14:textFill>
        </w:rPr>
        <w:t>近3年通川区用水量见表4.2.2。</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表4.2.2  近3年通川区用水量</w:t>
      </w:r>
    </w:p>
    <w:p>
      <w:pPr>
        <w:pStyle w:val="111"/>
        <w:jc w:val="right"/>
        <w:rPr>
          <w:color w:val="000000" w:themeColor="text1"/>
          <w:vertAlign w:val="superscript"/>
          <w14:textFill>
            <w14:solidFill>
              <w14:schemeClr w14:val="tx1"/>
            </w14:solidFill>
          </w14:textFill>
        </w:rPr>
      </w:pPr>
      <w:r>
        <w:rPr>
          <w:color w:val="000000" w:themeColor="text1"/>
          <w14:textFill>
            <w14:solidFill>
              <w14:schemeClr w14:val="tx1"/>
            </w14:solidFill>
          </w14:textFill>
        </w:rPr>
        <w:t>单位：万</w:t>
      </w:r>
      <w:r>
        <w:rPr>
          <w:rFonts w:hint="eastAsia"/>
          <w:color w:val="000000" w:themeColor="text1"/>
          <w14:textFill>
            <w14:solidFill>
              <w14:schemeClr w14:val="tx1"/>
            </w14:solidFill>
          </w14:textFill>
        </w:rPr>
        <w:t>m³</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455"/>
        <w:gridCol w:w="1456"/>
        <w:gridCol w:w="1456"/>
        <w:gridCol w:w="1456"/>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2"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年份</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农业</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工业</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生活</w:t>
            </w:r>
          </w:p>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（含公共）</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生态</w:t>
            </w:r>
          </w:p>
        </w:tc>
        <w:tc>
          <w:tcPr>
            <w:tcW w:w="852"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总用水量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2"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2018</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3927</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3456</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4275</w:t>
            </w:r>
          </w:p>
        </w:tc>
        <w:tc>
          <w:tcPr>
            <w:tcW w:w="854"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264</w:t>
            </w:r>
          </w:p>
        </w:tc>
        <w:tc>
          <w:tcPr>
            <w:tcW w:w="852" w:type="pct"/>
            <w:shd w:val="clear" w:color="000000" w:fill="FFFFFF"/>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11922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2"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2019</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3984</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2159</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4870</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736</w:t>
            </w:r>
          </w:p>
        </w:tc>
        <w:tc>
          <w:tcPr>
            <w:tcW w:w="852"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11749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2"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2020</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6062</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2323</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5146</w:t>
            </w:r>
          </w:p>
        </w:tc>
        <w:tc>
          <w:tcPr>
            <w:tcW w:w="854"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 xml:space="preserve">751 </w:t>
            </w:r>
          </w:p>
        </w:tc>
        <w:tc>
          <w:tcPr>
            <w:tcW w:w="852" w:type="pct"/>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14282</w:t>
            </w:r>
          </w:p>
        </w:tc>
      </w:tr>
    </w:tbl>
    <w:p>
      <w:pPr>
        <w:spacing w:line="48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3、用水水平分析</w:t>
      </w:r>
    </w:p>
    <w:p>
      <w:pPr>
        <w:spacing w:line="48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（1）通川区用水水平</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2020年，通川区人均综合用水量为150</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，低于四川省的301</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及全国的430</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；万元GDP（当年价）用水量42</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，低于四川省的54</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及全国的61</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；万元工业增加值（当年价）用水量35</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/万元，与四川省及全国平均水平相当；城镇居民人均生活用水量（含公共用水）为170L/人.d，均低于低于四川省的239L/人</w:t>
      </w:r>
      <w:r>
        <w:rPr>
          <w:rFonts w:hint="eastAsia" w:ascii="仿宋" w:hAnsi="仿宋" w:eastAsia="仿宋"/>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d和全国的225L/人</w:t>
      </w:r>
      <w:r>
        <w:rPr>
          <w:rFonts w:hint="eastAsia" w:ascii="仿宋" w:hAnsi="仿宋" w:eastAsia="仿宋"/>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d；农田实际灌溉亩均用水量320</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，低于全省的365</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及全国的368</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随着社会经济的发展，通川区水资源开发利用的水平和效率在不断提高，总体而言水资源利用方式还很粗放，用水效率不高，节水管理与节水技术仍需提高，主要用水效率指标与省内及国内其它先进地区尚有一定差距。</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通川区现状用水指标见表4.2.3。</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表4.2.3  通川区现状用水指标</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1075"/>
        <w:gridCol w:w="1345"/>
        <w:gridCol w:w="1116"/>
        <w:gridCol w:w="1510"/>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行政区</w:t>
            </w:r>
          </w:p>
        </w:tc>
        <w:tc>
          <w:tcPr>
            <w:tcW w:w="631"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人均用水量（</w:t>
            </w:r>
            <w:r>
              <w:rPr>
                <w:rFonts w:hint="eastAsia" w:eastAsia="宋体"/>
                <w:color w:val="000000" w:themeColor="text1"/>
                <w:kern w:val="0"/>
                <w:sz w:val="21"/>
                <w:szCs w:val="21"/>
                <w14:textFill>
                  <w14:solidFill>
                    <w14:schemeClr w14:val="tx1"/>
                  </w14:solidFill>
                </w14:textFill>
              </w:rPr>
              <w:t>m³</w:t>
            </w:r>
            <w:r>
              <w:rPr>
                <w:rFonts w:eastAsia="宋体"/>
                <w:color w:val="000000" w:themeColor="text1"/>
                <w:kern w:val="0"/>
                <w:sz w:val="21"/>
                <w:szCs w:val="21"/>
                <w14:textFill>
                  <w14:solidFill>
                    <w14:schemeClr w14:val="tx1"/>
                  </w14:solidFill>
                </w14:textFill>
              </w:rPr>
              <w:t>）</w:t>
            </w:r>
          </w:p>
        </w:tc>
        <w:tc>
          <w:tcPr>
            <w:tcW w:w="789"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万元GDP</w:t>
            </w:r>
          </w:p>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用水量</w:t>
            </w:r>
          </w:p>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r>
              <w:rPr>
                <w:rFonts w:hint="eastAsia" w:eastAsia="宋体"/>
                <w:color w:val="000000" w:themeColor="text1"/>
                <w:kern w:val="0"/>
                <w:sz w:val="21"/>
                <w:szCs w:val="21"/>
                <w14:textFill>
                  <w14:solidFill>
                    <w14:schemeClr w14:val="tx1"/>
                  </w14:solidFill>
                </w14:textFill>
              </w:rPr>
              <w:t>m³</w:t>
            </w:r>
            <w:r>
              <w:rPr>
                <w:rFonts w:eastAsia="宋体"/>
                <w:color w:val="000000" w:themeColor="text1"/>
                <w:kern w:val="0"/>
                <w:sz w:val="21"/>
                <w:szCs w:val="21"/>
                <w14:textFill>
                  <w14:solidFill>
                    <w14:schemeClr w14:val="tx1"/>
                  </w14:solidFill>
                </w14:textFill>
              </w:rPr>
              <w:t>）</w:t>
            </w:r>
          </w:p>
        </w:tc>
        <w:tc>
          <w:tcPr>
            <w:tcW w:w="655"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万元工业增加值用水量</w:t>
            </w:r>
          </w:p>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r>
              <w:rPr>
                <w:rFonts w:hint="eastAsia" w:eastAsia="宋体"/>
                <w:color w:val="000000" w:themeColor="text1"/>
                <w:kern w:val="0"/>
                <w:sz w:val="21"/>
                <w:szCs w:val="21"/>
                <w14:textFill>
                  <w14:solidFill>
                    <w14:schemeClr w14:val="tx1"/>
                  </w14:solidFill>
                </w14:textFill>
              </w:rPr>
              <w:t>m³</w:t>
            </w:r>
            <w:r>
              <w:rPr>
                <w:rFonts w:eastAsia="宋体"/>
                <w:color w:val="000000" w:themeColor="text1"/>
                <w:kern w:val="0"/>
                <w:sz w:val="21"/>
                <w:szCs w:val="21"/>
                <w14:textFill>
                  <w14:solidFill>
                    <w14:schemeClr w14:val="tx1"/>
                  </w14:solidFill>
                </w14:textFill>
              </w:rPr>
              <w:t>/万元）</w:t>
            </w:r>
          </w:p>
        </w:tc>
        <w:tc>
          <w:tcPr>
            <w:tcW w:w="886"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城镇居民人均生活用水量（含公共用水）（L/人</w:t>
            </w:r>
            <w:r>
              <w:rPr>
                <w:rFonts w:hint="eastAsia" w:ascii="仿宋" w:hAnsi="仿宋" w:eastAsia="仿宋"/>
                <w:bCs/>
                <w:color w:val="000000" w:themeColor="text1"/>
                <w14:textFill>
                  <w14:solidFill>
                    <w14:schemeClr w14:val="tx1"/>
                  </w14:solidFill>
                </w14:textFill>
              </w:rPr>
              <w:t>·</w:t>
            </w:r>
            <w:r>
              <w:rPr>
                <w:rFonts w:eastAsia="宋体"/>
                <w:color w:val="000000" w:themeColor="text1"/>
                <w:kern w:val="0"/>
                <w:sz w:val="21"/>
                <w:szCs w:val="21"/>
                <w14:textFill>
                  <w14:solidFill>
                    <w14:schemeClr w14:val="tx1"/>
                  </w14:solidFill>
                </w14:textFill>
              </w:rPr>
              <w:t>d）</w:t>
            </w:r>
          </w:p>
        </w:tc>
        <w:tc>
          <w:tcPr>
            <w:tcW w:w="873"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耕地实际灌溉亩均用水量</w:t>
            </w:r>
          </w:p>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r>
              <w:rPr>
                <w:rFonts w:hint="eastAsia" w:eastAsia="宋体"/>
                <w:color w:val="000000" w:themeColor="text1"/>
                <w:kern w:val="0"/>
                <w:sz w:val="21"/>
                <w:szCs w:val="21"/>
                <w14:textFill>
                  <w14:solidFill>
                    <w14:schemeClr w14:val="tx1"/>
                  </w14:solidFill>
                </w14:textFill>
              </w:rPr>
              <w:t>m³</w:t>
            </w:r>
            <w:r>
              <w:rPr>
                <w:rFonts w:eastAsia="宋体"/>
                <w:color w:val="000000" w:themeColor="text1"/>
                <w:kern w:val="0"/>
                <w:sz w:val="21"/>
                <w:szCs w:val="21"/>
                <w14:textFill>
                  <w14:solidFill>
                    <w14:schemeClr w14:val="tx1"/>
                  </w14:solidFill>
                </w14:textFill>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shd w:val="clear" w:color="auto" w:fill="auto"/>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通川区</w:t>
            </w:r>
          </w:p>
        </w:tc>
        <w:tc>
          <w:tcPr>
            <w:tcW w:w="631" w:type="pct"/>
            <w:shd w:val="clear" w:color="000000" w:fill="FFFFFF"/>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150</w:t>
            </w:r>
          </w:p>
        </w:tc>
        <w:tc>
          <w:tcPr>
            <w:tcW w:w="789" w:type="pct"/>
            <w:shd w:val="clear" w:color="000000" w:fill="FFFFFF"/>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w:t>
            </w:r>
          </w:p>
        </w:tc>
        <w:tc>
          <w:tcPr>
            <w:tcW w:w="655" w:type="pct"/>
            <w:shd w:val="clear" w:color="000000" w:fill="FFFFFF"/>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886" w:type="pct"/>
            <w:shd w:val="clear" w:color="000000" w:fill="FFFFFF"/>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170</w:t>
            </w:r>
          </w:p>
        </w:tc>
        <w:tc>
          <w:tcPr>
            <w:tcW w:w="873" w:type="pct"/>
            <w:shd w:val="clear" w:color="000000" w:fill="FFFFFF"/>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四川省</w:t>
            </w:r>
          </w:p>
        </w:tc>
        <w:tc>
          <w:tcPr>
            <w:tcW w:w="631"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301</w:t>
            </w:r>
          </w:p>
        </w:tc>
        <w:tc>
          <w:tcPr>
            <w:tcW w:w="789"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54</w:t>
            </w:r>
          </w:p>
        </w:tc>
        <w:tc>
          <w:tcPr>
            <w:tcW w:w="655"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886"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w:t>
            </w:r>
          </w:p>
        </w:tc>
        <w:tc>
          <w:tcPr>
            <w:tcW w:w="873"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西南区</w:t>
            </w:r>
          </w:p>
        </w:tc>
        <w:tc>
          <w:tcPr>
            <w:tcW w:w="631"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359</w:t>
            </w:r>
          </w:p>
        </w:tc>
        <w:tc>
          <w:tcPr>
            <w:tcW w:w="789"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68</w:t>
            </w:r>
          </w:p>
        </w:tc>
        <w:tc>
          <w:tcPr>
            <w:tcW w:w="655"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w:t>
            </w:r>
          </w:p>
        </w:tc>
        <w:tc>
          <w:tcPr>
            <w:tcW w:w="886"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248</w:t>
            </w:r>
          </w:p>
        </w:tc>
        <w:tc>
          <w:tcPr>
            <w:tcW w:w="873"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vAlign w:val="center"/>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全  国</w:t>
            </w:r>
          </w:p>
        </w:tc>
        <w:tc>
          <w:tcPr>
            <w:tcW w:w="631"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430 </w:t>
            </w:r>
          </w:p>
        </w:tc>
        <w:tc>
          <w:tcPr>
            <w:tcW w:w="789"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61 </w:t>
            </w:r>
          </w:p>
        </w:tc>
        <w:tc>
          <w:tcPr>
            <w:tcW w:w="655"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886"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225 </w:t>
            </w:r>
          </w:p>
        </w:tc>
        <w:tc>
          <w:tcPr>
            <w:tcW w:w="873" w:type="pct"/>
          </w:tcPr>
          <w:p>
            <w:pPr>
              <w:widowControl/>
              <w:adjustRightInd/>
              <w:snapToGrid/>
              <w:spacing w:line="240" w:lineRule="auto"/>
              <w:ind w:firstLine="0" w:firstLineChars="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368 </w:t>
            </w:r>
          </w:p>
        </w:tc>
      </w:tr>
    </w:tbl>
    <w:p>
      <w:pPr>
        <w:widowControl/>
        <w:adjustRightInd/>
        <w:snapToGrid/>
        <w:spacing w:line="240" w:lineRule="auto"/>
        <w:ind w:firstLine="420" w:firstLineChars="0"/>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备注：为2020年数据。</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4、供水水平分析</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参照国家相关节水标准及用水效率红线，结合灌区实际情况和供水环节水源工程的供水管网漏损率、灌溉水利用系数、再生水利用率等节水指标，对其节水可能性进行分析。各相关供水水平指标如下：</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（1）管网漏损率</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城镇生活供水由水厂通过供水管网传输到用户，其供水过程中由于管道材质、接口因素、水锤、温度的变化、腐蚀、施工等因素导致用户端与供水端之间水量的漏损，该值即为管网漏水量。管网漏损率则是指管网漏水量与供水总量之比，其是衡量一个供水系统供水效率的指标。</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目前，通川区平均管网漏损率为12%，与四川省平均水平相当，与发达国家3</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5%还有较大的差距。根据《城镇供水管网漏损控制及评定标准》（CJJ92-2016）规定：</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城镇供水管网基本漏损率分为两级，一级为10%，二级为12%</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（2）灌溉水利用系数</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灌溉水利用系数是指在一次灌水期间被农作物利用的净水量与水源渠首处总引进水量的比值。它是衡量灌区从水源引水到田间作用吸收 利用水的过程中水利用程度的一个重要指标，也是集中反映灌溉工程质量、灌溉技术水平和灌溉用水管理的一项综合指标，是评价农业水资源利用，指导节水灌溉和大中型灌区续建配套及节水改造健康发展的重要参考。</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目前，通川区灌溉水利用系数为0.491，该值高于全省（2020年）的0.477，但低于全国的0.565。且根据《节水灌溉工程技术标准》（GB/T 50363 - 2018）规定：</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渠道防渗输水灌溉工程，大型灌区灌溉水利用系数不应低于0.50，中型灌区不应低于0.60，小型灌区不应低于0.70，其中地下水灌区不应低于0.80。</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 xml:space="preserve">，灌溉水利用系数仍有提高的潜力。 </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（3）非常规水源供水量</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非常规水源是指区别于传统意义上的地表水、地下水的(常规)水资源，主要有雨水、再生水(经过再生处理的污水和废水)、海水、空中水、矿井水、苦咸水等，其特点是经过处理后可以再生利用。再生水（中水）是指废水或雨水经适当处理后，达到一定的水质指标，满足某种使用要求，可以进行有益使用的水。再生水利用率是再生水利用量与污水排放量的比值。雨洪水利用量占比，指雨洪水利用量与总供水量之比，其一定程度上可反映雨洪水利用程度及水平。</w:t>
      </w:r>
    </w:p>
    <w:p>
      <w:pPr>
        <w:pStyle w:val="160"/>
        <w:spacing w:line="480" w:lineRule="exact"/>
        <w:ind w:firstLine="560"/>
        <w:rPr>
          <w:rFonts w:eastAsia="仿宋_GB2312"/>
          <w:bCs/>
          <w:color w:val="000000" w:themeColor="text1"/>
          <w:kern w:val="2"/>
          <w:sz w:val="28"/>
          <w14:textFill>
            <w14:solidFill>
              <w14:schemeClr w14:val="tx1"/>
            </w14:solidFill>
          </w14:textFill>
        </w:rPr>
      </w:pPr>
      <w:r>
        <w:rPr>
          <w:rFonts w:eastAsia="仿宋_GB2312"/>
          <w:bCs/>
          <w:color w:val="000000" w:themeColor="text1"/>
          <w:kern w:val="2"/>
          <w:sz w:val="28"/>
          <w14:textFill>
            <w14:solidFill>
              <w14:schemeClr w14:val="tx1"/>
            </w14:solidFill>
          </w14:textFill>
        </w:rPr>
        <w:t>目前，通川区非常规水源供水量为15万</w:t>
      </w:r>
      <w:r>
        <w:rPr>
          <w:rFonts w:hint="eastAsia" w:eastAsia="仿宋_GB2312"/>
          <w:bCs/>
          <w:color w:val="000000" w:themeColor="text1"/>
          <w:kern w:val="2"/>
          <w:sz w:val="28"/>
          <w14:textFill>
            <w14:solidFill>
              <w14:schemeClr w14:val="tx1"/>
            </w14:solidFill>
          </w14:textFill>
        </w:rPr>
        <w:t>m³</w:t>
      </w:r>
      <w:r>
        <w:rPr>
          <w:rFonts w:eastAsia="仿宋_GB2312"/>
          <w:bCs/>
          <w:color w:val="000000" w:themeColor="text1"/>
          <w:kern w:val="2"/>
          <w:sz w:val="28"/>
          <w14:textFill>
            <w14:solidFill>
              <w14:schemeClr w14:val="tx1"/>
            </w14:solidFill>
          </w14:textFill>
        </w:rPr>
        <w:t>，小于全省（0.3%）与全国（2.2%）的平均水平。未来通川区通过兴建中水处理厂的方式，提高中水会用率。以及完善新建小区、城市道路、公共绿地雨洪资源利用设施等，推动雨水集蓄与利用，增加对雨洪径流的滞蓄能力，推进雨洪资源化利用。通过梳理灌区再生水、雨洪水等其他非常规水源，考虑水质、水量、保证率等情况，挖掘非常规水源的供水能力。未来一定程度上可配套中水回用措施、推进</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五小水利规划</w:t>
      </w:r>
      <w:r>
        <w:rPr>
          <w:rFonts w:hint="eastAsia" w:eastAsia="仿宋_GB2312"/>
          <w:bCs/>
          <w:color w:val="000000" w:themeColor="text1"/>
          <w:kern w:val="2"/>
          <w:sz w:val="28"/>
          <w14:textFill>
            <w14:solidFill>
              <w14:schemeClr w14:val="tx1"/>
            </w14:solidFill>
          </w14:textFill>
        </w:rPr>
        <w:t>”</w:t>
      </w:r>
      <w:r>
        <w:rPr>
          <w:rFonts w:eastAsia="仿宋_GB2312"/>
          <w:bCs/>
          <w:color w:val="000000" w:themeColor="text1"/>
          <w:kern w:val="2"/>
          <w:sz w:val="28"/>
          <w14:textFill>
            <w14:solidFill>
              <w14:schemeClr w14:val="tx1"/>
            </w14:solidFill>
          </w14:textFill>
        </w:rPr>
        <w:t>提高再生水利用率、雨洪水利用、非常规水源供水量。</w:t>
      </w:r>
    </w:p>
    <w:p>
      <w:pPr>
        <w:pStyle w:val="6"/>
        <w:spacing w:before="156" w:after="156"/>
        <w:rPr>
          <w:color w:val="000000" w:themeColor="text1"/>
          <w14:textFill>
            <w14:solidFill>
              <w14:schemeClr w14:val="tx1"/>
            </w14:solidFill>
          </w14:textFill>
        </w:rPr>
      </w:pPr>
      <w:r>
        <w:rPr>
          <w:color w:val="000000" w:themeColor="text1"/>
          <w14:textFill>
            <w14:solidFill>
              <w14:schemeClr w14:val="tx1"/>
            </w14:solidFill>
          </w14:textFill>
        </w:rPr>
        <w:t>4.2.2 .1 节水潜力分析</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1、农业节水潜力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农业节水潜力是以通过采取综合节水措施后所能达到的节水与用水标准为参照，分析计算其在充分考虑节水条件下的最小用水量比现状用水量减少的部分，即为反映节水潜力的可能最大节水量。仅从提高灌溉水利用系数来看，通川区农业节水潜力是巨大的，全区现状农田有效灌溉面积为11.96万亩，现状灌溉水利用系数平均水平为0.491，通过采取节水措施，灌溉水利用系数达到目前国内先进水平0.63，初步估算（P=75%保证率下）农业节水潜力为956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2、工业节水潜力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工业节水潜力大小主要体现在管网漏失率、用水重复利用率、万元工业增加值用水量等三方面；现状通川区市供水管网损耗平均在12%、万元工业增加值用水量35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/万元。随着区域产业结构调整，工业用水工艺的提高，通过工程及非工程措施，提高用水效率，至2035年，管网漏失率降到8%、单位工业增加值用水量降至10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/万元，初步估算通川区工业节水潜力为1814万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3、城镇生活节水潜力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随着社会的进步与发展，城乡生活综合用水指标呈上升趋势，但通过采取节水措施，如提高节水器具普及率及降低管网漏失率，能有效降低城乡生活用水量的增长。反映城镇生活节水潜力的主要指标为管网漏失率及节水器具普及率，现状通川区市管网漏失率在12%左右，节水器具普及率低；将管网漏失率降至8%时，初步估算通川区镇居民生活、建筑业及第三产业节水潜力为259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4、总节水潜力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通川区的节水潜力由农业节水潜力、工业节水潜力、城镇生活节水潜力、建筑业节水潜力和第三产业节水潜力等几部分组成。经上述分析预测，区总节水潜力为3029万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pStyle w:val="5"/>
        <w:rPr>
          <w:rFonts w:ascii="Times New Roman" w:hAnsi="Times New Roman"/>
          <w:color w:val="000000" w:themeColor="text1"/>
          <w14:textFill>
            <w14:solidFill>
              <w14:schemeClr w14:val="tx1"/>
            </w14:solidFill>
          </w14:textFill>
        </w:rPr>
      </w:pPr>
      <w:bookmarkStart w:id="140" w:name="_Toc24867"/>
      <w:bookmarkStart w:id="141" w:name="_Toc28098553"/>
      <w:r>
        <w:rPr>
          <w:rFonts w:ascii="Times New Roman" w:hAnsi="Times New Roman"/>
          <w:color w:val="000000" w:themeColor="text1"/>
          <w14:textFill>
            <w14:solidFill>
              <w14:schemeClr w14:val="tx1"/>
            </w14:solidFill>
          </w14:textFill>
        </w:rPr>
        <w:t>4.2.2  节水目标与指标评价</w:t>
      </w:r>
      <w:bookmarkEnd w:id="140"/>
      <w:bookmarkEnd w:id="141"/>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以</w:t>
      </w:r>
      <w:r>
        <w:rPr>
          <w:rFonts w:hint="eastAsia" w:eastAsia="仿宋_GB2312"/>
          <w:color w:val="000000" w:themeColor="text1"/>
          <w:kern w:val="2"/>
          <w:sz w:val="28"/>
          <w14:textFill>
            <w14:solidFill>
              <w14:schemeClr w14:val="tx1"/>
            </w14:solidFill>
          </w14:textFill>
        </w:rPr>
        <w:t>“</w:t>
      </w:r>
      <w:r>
        <w:rPr>
          <w:rFonts w:eastAsia="仿宋_GB2312"/>
          <w:color w:val="000000" w:themeColor="text1"/>
          <w:kern w:val="2"/>
          <w:sz w:val="28"/>
          <w14:textFill>
            <w14:solidFill>
              <w14:schemeClr w14:val="tx1"/>
            </w14:solidFill>
          </w14:textFill>
        </w:rPr>
        <w:t>节水优先、空间均衡、系统治理、两手发力</w:t>
      </w:r>
      <w:r>
        <w:rPr>
          <w:rFonts w:hint="eastAsia" w:eastAsia="仿宋_GB2312"/>
          <w:color w:val="000000" w:themeColor="text1"/>
          <w:kern w:val="2"/>
          <w:sz w:val="28"/>
          <w14:textFill>
            <w14:solidFill>
              <w14:schemeClr w14:val="tx1"/>
            </w14:solidFill>
          </w14:textFill>
        </w:rPr>
        <w:t>”</w:t>
      </w:r>
      <w:r>
        <w:rPr>
          <w:rFonts w:eastAsia="仿宋_GB2312"/>
          <w:color w:val="000000" w:themeColor="text1"/>
          <w:kern w:val="2"/>
          <w:sz w:val="28"/>
          <w14:textFill>
            <w14:solidFill>
              <w14:schemeClr w14:val="tx1"/>
            </w14:solidFill>
          </w14:textFill>
        </w:rPr>
        <w:t>的新时代水利工作方针为指导，贯彻落实节约资源的基本国策以及党中央和国务院关于节水的指导方针和任务要求，逐步建成制度完备、设施完善、用水高效、生态良好、发展科学的节水型社会。不同水平年节水总体目标按照水资源供需协调、综合平衡、保护生态、厉行节约、合理开源的原则制定。</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（1）加大农业节水力度</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加强灌区骨干渠系节水改造、田间渠系配套，大力推广地膜和秸秆覆盖、水稻旱育秧、水肥一体化技术等，因地制宜发展高效节水灌溉技术，抓好输水、用水全过程节水，提高农业灌溉用水效率。配套农业用水计量设施，加强灌区监测与管理信息系统建设，提高精准灌溉水平。到2035年，农田灌溉用水有效利用系数提高到0.63。</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（2）积极推进城镇生活节水</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加快城乡供水管网建设和改造，降低公共供水管网漏损率，全面推广使用生活节水器具，推进服务业节水改造。深入开展节水型城市、节水型企业（单位）、节水型小区创建活动，推进机关、学校、医院、宾馆、家庭等节水。到2035年，管网漏损率不超过8%。</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（3）加快推进工业节水</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加强高耗水行业取水定额管理，逐步淘汰高耗水的落后产能，大力推广工业水循环利用、洗涤节水等通用节水工艺和技术，提高工业重复用水率和中水回用水平。强化重点用水单位监督巡查，开展节水型企业创建工作，鼓励产业园区统一供水、废水集中处理和循环利用。到2035年，灌区万元工业增加值用水量降低至10</w:t>
      </w:r>
      <w:r>
        <w:rPr>
          <w:rFonts w:hint="eastAsia" w:eastAsia="仿宋_GB2312"/>
          <w:color w:val="000000" w:themeColor="text1"/>
          <w:kern w:val="2"/>
          <w:sz w:val="28"/>
          <w14:textFill>
            <w14:solidFill>
              <w14:schemeClr w14:val="tx1"/>
            </w14:solidFill>
          </w14:textFill>
        </w:rPr>
        <w:t>m³</w:t>
      </w:r>
      <w:r>
        <w:rPr>
          <w:rFonts w:eastAsia="仿宋_GB2312"/>
          <w:color w:val="000000" w:themeColor="text1"/>
          <w:kern w:val="2"/>
          <w:sz w:val="28"/>
          <w14:textFill>
            <w14:solidFill>
              <w14:schemeClr w14:val="tx1"/>
            </w14:solidFill>
          </w14:textFill>
        </w:rPr>
        <w:t>/万元，平均工业用水重复利用率达到80%以上。</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（4）鼓励再生水、雨洪水等非常规水源利用</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提高工业用水循环利用率，减少污水排放。加大污水处理建设，充分利用再生水。新建雨水收集池、海绵城市建设等，充分利用雨水于灌溉、景观用水、工业生产等。依据《节水型社会评价标准》、《国家节水行动方案》、《四川省</w:t>
      </w:r>
      <w:r>
        <w:rPr>
          <w:rFonts w:hint="eastAsia" w:eastAsia="仿宋_GB2312"/>
          <w:color w:val="000000" w:themeColor="text1"/>
          <w:kern w:val="2"/>
          <w:sz w:val="28"/>
          <w14:textFill>
            <w14:solidFill>
              <w14:schemeClr w14:val="tx1"/>
            </w14:solidFill>
          </w14:textFill>
        </w:rPr>
        <w:t>“</w:t>
      </w:r>
      <w:r>
        <w:rPr>
          <w:rFonts w:eastAsia="仿宋_GB2312"/>
          <w:color w:val="000000" w:themeColor="text1"/>
          <w:kern w:val="2"/>
          <w:sz w:val="28"/>
          <w14:textFill>
            <w14:solidFill>
              <w14:schemeClr w14:val="tx1"/>
            </w14:solidFill>
          </w14:textFill>
        </w:rPr>
        <w:t>十三五</w:t>
      </w:r>
      <w:r>
        <w:rPr>
          <w:rFonts w:hint="eastAsia" w:eastAsia="仿宋_GB2312"/>
          <w:color w:val="000000" w:themeColor="text1"/>
          <w:kern w:val="2"/>
          <w:sz w:val="28"/>
          <w14:textFill>
            <w14:solidFill>
              <w14:schemeClr w14:val="tx1"/>
            </w14:solidFill>
          </w14:textFill>
        </w:rPr>
        <w:t>”</w:t>
      </w:r>
      <w:r>
        <w:rPr>
          <w:rFonts w:eastAsia="仿宋_GB2312"/>
          <w:color w:val="000000" w:themeColor="text1"/>
          <w:kern w:val="2"/>
          <w:sz w:val="28"/>
          <w14:textFill>
            <w14:solidFill>
              <w14:schemeClr w14:val="tx1"/>
            </w14:solidFill>
          </w14:textFill>
        </w:rPr>
        <w:t>水资源消耗总量和强度双控行动实施方案》（川办函〔2017〕46号）与《四川省城镇污水处理设施建设三年推进方案》（川办函〔2018〕103号），2035年通川区再生水利用率力争达到15%。</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（5）推进节水合同管理</w:t>
      </w:r>
    </w:p>
    <w:p>
      <w:pPr>
        <w:pStyle w:val="160"/>
        <w:spacing w:line="480" w:lineRule="exact"/>
        <w:ind w:firstLine="560"/>
        <w:rPr>
          <w:rFonts w:eastAsia="仿宋_GB2312"/>
          <w:color w:val="000000" w:themeColor="text1"/>
          <w:kern w:val="2"/>
          <w:sz w:val="28"/>
          <w14:textFill>
            <w14:solidFill>
              <w14:schemeClr w14:val="tx1"/>
            </w14:solidFill>
          </w14:textFill>
        </w:rPr>
      </w:pPr>
      <w:r>
        <w:rPr>
          <w:rFonts w:eastAsia="仿宋_GB2312"/>
          <w:color w:val="000000" w:themeColor="text1"/>
          <w:kern w:val="2"/>
          <w:sz w:val="28"/>
          <w14:textFill>
            <w14:solidFill>
              <w14:schemeClr w14:val="tx1"/>
            </w14:solidFill>
          </w14:textFill>
        </w:rPr>
        <w:t>推进节水合同管理，形成以节水服务企业与用水户的合同形式，为用水户募集资本、集成先进技术，提供节水改造和管理等服务，以分享节水效益方式收回投资的节水服务机制。对公共机构、公共建筑、高耗水工业和服务业等重点领域实行节水合同管理，形成科学有效的合同节水管理政策制度体系，用水效率和效益逐步提高，节水服务产业快速健康发展。</w:t>
      </w:r>
    </w:p>
    <w:p>
      <w:pPr>
        <w:pStyle w:val="5"/>
        <w:rPr>
          <w:rFonts w:ascii="Times New Roman" w:hAnsi="Times New Roman"/>
          <w:color w:val="000000" w:themeColor="text1"/>
          <w14:textFill>
            <w14:solidFill>
              <w14:schemeClr w14:val="tx1"/>
            </w14:solidFill>
          </w14:textFill>
        </w:rPr>
      </w:pPr>
      <w:bookmarkStart w:id="142" w:name="_Toc22417"/>
      <w:r>
        <w:rPr>
          <w:rFonts w:ascii="Times New Roman" w:hAnsi="Times New Roman"/>
          <w:color w:val="000000" w:themeColor="text1"/>
          <w14:textFill>
            <w14:solidFill>
              <w14:schemeClr w14:val="tx1"/>
            </w14:solidFill>
          </w14:textFill>
        </w:rPr>
        <w:t>4.2.3  节水措施</w:t>
      </w:r>
      <w:bookmarkEnd w:id="142"/>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在现状用水和节水水平综合评价的基础上，结合区域水资源条件、供需发展趋势、经济社会发展水平等综合因素，按照因地制宜、突出重点、注重实效的原则，确定节水工作的重点以及需采取的主要节水措施。节水措施包括工程措施和技术、经济、管理等非工程措施。本区域属水资源贫乏的地区，节水的目的主要是提高水资源利用效率，减少用水量，以减少区外调水，节约供水工程投资，同时控制污废水排放量、减少治污的投入。</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1  农业节水措施</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农业节水措施包括工程措施和技术、经济和管理等非工程措施。</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采取工程措施可降低输水损失、提高灌溉水利用效率。主要措施有：工程配套、渠系配套与渠系防渗、管道化输水、喷灌、微灌等。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技术措施的作用是提高农田水分生产效率，提高作物根系层土壤蓄水、保水能力、减少无效蒸腾蒸发量。主要措施有：土地平整、良种化和平衡施肥、水稻</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浅、薄、湿、晒</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的灌溉方式、旱作的秸秆覆盖、膜上灌溉等先进灌水技术和耕作保墒技术等。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经济措施包括研究和制定合理的水价政策，利用经济杠杆改变种植业结构，加大节水投入等。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管理措施包括实行水资源统一管理、制定节水灌溉政策法规、加强组织管理、加强宣传教育和推广节水灌溉技术等。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2  工业节水措施</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工业节水措施主要有：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1）提高工业用水重复利用率、回用率；</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2）实行计划用水，提倡一水多用、优水优用；</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3）进行工艺改造和设备更新，淘汰高用水工艺和落后的设备；</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4）应用节水和高效的新技术，如高效人工制冷及低温冷却技术、高效洗涤工艺等；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5）根据水资源条件，合理调整产业结构和工业布局；</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6）制定合理的水价，实行优水优价和累进制水价收费制度；</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7）对废污水排放征收污水处理费，实行污染物总量控制等。</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3  生活及第三产业节水措施</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生活及第三产业节水措施主要有：实行计划用水和定额管理，加强节水宣传与教育，调整水价及改革水费收缴制度，推广使用节水器具、中水利用和改造城市供水管网，降低管网漏失率等。</w:t>
      </w:r>
    </w:p>
    <w:p>
      <w:pPr>
        <w:pStyle w:val="4"/>
        <w:rPr>
          <w:rFonts w:ascii="Times New Roman" w:hAnsi="Times New Roman" w:cs="Times New Roman"/>
          <w:color w:val="000000" w:themeColor="text1"/>
          <w14:textFill>
            <w14:solidFill>
              <w14:schemeClr w14:val="tx1"/>
            </w14:solidFill>
          </w14:textFill>
        </w:rPr>
      </w:pPr>
      <w:bookmarkStart w:id="143" w:name="_Toc17826"/>
      <w:bookmarkStart w:id="144" w:name="_Toc14474"/>
      <w:bookmarkStart w:id="145" w:name="_Toc27597"/>
      <w:bookmarkStart w:id="146" w:name="_Toc17987"/>
      <w:bookmarkStart w:id="147" w:name="_Toc29255"/>
      <w:r>
        <w:rPr>
          <w:rFonts w:ascii="Times New Roman" w:hAnsi="Times New Roman" w:cs="Times New Roman"/>
          <w:color w:val="000000" w:themeColor="text1"/>
          <w14:textFill>
            <w14:solidFill>
              <w14:schemeClr w14:val="tx1"/>
            </w14:solidFill>
          </w14:textFill>
        </w:rPr>
        <w:t>4.3  需水预测</w:t>
      </w:r>
      <w:bookmarkEnd w:id="143"/>
      <w:bookmarkEnd w:id="144"/>
      <w:bookmarkEnd w:id="145"/>
      <w:bookmarkEnd w:id="146"/>
      <w:bookmarkEnd w:id="147"/>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需水预测以2020年为基准年，在分析现状用水水平的基础上，以水资源承载能力为基础，以实现水资源的可持续利用为战略原则，对规划水平年的各行业需水分别进行预测。预测以规划水平年经济社会发展指标为依据，采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定额法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为基本方法，需水定额指标采用典型调查和分析相结合，与四川省、达州市需水定额相协调，并充分考虑通川区水资源条件和水利工程分布特点。</w:t>
      </w:r>
    </w:p>
    <w:p>
      <w:pPr>
        <w:pStyle w:val="5"/>
        <w:spacing w:before="72" w:after="72"/>
        <w:rPr>
          <w:rFonts w:ascii="Times New Roman" w:hAnsi="Times New Roman"/>
          <w:color w:val="000000" w:themeColor="text1"/>
          <w:szCs w:val="28"/>
          <w14:textFill>
            <w14:solidFill>
              <w14:schemeClr w14:val="tx1"/>
            </w14:solidFill>
          </w14:textFill>
        </w:rPr>
      </w:pPr>
      <w:bookmarkStart w:id="148" w:name="_Toc26324"/>
      <w:r>
        <w:rPr>
          <w:rFonts w:ascii="Times New Roman" w:hAnsi="Times New Roman"/>
          <w:color w:val="000000" w:themeColor="text1"/>
          <w:szCs w:val="28"/>
          <w14:textFill>
            <w14:solidFill>
              <w14:schemeClr w14:val="tx1"/>
            </w14:solidFill>
          </w14:textFill>
        </w:rPr>
        <w:t>4.3.1  用水定额预测</w:t>
      </w:r>
      <w:bookmarkEnd w:id="148"/>
    </w:p>
    <w:p>
      <w:pPr>
        <w:spacing w:line="520" w:lineRule="exact"/>
        <w:ind w:firstLine="560"/>
        <w:rPr>
          <w:color w:val="000000" w:themeColor="text1"/>
          <w14:textFill>
            <w14:solidFill>
              <w14:schemeClr w14:val="tx1"/>
            </w14:solidFill>
          </w14:textFill>
        </w:rPr>
      </w:pPr>
      <w:bookmarkStart w:id="149" w:name="_Toc5390_WPSOffice_Level3"/>
      <w:bookmarkStart w:id="150" w:name="_Toc30176_WPSOffice_Level3"/>
      <w:r>
        <w:rPr>
          <w:color w:val="000000" w:themeColor="text1"/>
          <w14:textFill>
            <w14:solidFill>
              <w14:schemeClr w14:val="tx1"/>
            </w14:solidFill>
          </w14:textFill>
        </w:rPr>
        <w:t>1、生活用水定额</w:t>
      </w:r>
      <w:bookmarkEnd w:id="149"/>
      <w:bookmarkEnd w:id="150"/>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典型调查资料，现状年通川区城市镇居民人均生活用水量120L/d，乡镇居民人均生活用水量100L/d，农村居民人均生活用水量80L/d。随着社会进步，经济富裕，生活条件改善，人民对生活质量的要求日益提高，人均生活需水定额呈现增长趋势。</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通川区市发展规模和人口发展规划，参考《四川省用水定额》（2021年）以及《四川省水资源综合规划》、《达州是水资源综合规划》，结合通川区社会经济发展实际，预计到2025年，通川区城市生活用水指标为150L/（人</w:t>
      </w:r>
      <w:r>
        <w:rPr>
          <w:rFonts w:hint="eastAsia" w:ascii="仿宋" w:hAnsi="仿宋" w:eastAsia="仿宋"/>
          <w:color w:val="000000" w:themeColor="text1"/>
          <w14:textFill>
            <w14:solidFill>
              <w14:schemeClr w14:val="tx1"/>
            </w14:solidFill>
          </w14:textFill>
        </w:rPr>
        <w:t xml:space="preserve">· </w:t>
      </w:r>
      <w:r>
        <w:rPr>
          <w:color w:val="000000" w:themeColor="text1"/>
          <w14:textFill>
            <w14:solidFill>
              <w14:schemeClr w14:val="tx1"/>
            </w14:solidFill>
          </w14:textFill>
        </w:rPr>
        <w:t>d），乡镇生活用水指标为130L/（人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d），农村生活用水定额为110L/（人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d）；到2030年，通川区城市生活用水指标为180/（人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d）乡镇生活用水指标为150L/（人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d），农村生活用水定额为120L/（人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d）；2035年，通川区城市生活用水指标为180L/（人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d），乡镇生活用水指标为150L/（人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d），农村生活用水定额为130L/（人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w:t>
      </w:r>
    </w:p>
    <w:p>
      <w:pPr>
        <w:pStyle w:val="2"/>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根据《四川省用水定额》（2021版），通川区常住人口在50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100万人之间，属于中等城市，城镇居民的用水定额为180 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d）；根据规范，通川区属于东部盆地区，农村居民生活用水定额130 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d）。2035年随着生活水平提高，通川区城市居民的用水定额为180 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d），乡镇居民生活用水定额150 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d），农村居民生活用水定额130 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d），是与《四川省用水定额》（2021版）规范协调的。</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通川区规划水平年生活用水定额见表4.3.1。</w:t>
      </w:r>
    </w:p>
    <w:p>
      <w:pPr>
        <w:pStyle w:val="49"/>
        <w:spacing w:before="190" w:after="190"/>
        <w:rPr>
          <w:color w:val="000000" w:themeColor="text1"/>
          <w14:textFill>
            <w14:solidFill>
              <w14:schemeClr w14:val="tx1"/>
            </w14:solidFill>
          </w14:textFill>
        </w:rPr>
      </w:pPr>
      <w:bookmarkStart w:id="151" w:name="_Toc8727_WPSOffice_Level3"/>
      <w:r>
        <w:rPr>
          <w:color w:val="000000" w:themeColor="text1"/>
          <w14:textFill>
            <w14:solidFill>
              <w14:schemeClr w14:val="tx1"/>
            </w14:solidFill>
          </w14:textFill>
        </w:rPr>
        <w:t>表4.3.1  通川区不同水平年生活用水定额</w:t>
      </w:r>
      <w:bookmarkEnd w:id="151"/>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211"/>
        <w:gridCol w:w="2207"/>
        <w:gridCol w:w="1474"/>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水平年</w:t>
            </w:r>
          </w:p>
        </w:tc>
        <w:tc>
          <w:tcPr>
            <w:tcW w:w="3457" w:type="pct"/>
            <w:gridSpan w:val="3"/>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生活用水净定额（L/（人</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w:t>
            </w:r>
          </w:p>
        </w:tc>
        <w:tc>
          <w:tcPr>
            <w:tcW w:w="8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管网漏损率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Merge w:val="continue"/>
            <w:vAlign w:val="center"/>
          </w:tcPr>
          <w:p>
            <w:pPr>
              <w:pStyle w:val="50"/>
              <w:spacing w:before="0" w:beforeLines="0"/>
              <w:rPr>
                <w:color w:val="000000" w:themeColor="text1"/>
                <w14:textFill>
                  <w14:solidFill>
                    <w14:schemeClr w14:val="tx1"/>
                  </w14:solidFill>
                </w14:textFill>
              </w:rPr>
            </w:pPr>
          </w:p>
        </w:tc>
        <w:tc>
          <w:tcPr>
            <w:tcW w:w="1297"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城市</w:t>
            </w:r>
          </w:p>
        </w:tc>
        <w:tc>
          <w:tcPr>
            <w:tcW w:w="129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乡镇</w:t>
            </w:r>
          </w:p>
        </w:tc>
        <w:tc>
          <w:tcPr>
            <w:tcW w:w="86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农村</w:t>
            </w:r>
          </w:p>
        </w:tc>
        <w:tc>
          <w:tcPr>
            <w:tcW w:w="8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2020</w:t>
            </w:r>
          </w:p>
        </w:tc>
        <w:tc>
          <w:tcPr>
            <w:tcW w:w="1297"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29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6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80</w:t>
            </w:r>
          </w:p>
        </w:tc>
        <w:tc>
          <w:tcPr>
            <w:tcW w:w="8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2025</w:t>
            </w:r>
          </w:p>
        </w:tc>
        <w:tc>
          <w:tcPr>
            <w:tcW w:w="1297"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29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86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110</w:t>
            </w:r>
          </w:p>
        </w:tc>
        <w:tc>
          <w:tcPr>
            <w:tcW w:w="8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2030</w:t>
            </w:r>
          </w:p>
        </w:tc>
        <w:tc>
          <w:tcPr>
            <w:tcW w:w="1297"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180</w:t>
            </w:r>
          </w:p>
        </w:tc>
        <w:tc>
          <w:tcPr>
            <w:tcW w:w="129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6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8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2035</w:t>
            </w:r>
          </w:p>
        </w:tc>
        <w:tc>
          <w:tcPr>
            <w:tcW w:w="1297"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180</w:t>
            </w:r>
          </w:p>
        </w:tc>
        <w:tc>
          <w:tcPr>
            <w:tcW w:w="129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65"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8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w:t>
            </w:r>
          </w:p>
        </w:tc>
      </w:tr>
    </w:tbl>
    <w:p>
      <w:pPr>
        <w:spacing w:line="520" w:lineRule="exact"/>
        <w:ind w:firstLine="560"/>
        <w:rPr>
          <w:color w:val="000000" w:themeColor="text1"/>
          <w14:textFill>
            <w14:solidFill>
              <w14:schemeClr w14:val="tx1"/>
            </w14:solidFill>
          </w14:textFill>
        </w:rPr>
      </w:pPr>
      <w:bookmarkStart w:id="152" w:name="_Toc29362_WPSOffice_Level3"/>
      <w:bookmarkStart w:id="153" w:name="_Toc25804_WPSOffice_Level3"/>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2、生产用水定额</w:t>
      </w:r>
      <w:bookmarkEnd w:id="152"/>
      <w:bookmarkEnd w:id="153"/>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1）牲畜用水定额</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现状年通川区大牲畜日均用水30L/（头</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d），小牲畜日均用水20L/（头</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d）。牲畜需水定额主要根据当地实际经验确定，参考我省类似地区的牲畜用水定额成果，根据《四川省用水定额》（2021版），大牲畜参考肉牛的定额的先进值40L/（头</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d），小牲畜参考生猪定额的先进值25L/（头</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d），到规划水平年，通川区大、小牲畜日均用水定额分别为40L/（头</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d）、25L/（头</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d），牲畜用水定额也是与《四川省用水定额》（2021版）协调的。</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通川区规划水平年牲畜用水定额预测见表4.3.2。</w:t>
      </w:r>
    </w:p>
    <w:p>
      <w:pPr>
        <w:pStyle w:val="49"/>
        <w:spacing w:before="190" w:after="190"/>
        <w:rPr>
          <w:color w:val="000000" w:themeColor="text1"/>
          <w14:textFill>
            <w14:solidFill>
              <w14:schemeClr w14:val="tx1"/>
            </w14:solidFill>
          </w14:textFill>
        </w:rPr>
      </w:pPr>
      <w:bookmarkStart w:id="154" w:name="_Toc19757_WPSOffice_Level3"/>
      <w:r>
        <w:rPr>
          <w:color w:val="000000" w:themeColor="text1"/>
          <w14:textFill>
            <w14:solidFill>
              <w14:schemeClr w14:val="tx1"/>
            </w14:solidFill>
          </w14:textFill>
        </w:rPr>
        <w:t>表4.3.2   通川区牲畜用水定额预测成果表</w:t>
      </w:r>
      <w:bookmarkEnd w:id="154"/>
    </w:p>
    <w:p>
      <w:pPr>
        <w:ind w:firstLine="440"/>
        <w:jc w:val="right"/>
        <w:rPr>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t>单位：L/（头</w:t>
      </w:r>
      <w:r>
        <w:rPr>
          <w:rFonts w:hint="eastAsia" w:ascii="仿宋" w:hAnsi="仿宋" w:eastAsia="仿宋"/>
          <w:color w:val="000000" w:themeColor="text1"/>
          <w14:textFill>
            <w14:solidFill>
              <w14:schemeClr w14:val="tx1"/>
            </w14:solidFill>
          </w14:textFill>
        </w:rPr>
        <w:t>·</w:t>
      </w:r>
      <w:r>
        <w:rPr>
          <w:color w:val="000000" w:themeColor="text1"/>
          <w:sz w:val="22"/>
          <w:szCs w:val="21"/>
          <w14:textFill>
            <w14:solidFill>
              <w14:schemeClr w14:val="tx1"/>
            </w14:solidFill>
          </w14:textFill>
        </w:rPr>
        <w:t>d）</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水平年</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大牲畜</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小牲畜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2018</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30</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2025</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2030</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2035</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2841"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w:t>
            </w:r>
          </w:p>
        </w:tc>
      </w:tr>
    </w:tbl>
    <w:p>
      <w:pPr>
        <w:spacing w:line="520" w:lineRule="exact"/>
        <w:ind w:firstLine="560"/>
        <w:rPr>
          <w:color w:val="000000" w:themeColor="text1"/>
          <w14:textFill>
            <w14:solidFill>
              <w14:schemeClr w14:val="tx1"/>
            </w14:solidFill>
          </w14:textFill>
        </w:rPr>
      </w:pPr>
      <w:bookmarkStart w:id="155" w:name="_Toc32387_WPSOffice_Level3"/>
      <w:r>
        <w:rPr>
          <w:color w:val="000000" w:themeColor="text1"/>
          <w14:textFill>
            <w14:solidFill>
              <w14:schemeClr w14:val="tx1"/>
            </w14:solidFill>
          </w14:textFill>
        </w:rPr>
        <w:t>2）农田灌溉用水定额</w:t>
      </w:r>
      <w:bookmarkEnd w:id="155"/>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根据农田灌溉典型调查，通川区平均综合灌溉毛用水320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亩，现状灌溉水利用系数为0.491，通川区农业灌溉用水效率显然还未达到流域及市规划水平，按照节水方案，农业灌溉用水仍有节水潜力。随着区域内节水高效农业生产体系的建立，今后将进一步发展节水灌溉面积，并通过实施灌区节水改造和干支渠防渗提高渠系水利用系数。预计2025年，全区平均灌溉水利用系数提高到0.55，到2030年提高到0.6，到2035年提高到0.63。本次预测结合《四川省用水定额》（2021年）以及通川区实际情况，确定各项农业需水指标。</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3）林牧渔用水定额</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据调查，山坪塘养殖补水用水定额为200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/（亩</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a），池塘养殖补水用水定额为730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/（亩</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a），流水养殖补水用水定额为10000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/（亩</w:t>
      </w:r>
      <w:r>
        <w:rPr>
          <w:rFonts w:hint="eastAsia" w:ascii="仿宋" w:hAnsi="仿宋" w:eastAsia="仿宋"/>
          <w:color w:val="000000" w:themeColor="text1"/>
          <w14:textFill>
            <w14:solidFill>
              <w14:schemeClr w14:val="tx1"/>
            </w14:solidFill>
          </w14:textFill>
        </w:rPr>
        <w:t>·</w:t>
      </w:r>
      <w:r>
        <w:rPr>
          <w:color w:val="000000" w:themeColor="text1"/>
          <w14:textFill>
            <w14:solidFill>
              <w14:schemeClr w14:val="tx1"/>
            </w14:solidFill>
          </w14:textFill>
        </w:rPr>
        <w:t>a）。规划年通川区林、牧、渔需水定额主要根据当地实际，同时参照全省水资源综合规划成果确定。</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4）二、三产业用水定额</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根据通川区第二、三产业现状用水水平调查，受区内产业结构、生产设备、工艺水平的影响，现状年工业、建筑业及三产万元增加值用水量分别为34</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积极推进区域工业转型升级。参考《四川省水资源综合规划》成果，并考虑区域水源条件、产业发展定位、结构调整以及工业用水水平的提高，到2025年，通川区工业、建筑业及三产业万元增加值用水定额分别降低到25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。到2030年，通川区工业、建筑业及三产业万元增加值用水定额分别降低到18</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m³³</w:t>
      </w:r>
      <w:r>
        <w:rPr>
          <w:color w:val="000000" w:themeColor="text1"/>
          <w14:textFill>
            <w14:solidFill>
              <w14:schemeClr w14:val="tx1"/>
            </w14:solidFill>
          </w14:textFill>
        </w:rPr>
        <w:t>。到2035年，通川区工业、建筑业及三产业万元增加值用水定额分别降低到9.5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通川区规划水平年第二、三产业用水定额预测见表4.3.3。</w:t>
      </w:r>
    </w:p>
    <w:p>
      <w:pPr>
        <w:pStyle w:val="49"/>
        <w:spacing w:before="190" w:after="190"/>
        <w:rPr>
          <w:color w:val="000000" w:themeColor="text1"/>
          <w14:textFill>
            <w14:solidFill>
              <w14:schemeClr w14:val="tx1"/>
            </w14:solidFill>
          </w14:textFill>
        </w:rPr>
      </w:pPr>
      <w:bookmarkStart w:id="156" w:name="_Toc11859_WPSOffice_Level3"/>
      <w:r>
        <w:rPr>
          <w:color w:val="000000" w:themeColor="text1"/>
          <w14:textFill>
            <w14:solidFill>
              <w14:schemeClr w14:val="tx1"/>
            </w14:solidFill>
          </w14:textFill>
        </w:rPr>
        <w:t>表4.3.3   通川区各水平年第二、三产业用水定额</w:t>
      </w:r>
      <w:bookmarkEnd w:id="156"/>
    </w:p>
    <w:p>
      <w:pPr>
        <w:ind w:firstLine="480"/>
        <w:jc w:val="right"/>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单位：</w:t>
      </w:r>
      <w:r>
        <w:rPr>
          <w:rFonts w:hint="eastAsia"/>
          <w:color w:val="000000" w:themeColor="text1"/>
          <w:sz w:val="24"/>
          <w:szCs w:val="22"/>
          <w14:textFill>
            <w14:solidFill>
              <w14:schemeClr w14:val="tx1"/>
            </w14:solidFill>
          </w14:textFill>
        </w:rPr>
        <w:t>m³</w:t>
      </w:r>
      <w:r>
        <w:rPr>
          <w:color w:val="000000" w:themeColor="text1"/>
          <w:sz w:val="24"/>
          <w:szCs w:val="22"/>
          <w14:textFill>
            <w14:solidFill>
              <w14:schemeClr w14:val="tx1"/>
            </w14:solidFill>
          </w14:textFill>
        </w:rPr>
        <w:t>/万元</w:t>
      </w:r>
    </w:p>
    <w:tbl>
      <w:tblPr>
        <w:tblStyle w:val="40"/>
        <w:tblW w:w="0" w:type="auto"/>
        <w:tblInd w:w="0" w:type="dxa"/>
        <w:tblLayout w:type="fixed"/>
        <w:tblCellMar>
          <w:top w:w="0" w:type="dxa"/>
          <w:left w:w="108" w:type="dxa"/>
          <w:bottom w:w="0" w:type="dxa"/>
          <w:right w:w="108" w:type="dxa"/>
        </w:tblCellMar>
      </w:tblPr>
      <w:tblGrid>
        <w:gridCol w:w="1772"/>
        <w:gridCol w:w="2250"/>
        <w:gridCol w:w="2250"/>
        <w:gridCol w:w="2250"/>
      </w:tblGrid>
      <w:tr>
        <w:tblPrEx>
          <w:tblCellMar>
            <w:top w:w="0" w:type="dxa"/>
            <w:left w:w="108" w:type="dxa"/>
            <w:bottom w:w="0" w:type="dxa"/>
            <w:right w:w="108" w:type="dxa"/>
          </w:tblCellMar>
        </w:tblPrEx>
        <w:trPr>
          <w:trHeight w:val="397" w:hRule="atLeast"/>
        </w:trPr>
        <w:tc>
          <w:tcPr>
            <w:tcW w:w="1772" w:type="dxa"/>
            <w:tcBorders>
              <w:top w:val="single" w:color="auto" w:sz="4" w:space="0"/>
              <w:left w:val="single" w:color="auto" w:sz="4" w:space="0"/>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水平年</w:t>
            </w:r>
          </w:p>
        </w:tc>
        <w:tc>
          <w:tcPr>
            <w:tcW w:w="2250" w:type="dxa"/>
            <w:tcBorders>
              <w:top w:val="single" w:color="auto" w:sz="4" w:space="0"/>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工业</w:t>
            </w:r>
          </w:p>
        </w:tc>
        <w:tc>
          <w:tcPr>
            <w:tcW w:w="2250" w:type="dxa"/>
            <w:tcBorders>
              <w:top w:val="single" w:color="auto" w:sz="4" w:space="0"/>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建筑业</w:t>
            </w:r>
          </w:p>
        </w:tc>
        <w:tc>
          <w:tcPr>
            <w:tcW w:w="2250" w:type="dxa"/>
            <w:tcBorders>
              <w:top w:val="single" w:color="auto" w:sz="4" w:space="0"/>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三产</w:t>
            </w:r>
          </w:p>
        </w:tc>
      </w:tr>
      <w:tr>
        <w:tblPrEx>
          <w:tblCellMar>
            <w:top w:w="0" w:type="dxa"/>
            <w:left w:w="108" w:type="dxa"/>
            <w:bottom w:w="0" w:type="dxa"/>
            <w:right w:w="108" w:type="dxa"/>
          </w:tblCellMar>
        </w:tblPrEx>
        <w:trPr>
          <w:trHeight w:val="397" w:hRule="atLeast"/>
        </w:trPr>
        <w:tc>
          <w:tcPr>
            <w:tcW w:w="1772" w:type="dxa"/>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2020</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34</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r>
      <w:tr>
        <w:tblPrEx>
          <w:tblCellMar>
            <w:top w:w="0" w:type="dxa"/>
            <w:left w:w="108" w:type="dxa"/>
            <w:bottom w:w="0" w:type="dxa"/>
            <w:right w:w="108" w:type="dxa"/>
          </w:tblCellMar>
        </w:tblPrEx>
        <w:trPr>
          <w:trHeight w:val="397" w:hRule="atLeast"/>
        </w:trPr>
        <w:tc>
          <w:tcPr>
            <w:tcW w:w="1772" w:type="dxa"/>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2025</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r>
      <w:tr>
        <w:tblPrEx>
          <w:tblCellMar>
            <w:top w:w="0" w:type="dxa"/>
            <w:left w:w="108" w:type="dxa"/>
            <w:bottom w:w="0" w:type="dxa"/>
            <w:right w:w="108" w:type="dxa"/>
          </w:tblCellMar>
        </w:tblPrEx>
        <w:trPr>
          <w:trHeight w:val="397" w:hRule="atLeast"/>
        </w:trPr>
        <w:tc>
          <w:tcPr>
            <w:tcW w:w="1772" w:type="dxa"/>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2030</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397" w:hRule="atLeast"/>
        </w:trPr>
        <w:tc>
          <w:tcPr>
            <w:tcW w:w="1772" w:type="dxa"/>
            <w:tcBorders>
              <w:top w:val="nil"/>
              <w:left w:val="single" w:color="auto" w:sz="4" w:space="0"/>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2035</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9.5</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250" w:type="dxa"/>
            <w:tcBorders>
              <w:top w:val="nil"/>
              <w:left w:val="nil"/>
              <w:bottom w:val="single" w:color="auto" w:sz="4" w:space="0"/>
              <w:right w:val="single" w:color="auto" w:sz="4" w:space="0"/>
            </w:tcBorders>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r>
    </w:tbl>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5）河道外生态环境用水定额</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通川区河道外生态环境需水量主要是指为保持城镇良好的生态环境所需要的水量，主要包括城镇河湖需水量、城镇绿地建设需水量和城镇环境卫生需水量。</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需水量预测采用定额法，根据典型调查分析，通川区现状水平年单位绿地生态需水量定额2532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，单位面积环境卫生需水定额4478</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，城镇河湖生态环境补水量定额为8987</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通川区规划水平年河道外生态环境用水定额预测见表4.3.4。</w:t>
      </w:r>
    </w:p>
    <w:p>
      <w:pPr>
        <w:pStyle w:val="49"/>
        <w:spacing w:before="190" w:after="190"/>
        <w:rPr>
          <w:color w:val="000000" w:themeColor="text1"/>
          <w14:textFill>
            <w14:solidFill>
              <w14:schemeClr w14:val="tx1"/>
            </w14:solidFill>
          </w14:textFill>
        </w:rPr>
      </w:pPr>
      <w:r>
        <w:rPr>
          <w:color w:val="000000" w:themeColor="text1"/>
          <w14:textFill>
            <w14:solidFill>
              <w14:schemeClr w14:val="tx1"/>
            </w14:solidFill>
          </w14:textFill>
        </w:rPr>
        <w:t>表4.3.4  通川区各水平年河道外生态环境用水定额</w:t>
      </w:r>
    </w:p>
    <w:p>
      <w:pPr>
        <w:ind w:firstLine="480"/>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w:t>
      </w:r>
      <w:r>
        <w:rPr>
          <w:rFonts w:hint="eastAsia"/>
          <w:color w:val="000000" w:themeColor="text1"/>
          <w:sz w:val="24"/>
          <w14:textFill>
            <w14:solidFill>
              <w14:schemeClr w14:val="tx1"/>
            </w14:solidFill>
          </w14:textFill>
        </w:rPr>
        <w:t>m³</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m²</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2250"/>
        <w:gridCol w:w="225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72"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水平年</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单位绿地</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环境卫生</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河湖需水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2"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2018</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2532</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4478</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772"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2025</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2558</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4492</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2"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2030</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2557</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4501</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2"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2035</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2557</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4501</w:t>
            </w:r>
          </w:p>
        </w:tc>
        <w:tc>
          <w:tcPr>
            <w:tcW w:w="2250" w:type="dxa"/>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13031</w:t>
            </w:r>
          </w:p>
        </w:tc>
      </w:tr>
    </w:tbl>
    <w:p>
      <w:pPr>
        <w:pStyle w:val="5"/>
        <w:spacing w:before="72" w:after="72"/>
        <w:rPr>
          <w:rFonts w:ascii="Times New Roman" w:hAnsi="Times New Roman"/>
          <w:color w:val="000000" w:themeColor="text1"/>
          <w:szCs w:val="28"/>
          <w14:textFill>
            <w14:solidFill>
              <w14:schemeClr w14:val="tx1"/>
            </w14:solidFill>
          </w14:textFill>
        </w:rPr>
      </w:pPr>
      <w:bookmarkStart w:id="157" w:name="_Toc16142"/>
      <w:r>
        <w:rPr>
          <w:rFonts w:ascii="Times New Roman" w:hAnsi="Times New Roman"/>
          <w:color w:val="000000" w:themeColor="text1"/>
          <w:szCs w:val="28"/>
          <w14:textFill>
            <w14:solidFill>
              <w14:schemeClr w14:val="tx1"/>
            </w14:solidFill>
          </w14:textFill>
        </w:rPr>
        <w:t>4.3.2  基准年需水和规划年需水</w:t>
      </w:r>
      <w:bookmarkEnd w:id="157"/>
    </w:p>
    <w:p>
      <w:pPr>
        <w:pStyle w:val="6"/>
        <w:rPr>
          <w:color w:val="000000" w:themeColor="text1"/>
          <w14:textFill>
            <w14:solidFill>
              <w14:schemeClr w14:val="tx1"/>
            </w14:solidFill>
          </w14:textFill>
        </w:rPr>
      </w:pPr>
      <w:r>
        <w:rPr>
          <w:color w:val="000000" w:themeColor="text1"/>
          <w14:textFill>
            <w14:solidFill>
              <w14:schemeClr w14:val="tx1"/>
            </w14:solidFill>
          </w14:textFill>
        </w:rPr>
        <w:t>4.3.2.1  河道外需水预测</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需水预测用水户分为生活、生产和生态环境三大类。生活和生产需水通称为经济社会需水。经济社会需水量按净需水量和毛需水量分别预测，净需水量为用户终端水量，毛需水量为供水系统取水口的取水量，本报告中没有明确说明的需水总量，一般是指毛需水量。生活需水仅为城镇居民生活用水和农村居民生活用水（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小生活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部分）。生产需水包括农林牧渔业、工业和建筑业以及三产等需水。生产用水分河道外和河道内两种情况，对于河道内生产用水如水电、航运等，因其用水一般不消耗水资源的数量，因此，本次规划主要是预测河道外生产用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鉴于最严格的水资源管理制度中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三条红线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控制指标以及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双控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指标对通川区未来用水总量及用水效率的要求，结合节约用水规划，按照建设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资源节约型、环境友好型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社会的总体要求，着力调整产业结构，加大节水投资力度，本次规划年需水预测按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强化节水模式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进行计算。</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经计算，多年平均情况下，通川区现状年毛需水量为14593万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，P=75%情形下，通川区毛需水量为14779万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P=95%情形下，通川区毛需水量为16371万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 xml:space="preserve">。 </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多年平均情况下，近期规划水平年2025年，通川区毛需水量为18146万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，P=75%情形下，通川区毛需水量为18824万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，P=95%情形下，通川区毛需水量为21046万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 xml:space="preserve">。 </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多年平均情况下，规划水平年2030年，通川区毛需水量为24873万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，P=75%情形下，通川区毛需水量为25964万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，P=95%情形下，通川区毛需水量为29540万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 xml:space="preserve">。 </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多年平均情况下，远期规划水平年2035年，通川区毛需水量为27389万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，P=75%情形下，通川区毛需水量为28518万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，P=95%情形下，通川区毛需水量为32219万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。通川区各规划水平年分区需水量预测成果见表4.3.5。</w:t>
      </w:r>
    </w:p>
    <w:p>
      <w:pPr>
        <w:spacing w:line="540" w:lineRule="exact"/>
        <w:ind w:firstLine="560"/>
        <w:rPr>
          <w:rFonts w:eastAsia="华文仿宋"/>
          <w:color w:val="000000" w:themeColor="text1"/>
          <w14:textFill>
            <w14:solidFill>
              <w14:schemeClr w14:val="tx1"/>
            </w14:solidFill>
          </w14:textFill>
        </w:rPr>
        <w:sectPr>
          <w:pgSz w:w="11906" w:h="16838"/>
          <w:pgMar w:top="1440" w:right="1800" w:bottom="1440" w:left="1800" w:header="851" w:footer="737" w:gutter="0"/>
          <w:cols w:space="720" w:num="1"/>
          <w:docGrid w:type="lines" w:linePitch="381" w:charSpace="0"/>
        </w:sectPr>
      </w:pPr>
    </w:p>
    <w:p>
      <w:pPr>
        <w:pStyle w:val="49"/>
        <w:spacing w:before="156" w:after="156"/>
        <w:rPr>
          <w:color w:val="000000" w:themeColor="text1"/>
          <w14:textFill>
            <w14:solidFill>
              <w14:schemeClr w14:val="tx1"/>
            </w14:solidFill>
          </w14:textFill>
        </w:rPr>
      </w:pPr>
      <w:bookmarkStart w:id="158" w:name="_Toc1300_WPSOffice_Level3"/>
      <w:bookmarkStart w:id="159" w:name="_Toc26399_WPSOffice_Level3"/>
      <w:r>
        <w:rPr>
          <w:color w:val="000000" w:themeColor="text1"/>
          <w14:textFill>
            <w14:solidFill>
              <w14:schemeClr w14:val="tx1"/>
            </w14:solidFill>
          </w14:textFill>
        </w:rPr>
        <w:t>表4.3.5  通川区净需水量预测成果表</w:t>
      </w:r>
      <w:bookmarkEnd w:id="158"/>
      <w:bookmarkEnd w:id="159"/>
      <w:r>
        <w:rPr>
          <w:color w:val="000000" w:themeColor="text1"/>
          <w14:textFill>
            <w14:solidFill>
              <w14:schemeClr w14:val="tx1"/>
            </w14:solidFill>
          </w14:textFill>
        </w:rPr>
        <w:t>（分片）</w:t>
      </w:r>
    </w:p>
    <w:p>
      <w:pPr>
        <w:ind w:firstLine="787" w:firstLineChars="328"/>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5000" w:type="pct"/>
        <w:tblInd w:w="0" w:type="dxa"/>
        <w:tblLayout w:type="autofit"/>
        <w:tblCellMar>
          <w:top w:w="0" w:type="dxa"/>
          <w:left w:w="108" w:type="dxa"/>
          <w:bottom w:w="0" w:type="dxa"/>
          <w:right w:w="108" w:type="dxa"/>
        </w:tblCellMar>
      </w:tblPr>
      <w:tblGrid>
        <w:gridCol w:w="936"/>
        <w:gridCol w:w="1176"/>
        <w:gridCol w:w="2856"/>
        <w:gridCol w:w="696"/>
        <w:gridCol w:w="696"/>
        <w:gridCol w:w="721"/>
        <w:gridCol w:w="1036"/>
        <w:gridCol w:w="696"/>
        <w:gridCol w:w="925"/>
        <w:gridCol w:w="925"/>
        <w:gridCol w:w="845"/>
        <w:gridCol w:w="816"/>
        <w:gridCol w:w="925"/>
        <w:gridCol w:w="925"/>
      </w:tblGrid>
      <w:tr>
        <w:tblPrEx>
          <w:tblCellMar>
            <w:top w:w="0" w:type="dxa"/>
            <w:left w:w="108" w:type="dxa"/>
            <w:bottom w:w="0" w:type="dxa"/>
            <w:right w:w="108" w:type="dxa"/>
          </w:tblCellMar>
        </w:tblPrEx>
        <w:trPr>
          <w:trHeight w:val="397" w:hRule="atLeast"/>
          <w:tblHeader/>
        </w:trPr>
        <w:tc>
          <w:tcPr>
            <w:tcW w:w="268"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水平年</w:t>
            </w:r>
          </w:p>
        </w:tc>
        <w:tc>
          <w:tcPr>
            <w:tcW w:w="716"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分片</w:t>
            </w:r>
          </w:p>
        </w:tc>
        <w:tc>
          <w:tcPr>
            <w:tcW w:w="273"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城镇生活</w:t>
            </w:r>
          </w:p>
        </w:tc>
        <w:tc>
          <w:tcPr>
            <w:tcW w:w="273"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农村生活</w:t>
            </w:r>
          </w:p>
        </w:tc>
        <w:tc>
          <w:tcPr>
            <w:tcW w:w="548"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二产</w:t>
            </w:r>
          </w:p>
        </w:tc>
        <w:tc>
          <w:tcPr>
            <w:tcW w:w="482"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三产</w:t>
            </w:r>
          </w:p>
        </w:tc>
        <w:tc>
          <w:tcPr>
            <w:tcW w:w="1209" w:type="pct"/>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农村生产需水</w:t>
            </w:r>
          </w:p>
        </w:tc>
        <w:tc>
          <w:tcPr>
            <w:tcW w:w="450"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河道外环境</w:t>
            </w:r>
          </w:p>
        </w:tc>
        <w:tc>
          <w:tcPr>
            <w:tcW w:w="781" w:type="pct"/>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需水合计</w:t>
            </w:r>
          </w:p>
        </w:tc>
      </w:tr>
      <w:tr>
        <w:tblPrEx>
          <w:tblCellMar>
            <w:top w:w="0" w:type="dxa"/>
            <w:left w:w="108" w:type="dxa"/>
            <w:bottom w:w="0" w:type="dxa"/>
            <w:right w:w="108" w:type="dxa"/>
          </w:tblCellMar>
        </w:tblPrEx>
        <w:trPr>
          <w:trHeight w:val="397" w:hRule="atLeast"/>
          <w:tblHeader/>
        </w:trPr>
        <w:tc>
          <w:tcPr>
            <w:tcW w:w="26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7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7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54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31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多年平均</w:t>
            </w:r>
          </w:p>
        </w:tc>
        <w:tc>
          <w:tcPr>
            <w:tcW w:w="45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P=75%</w:t>
            </w:r>
          </w:p>
        </w:tc>
        <w:tc>
          <w:tcPr>
            <w:tcW w:w="45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P=95%</w:t>
            </w: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6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多年平均</w:t>
            </w:r>
          </w:p>
        </w:tc>
        <w:tc>
          <w:tcPr>
            <w:tcW w:w="26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P=75%</w:t>
            </w:r>
          </w:p>
        </w:tc>
        <w:tc>
          <w:tcPr>
            <w:tcW w:w="26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P=95%</w:t>
            </w:r>
          </w:p>
        </w:tc>
      </w:tr>
      <w:tr>
        <w:tblPrEx>
          <w:tblCellMar>
            <w:top w:w="0" w:type="dxa"/>
            <w:left w:w="108" w:type="dxa"/>
            <w:bottom w:w="0" w:type="dxa"/>
            <w:right w:w="108" w:type="dxa"/>
          </w:tblCellMar>
        </w:tblPrEx>
        <w:trPr>
          <w:trHeight w:val="397" w:hRule="atLeast"/>
        </w:trPr>
        <w:tc>
          <w:tcPr>
            <w:tcW w:w="268"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2020</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2634</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126</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2595</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1216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7102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7106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7120</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157</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186</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1175</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166</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149</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196</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975</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249</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1040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1163</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887</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351</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000000"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2999</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596</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3027</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1418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2334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2572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3354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10898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11136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11918</w:t>
            </w:r>
          </w:p>
        </w:tc>
      </w:tr>
      <w:tr>
        <w:tblPrEx>
          <w:tblCellMar>
            <w:top w:w="0" w:type="dxa"/>
            <w:left w:w="108" w:type="dxa"/>
            <w:bottom w:w="0" w:type="dxa"/>
            <w:right w:w="108" w:type="dxa"/>
          </w:tblCellMar>
        </w:tblPrEx>
        <w:trPr>
          <w:trHeight w:val="397" w:hRule="atLeast"/>
        </w:trPr>
        <w:tc>
          <w:tcPr>
            <w:tcW w:w="268"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2025</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3797</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168</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2488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8817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8823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8844</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218</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725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1340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1408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1630</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243</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212</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110</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519</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1221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1329</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368</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1088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1210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1610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1255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1377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1777</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111</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1195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967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1348</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526</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000000"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4323</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821</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2902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1705</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3577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3950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5172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14227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14599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15822</w:t>
            </w:r>
          </w:p>
        </w:tc>
      </w:tr>
      <w:tr>
        <w:tblPrEx>
          <w:tblCellMar>
            <w:top w:w="0" w:type="dxa"/>
            <w:left w:w="108" w:type="dxa"/>
            <w:bottom w:w="0" w:type="dxa"/>
            <w:right w:w="108" w:type="dxa"/>
          </w:tblCellMar>
        </w:tblPrEx>
        <w:trPr>
          <w:trHeight w:val="397" w:hRule="atLeast"/>
        </w:trPr>
        <w:tc>
          <w:tcPr>
            <w:tcW w:w="268"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2030</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6150</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199</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2297</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1669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169</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11812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11823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11860</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269</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142</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1065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1574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1948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2337</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349</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261</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1581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1638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1828</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329</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573</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142</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2737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2011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2226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2928</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1350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1507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1524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1681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2194</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763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843</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000000"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6856</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943</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2679</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1947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5827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6482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8627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1512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19764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20418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22564</w:t>
            </w:r>
          </w:p>
        </w:tc>
      </w:tr>
      <w:tr>
        <w:tblPrEx>
          <w:tblCellMar>
            <w:top w:w="0" w:type="dxa"/>
            <w:left w:w="108" w:type="dxa"/>
            <w:bottom w:w="0" w:type="dxa"/>
            <w:right w:w="108" w:type="dxa"/>
          </w:tblCellMar>
        </w:tblPrEx>
        <w:trPr>
          <w:trHeight w:val="397" w:hRule="atLeast"/>
        </w:trPr>
        <w:tc>
          <w:tcPr>
            <w:tcW w:w="268"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2035</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8117</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224</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1582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1704</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2065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13874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13886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13926</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285</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149</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1151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1703</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1907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2459</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421</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311</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120</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625</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1735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1798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2004</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529</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617</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154</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1971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2204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2968</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2178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2411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3175</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133</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1631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2189</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1648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1819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2377</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554</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617</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826</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909</w:t>
            </w:r>
          </w:p>
        </w:tc>
      </w:tr>
      <w:tr>
        <w:tblPrEx>
          <w:tblCellMar>
            <w:top w:w="0" w:type="dxa"/>
            <w:left w:w="108" w:type="dxa"/>
            <w:bottom w:w="0" w:type="dxa"/>
            <w:right w:w="108" w:type="dxa"/>
          </w:tblCellMar>
        </w:tblPrEx>
        <w:trPr>
          <w:trHeight w:val="397" w:hRule="atLeast"/>
        </w:trPr>
        <w:tc>
          <w:tcPr>
            <w:tcW w:w="268"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000000"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8925</w:t>
            </w:r>
          </w:p>
        </w:tc>
        <w:tc>
          <w:tcPr>
            <w:tcW w:w="273"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1054</w:t>
            </w:r>
          </w:p>
        </w:tc>
        <w:tc>
          <w:tcPr>
            <w:tcW w:w="548"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1846</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1988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6300</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7011</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9342</w:t>
            </w:r>
          </w:p>
        </w:tc>
        <w:tc>
          <w:tcPr>
            <w:tcW w:w="45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2312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22423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23134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25466</w:t>
            </w:r>
          </w:p>
        </w:tc>
      </w:tr>
    </w:tbl>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p>
      <w:pPr>
        <w:pStyle w:val="49"/>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4.3.6  毛需水量预测成果表（分片）</w:t>
      </w:r>
    </w:p>
    <w:p>
      <w:pPr>
        <w:ind w:firstLine="560"/>
        <w:jc w:val="right"/>
        <w:rPr>
          <w:color w:val="000000" w:themeColor="text1"/>
          <w:vertAlign w:val="superscript"/>
          <w14:textFill>
            <w14:solidFill>
              <w14:schemeClr w14:val="tx1"/>
            </w14:solidFill>
          </w14:textFill>
        </w:rPr>
      </w:pPr>
      <w:r>
        <w:rPr>
          <w:color w:val="000000" w:themeColor="text1"/>
          <w14:textFill>
            <w14:solidFill>
              <w14:schemeClr w14:val="tx1"/>
            </w14:solidFill>
          </w14:textFill>
        </w:rPr>
        <w:t>单位：万</w:t>
      </w:r>
      <w:r>
        <w:rPr>
          <w:rFonts w:hint="eastAsia"/>
          <w:color w:val="000000" w:themeColor="text1"/>
          <w14:textFill>
            <w14:solidFill>
              <w14:schemeClr w14:val="tx1"/>
            </w14:solidFill>
          </w14:textFill>
        </w:rPr>
        <w:t>m³</w:t>
      </w:r>
    </w:p>
    <w:tbl>
      <w:tblPr>
        <w:tblStyle w:val="40"/>
        <w:tblW w:w="5000" w:type="pct"/>
        <w:tblInd w:w="0" w:type="dxa"/>
        <w:tblLayout w:type="autofit"/>
        <w:tblCellMar>
          <w:top w:w="0" w:type="dxa"/>
          <w:left w:w="108" w:type="dxa"/>
          <w:bottom w:w="0" w:type="dxa"/>
          <w:right w:w="108" w:type="dxa"/>
        </w:tblCellMar>
      </w:tblPr>
      <w:tblGrid>
        <w:gridCol w:w="936"/>
        <w:gridCol w:w="1176"/>
        <w:gridCol w:w="2856"/>
        <w:gridCol w:w="696"/>
        <w:gridCol w:w="696"/>
        <w:gridCol w:w="714"/>
        <w:gridCol w:w="1037"/>
        <w:gridCol w:w="696"/>
        <w:gridCol w:w="925"/>
        <w:gridCol w:w="926"/>
        <w:gridCol w:w="847"/>
        <w:gridCol w:w="817"/>
        <w:gridCol w:w="926"/>
        <w:gridCol w:w="926"/>
      </w:tblGrid>
      <w:tr>
        <w:tblPrEx>
          <w:tblCellMar>
            <w:top w:w="0" w:type="dxa"/>
            <w:left w:w="108" w:type="dxa"/>
            <w:bottom w:w="0" w:type="dxa"/>
            <w:right w:w="108" w:type="dxa"/>
          </w:tblCellMar>
        </w:tblPrEx>
        <w:trPr>
          <w:trHeight w:val="397" w:hRule="atLeast"/>
          <w:tblHeader/>
        </w:trPr>
        <w:tc>
          <w:tcPr>
            <w:tcW w:w="269"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水平年</w:t>
            </w:r>
          </w:p>
        </w:tc>
        <w:tc>
          <w:tcPr>
            <w:tcW w:w="716"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分片</w:t>
            </w:r>
          </w:p>
        </w:tc>
        <w:tc>
          <w:tcPr>
            <w:tcW w:w="272"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城镇生活</w:t>
            </w:r>
          </w:p>
        </w:tc>
        <w:tc>
          <w:tcPr>
            <w:tcW w:w="272"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农村生活</w:t>
            </w:r>
          </w:p>
        </w:tc>
        <w:tc>
          <w:tcPr>
            <w:tcW w:w="547"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二产</w:t>
            </w:r>
          </w:p>
        </w:tc>
        <w:tc>
          <w:tcPr>
            <w:tcW w:w="482"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三产</w:t>
            </w:r>
          </w:p>
        </w:tc>
        <w:tc>
          <w:tcPr>
            <w:tcW w:w="1212" w:type="pct"/>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农村生产需水</w:t>
            </w:r>
          </w:p>
        </w:tc>
        <w:tc>
          <w:tcPr>
            <w:tcW w:w="44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河道外环境</w:t>
            </w:r>
          </w:p>
        </w:tc>
        <w:tc>
          <w:tcPr>
            <w:tcW w:w="781" w:type="pct"/>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需水合计</w:t>
            </w:r>
          </w:p>
        </w:tc>
      </w:tr>
      <w:tr>
        <w:tblPrEx>
          <w:tblCellMar>
            <w:top w:w="0" w:type="dxa"/>
            <w:left w:w="108" w:type="dxa"/>
            <w:bottom w:w="0" w:type="dxa"/>
            <w:right w:w="108" w:type="dxa"/>
          </w:tblCellMar>
        </w:tblPrEx>
        <w:trPr>
          <w:trHeight w:val="397" w:hRule="atLeast"/>
          <w:tblHeader/>
        </w:trPr>
        <w:tc>
          <w:tcPr>
            <w:tcW w:w="26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7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7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54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31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多年平均</w:t>
            </w:r>
          </w:p>
        </w:tc>
        <w:tc>
          <w:tcPr>
            <w:tcW w:w="451"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P=75%</w:t>
            </w:r>
          </w:p>
        </w:tc>
        <w:tc>
          <w:tcPr>
            <w:tcW w:w="451"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P=95%</w:t>
            </w:r>
          </w:p>
        </w:tc>
        <w:tc>
          <w:tcPr>
            <w:tcW w:w="44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6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多年平均</w:t>
            </w:r>
          </w:p>
        </w:tc>
        <w:tc>
          <w:tcPr>
            <w:tcW w:w="26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P=75%</w:t>
            </w:r>
          </w:p>
        </w:tc>
        <w:tc>
          <w:tcPr>
            <w:tcW w:w="260"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P=95%</w:t>
            </w:r>
          </w:p>
        </w:tc>
      </w:tr>
      <w:tr>
        <w:tblPrEx>
          <w:tblCellMar>
            <w:top w:w="0" w:type="dxa"/>
            <w:left w:w="108" w:type="dxa"/>
            <w:bottom w:w="0" w:type="dxa"/>
            <w:right w:w="108" w:type="dxa"/>
          </w:tblCellMar>
        </w:tblPrEx>
        <w:trPr>
          <w:trHeight w:val="397" w:hRule="atLeast"/>
        </w:trPr>
        <w:tc>
          <w:tcPr>
            <w:tcW w:w="2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2020</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2993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143</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2948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176</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8144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8152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8179</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178</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111</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211</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832</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1209</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1555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1844</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189</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170</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104</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667</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1208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1251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256</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374</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440</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1392</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1551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2072</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1531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1690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2211</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91</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1154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1535</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1165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1663</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579</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3408</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678</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3439</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1612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4561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5047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6639</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14593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14779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16371</w:t>
            </w:r>
          </w:p>
        </w:tc>
      </w:tr>
      <w:tr>
        <w:tblPrEx>
          <w:tblCellMar>
            <w:top w:w="0" w:type="dxa"/>
            <w:left w:w="108" w:type="dxa"/>
            <w:bottom w:w="0" w:type="dxa"/>
            <w:right w:w="108" w:type="dxa"/>
          </w:tblCellMar>
        </w:tblPrEx>
        <w:trPr>
          <w:trHeight w:val="397" w:hRule="atLeast"/>
        </w:trPr>
        <w:tc>
          <w:tcPr>
            <w:tcW w:w="2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2025</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4219</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187</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2764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1624</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279</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9885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9897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9934</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242</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116</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1150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1273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1677</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1909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2435</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270</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236</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209</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667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727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924</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1568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1627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1824</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392</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518</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143</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1931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2153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2880</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2117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2339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3066</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1437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1600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2132</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1607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1770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2302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605</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4803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912</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3224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1894</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6313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6991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9213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998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18146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18824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21046</w:t>
            </w:r>
          </w:p>
        </w:tc>
      </w:tr>
      <w:tr>
        <w:tblPrEx>
          <w:tblCellMar>
            <w:top w:w="0" w:type="dxa"/>
            <w:left w:w="108" w:type="dxa"/>
            <w:bottom w:w="0" w:type="dxa"/>
            <w:right w:w="108" w:type="dxa"/>
          </w:tblCellMar>
        </w:tblPrEx>
        <w:trPr>
          <w:trHeight w:val="397" w:hRule="atLeast"/>
        </w:trPr>
        <w:tc>
          <w:tcPr>
            <w:tcW w:w="2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2030</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6758</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219</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2524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1834</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361</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13076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13094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13155</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296</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156</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180</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131</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1740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1938</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2587</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2579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2777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3426</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384</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287</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191</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951</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1047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1363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2050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2147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2463</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538</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896</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156</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2997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3354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4524</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3206</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3563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4734</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135</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2216</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2477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3333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2407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2668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3524</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835</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1253</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1021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1341</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7534</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1036</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2944</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2139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9558</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10649</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14225</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1661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24873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25964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29540</w:t>
            </w:r>
          </w:p>
        </w:tc>
      </w:tr>
      <w:tr>
        <w:tblPrEx>
          <w:tblCellMar>
            <w:top w:w="0" w:type="dxa"/>
            <w:left w:w="108" w:type="dxa"/>
            <w:bottom w:w="0" w:type="dxa"/>
            <w:right w:w="108" w:type="dxa"/>
          </w:tblCellMar>
        </w:tblPrEx>
        <w:trPr>
          <w:trHeight w:val="397" w:hRule="atLeast"/>
        </w:trPr>
        <w:tc>
          <w:tcPr>
            <w:tcW w:w="2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2035</w:t>
            </w: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城区片（石莲花水库片）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8823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244</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1720</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1852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288</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307</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370</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2244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15170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15190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15253</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北部片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310</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162</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1795</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2000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2672</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2617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2822</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3494</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魏家河区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双河口水库片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458</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338</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130</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140</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978</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1078</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1405</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2185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2284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2612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明月江片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555</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620</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830</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715</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925</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安云水库片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167</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3096</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3466</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4677</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3321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3691</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4902</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长滩河西片</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145</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2289</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2559</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3445</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2493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2763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3649</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2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495"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固家河区</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862</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963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1294</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1054</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1385</w:t>
            </w:r>
          </w:p>
        </w:tc>
      </w:tr>
      <w:tr>
        <w:tblPrEx>
          <w:tblCellMar>
            <w:top w:w="0" w:type="dxa"/>
            <w:left w:w="108" w:type="dxa"/>
            <w:bottom w:w="0" w:type="dxa"/>
            <w:right w:w="108" w:type="dxa"/>
          </w:tblCellMar>
        </w:tblPrEx>
        <w:trPr>
          <w:trHeight w:val="397" w:hRule="atLeast"/>
        </w:trPr>
        <w:tc>
          <w:tcPr>
            <w:tcW w:w="26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716" w:type="pct"/>
            <w:gridSpan w:val="2"/>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9701</w:t>
            </w:r>
          </w:p>
        </w:tc>
        <w:tc>
          <w:tcPr>
            <w:tcW w:w="27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1146</w:t>
            </w:r>
          </w:p>
        </w:tc>
        <w:tc>
          <w:tcPr>
            <w:tcW w:w="54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2006</w:t>
            </w:r>
          </w:p>
        </w:tc>
        <w:tc>
          <w:tcPr>
            <w:tcW w:w="482"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2160</w:t>
            </w:r>
          </w:p>
        </w:tc>
        <w:tc>
          <w:tcPr>
            <w:tcW w:w="31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9864</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10993</w:t>
            </w:r>
          </w:p>
        </w:tc>
        <w:tc>
          <w:tcPr>
            <w:tcW w:w="45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14694</w:t>
            </w:r>
          </w:p>
        </w:tc>
        <w:tc>
          <w:tcPr>
            <w:tcW w:w="44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2513</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27389</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28518</w:t>
            </w:r>
          </w:p>
        </w:tc>
        <w:tc>
          <w:tcPr>
            <w:tcW w:w="260"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32219</w:t>
            </w:r>
          </w:p>
        </w:tc>
      </w:tr>
    </w:tbl>
    <w:p>
      <w:pPr>
        <w:pStyle w:val="2"/>
        <w:ind w:firstLine="560"/>
        <w:rPr>
          <w:color w:val="000000" w:themeColor="text1"/>
          <w14:textFill>
            <w14:solidFill>
              <w14:schemeClr w14:val="tx1"/>
            </w14:solidFill>
          </w14:textFill>
        </w:rPr>
      </w:pPr>
    </w:p>
    <w:p>
      <w:pPr>
        <w:pStyle w:val="49"/>
        <w:spacing w:before="156" w:after="156"/>
        <w:rPr>
          <w:color w:val="000000" w:themeColor="text1"/>
          <w14:textFill>
            <w14:solidFill>
              <w14:schemeClr w14:val="tx1"/>
            </w14:solidFill>
          </w14:textFill>
        </w:rPr>
      </w:pPr>
      <w:r>
        <w:rPr>
          <w:color w:val="000000" w:themeColor="text1"/>
          <w14:textFill>
            <w14:solidFill>
              <w14:schemeClr w14:val="tx1"/>
            </w14:solidFill>
          </w14:textFill>
        </w:rPr>
        <w:t>表4.3.7  毛需水量预测成果表（分乡镇）</w:t>
      </w:r>
    </w:p>
    <w:p>
      <w:pPr>
        <w:spacing w:line="240" w:lineRule="auto"/>
        <w:ind w:firstLine="480"/>
        <w:jc w:val="right"/>
        <w:rPr>
          <w:color w:val="000000" w:themeColor="text1"/>
          <w:sz w:val="24"/>
          <w:szCs w:val="22"/>
          <w:vertAlign w:val="superscript"/>
          <w14:textFill>
            <w14:solidFill>
              <w14:schemeClr w14:val="tx1"/>
            </w14:solidFill>
          </w14:textFill>
        </w:rPr>
      </w:pPr>
      <w:r>
        <w:rPr>
          <w:color w:val="000000" w:themeColor="text1"/>
          <w:sz w:val="24"/>
          <w:szCs w:val="22"/>
          <w14:textFill>
            <w14:solidFill>
              <w14:schemeClr w14:val="tx1"/>
            </w14:solidFill>
          </w14:textFill>
        </w:rPr>
        <w:t>单位：万</w:t>
      </w:r>
      <w:r>
        <w:rPr>
          <w:rFonts w:hint="eastAsia"/>
          <w:color w:val="000000" w:themeColor="text1"/>
          <w:sz w:val="24"/>
          <w:szCs w:val="22"/>
          <w14:textFill>
            <w14:solidFill>
              <w14:schemeClr w14:val="tx1"/>
            </w14:solidFill>
          </w14:textFill>
        </w:rPr>
        <w:t>m³</w:t>
      </w:r>
    </w:p>
    <w:tbl>
      <w:tblPr>
        <w:tblStyle w:val="40"/>
        <w:tblW w:w="5000" w:type="pct"/>
        <w:tblInd w:w="0" w:type="dxa"/>
        <w:tblLayout w:type="autofit"/>
        <w:tblCellMar>
          <w:top w:w="0" w:type="dxa"/>
          <w:left w:w="108" w:type="dxa"/>
          <w:bottom w:w="0" w:type="dxa"/>
          <w:right w:w="108" w:type="dxa"/>
        </w:tblCellMar>
      </w:tblPr>
      <w:tblGrid>
        <w:gridCol w:w="936"/>
        <w:gridCol w:w="1176"/>
        <w:gridCol w:w="753"/>
        <w:gridCol w:w="753"/>
        <w:gridCol w:w="1631"/>
        <w:gridCol w:w="1424"/>
        <w:gridCol w:w="872"/>
        <w:gridCol w:w="1320"/>
        <w:gridCol w:w="1320"/>
        <w:gridCol w:w="1320"/>
        <w:gridCol w:w="817"/>
        <w:gridCol w:w="926"/>
        <w:gridCol w:w="926"/>
      </w:tblGrid>
      <w:tr>
        <w:tblPrEx>
          <w:tblCellMar>
            <w:top w:w="0" w:type="dxa"/>
            <w:left w:w="108" w:type="dxa"/>
            <w:bottom w:w="0" w:type="dxa"/>
            <w:right w:w="108" w:type="dxa"/>
          </w:tblCellMar>
        </w:tblPrEx>
        <w:trPr>
          <w:trHeight w:val="397" w:hRule="atLeast"/>
          <w:tblHeader/>
        </w:trPr>
        <w:tc>
          <w:tcPr>
            <w:tcW w:w="284"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4"/>
                <w14:textFill>
                  <w14:solidFill>
                    <w14:schemeClr w14:val="tx1"/>
                  </w14:solidFill>
                </w14:textFill>
              </w:rPr>
              <w:t>水平年</w:t>
            </w:r>
          </w:p>
        </w:tc>
        <w:tc>
          <w:tcPr>
            <w:tcW w:w="284"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乡镇</w:t>
            </w:r>
          </w:p>
        </w:tc>
        <w:tc>
          <w:tcPr>
            <w:tcW w:w="29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城镇生活</w:t>
            </w:r>
          </w:p>
        </w:tc>
        <w:tc>
          <w:tcPr>
            <w:tcW w:w="29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农村生活</w:t>
            </w:r>
          </w:p>
        </w:tc>
        <w:tc>
          <w:tcPr>
            <w:tcW w:w="60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二产</w:t>
            </w:r>
          </w:p>
        </w:tc>
        <w:tc>
          <w:tcPr>
            <w:tcW w:w="536"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三产</w:t>
            </w:r>
          </w:p>
        </w:tc>
        <w:tc>
          <w:tcPr>
            <w:tcW w:w="1339" w:type="pct"/>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农村生产需水</w:t>
            </w:r>
          </w:p>
        </w:tc>
        <w:tc>
          <w:tcPr>
            <w:tcW w:w="499"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河道外环境</w:t>
            </w:r>
          </w:p>
        </w:tc>
        <w:tc>
          <w:tcPr>
            <w:tcW w:w="851" w:type="pct"/>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需水合计</w:t>
            </w:r>
          </w:p>
        </w:tc>
      </w:tr>
      <w:tr>
        <w:tblPrEx>
          <w:tblCellMar>
            <w:top w:w="0" w:type="dxa"/>
            <w:left w:w="108" w:type="dxa"/>
            <w:bottom w:w="0" w:type="dxa"/>
            <w:right w:w="108" w:type="dxa"/>
          </w:tblCellMar>
        </w:tblPrEx>
        <w:trPr>
          <w:trHeight w:val="397" w:hRule="atLeast"/>
          <w:tblHeader/>
        </w:trPr>
        <w:tc>
          <w:tcPr>
            <w:tcW w:w="284"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60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53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341"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多年平均</w:t>
            </w:r>
          </w:p>
        </w:tc>
        <w:tc>
          <w:tcPr>
            <w:tcW w:w="49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P=75%</w:t>
            </w:r>
          </w:p>
        </w:tc>
        <w:tc>
          <w:tcPr>
            <w:tcW w:w="49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P=95%</w:t>
            </w:r>
          </w:p>
        </w:tc>
        <w:tc>
          <w:tcPr>
            <w:tcW w:w="4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84"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多年平均</w:t>
            </w:r>
          </w:p>
        </w:tc>
        <w:tc>
          <w:tcPr>
            <w:tcW w:w="284"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P=75%</w:t>
            </w:r>
          </w:p>
        </w:tc>
        <w:tc>
          <w:tcPr>
            <w:tcW w:w="284"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P=95%</w:t>
            </w:r>
          </w:p>
        </w:tc>
      </w:tr>
      <w:tr>
        <w:tblPrEx>
          <w:tblCellMar>
            <w:top w:w="0" w:type="dxa"/>
            <w:left w:w="108" w:type="dxa"/>
            <w:bottom w:w="0" w:type="dxa"/>
            <w:right w:w="108" w:type="dxa"/>
          </w:tblCellMar>
        </w:tblPrEx>
        <w:trPr>
          <w:trHeight w:val="397" w:hRule="atLeast"/>
        </w:trPr>
        <w:tc>
          <w:tcPr>
            <w:tcW w:w="284"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2020</w:t>
            </w: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410</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2326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2326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2326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2129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2129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2129</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1194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1176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3253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3253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3254</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470</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674</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119</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1046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148</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689</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440</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402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724</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625</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680</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3408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3439</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1612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4561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5047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6639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14593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14779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16371</w:t>
            </w:r>
          </w:p>
        </w:tc>
      </w:tr>
      <w:tr>
        <w:tblPrEx>
          <w:tblCellMar>
            <w:top w:w="0" w:type="dxa"/>
            <w:left w:w="108" w:type="dxa"/>
            <w:bottom w:w="0" w:type="dxa"/>
            <w:right w:w="108" w:type="dxa"/>
          </w:tblCellMar>
        </w:tblPrEx>
        <w:trPr>
          <w:trHeight w:val="397" w:hRule="atLeast"/>
        </w:trPr>
        <w:tc>
          <w:tcPr>
            <w:tcW w:w="284"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2025</w:t>
            </w: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1229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2783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2783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2783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1125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2547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2547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2547</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1729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1103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648</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3994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3994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3996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609</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905</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66</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634</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969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1027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1122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1436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749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791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931</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409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408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406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761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794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669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865</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941</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4803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912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3224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1894</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6313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6991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9213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998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18146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18824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21046</w:t>
            </w:r>
          </w:p>
        </w:tc>
      </w:tr>
      <w:tr>
        <w:tblPrEx>
          <w:tblCellMar>
            <w:top w:w="0" w:type="dxa"/>
            <w:left w:w="108" w:type="dxa"/>
            <w:bottom w:w="0" w:type="dxa"/>
            <w:right w:w="108" w:type="dxa"/>
          </w:tblCellMar>
        </w:tblPrEx>
        <w:trPr>
          <w:trHeight w:val="397" w:hRule="atLeast"/>
        </w:trPr>
        <w:tc>
          <w:tcPr>
            <w:tcW w:w="284"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2030</w:t>
            </w: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1952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750</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3668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3668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3668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1786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498</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3357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3357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3357</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2805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1007</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5310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5311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5313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741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816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1095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1318</w:t>
            </w:r>
          </w:p>
        </w:tc>
      </w:tr>
      <w:tr>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74</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798</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489</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1332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1486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1990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1503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1657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2162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127</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1064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1092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1280</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896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850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1279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1022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1351</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915</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613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999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1119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1513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1172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1567</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574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756</w:t>
            </w:r>
          </w:p>
        </w:tc>
      </w:tr>
      <w:tr>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1236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1316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916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1384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1094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1452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7534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1036</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2944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2139</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9558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10649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14225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1661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24873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25964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29540</w:t>
            </w:r>
          </w:p>
        </w:tc>
      </w:tr>
      <w:tr>
        <w:tblPrEx>
          <w:tblCellMar>
            <w:top w:w="0" w:type="dxa"/>
            <w:left w:w="108" w:type="dxa"/>
            <w:bottom w:w="0" w:type="dxa"/>
            <w:right w:w="108" w:type="dxa"/>
          </w:tblCellMar>
        </w:tblPrEx>
        <w:trPr>
          <w:trHeight w:val="397" w:hRule="atLeast"/>
        </w:trPr>
        <w:tc>
          <w:tcPr>
            <w:tcW w:w="284" w:type="pct"/>
            <w:vMerge w:val="restart"/>
            <w:tcBorders>
              <w:top w:val="nil"/>
              <w:left w:val="single" w:color="auto" w:sz="4" w:space="0"/>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2"/>
                <w:szCs w:val="22"/>
                <w14:textFill>
                  <w14:solidFill>
                    <w14:schemeClr w14:val="tx1"/>
                  </w14:solidFill>
                </w14:textFill>
              </w:rPr>
            </w:pPr>
            <w:r>
              <w:rPr>
                <w:rFonts w:eastAsia="宋体"/>
                <w:color w:val="000000" w:themeColor="text1"/>
                <w:kern w:val="0"/>
                <w:sz w:val="22"/>
                <w:szCs w:val="22"/>
                <w14:textFill>
                  <w14:solidFill>
                    <w14:schemeClr w14:val="tx1"/>
                  </w14:solidFill>
                </w14:textFill>
              </w:rPr>
              <w:t>2035</w:t>
            </w: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2524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550</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4226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4226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4226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西城街道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2309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467</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3867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3867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3867</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朝阳街道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3702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686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739</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6210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6211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6213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凤西街道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231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946</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51</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842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1131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1062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1351</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复兴镇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69</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795</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东岳镇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399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500</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双龙镇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1375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1534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1552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1711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2233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凤北街道</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1179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1208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1303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111</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47</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725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1076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1309</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磐石镇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555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830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925</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878</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1322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1399</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安云乡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30</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600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671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641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713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947</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青宁乡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586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656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635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704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934</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金石镇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1032</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1157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1565</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1090</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1214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1622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梓桐镇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491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549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737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538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595</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784</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江陵镇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62</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851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951</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1277</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937</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1036</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1363</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北山镇</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45</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5</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946</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1059</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1430</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1018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1131</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1502</w:t>
            </w:r>
          </w:p>
        </w:tc>
      </w:tr>
      <w:tr>
        <w:tblPrEx>
          <w:tblCellMar>
            <w:top w:w="0" w:type="dxa"/>
            <w:left w:w="108" w:type="dxa"/>
            <w:bottom w:w="0" w:type="dxa"/>
            <w:right w:w="108" w:type="dxa"/>
          </w:tblCellMar>
        </w:tblPrEx>
        <w:trPr>
          <w:trHeight w:val="397" w:hRule="atLeast"/>
        </w:trPr>
        <w:tc>
          <w:tcPr>
            <w:tcW w:w="284"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eastAsia="宋体"/>
                <w:color w:val="000000" w:themeColor="text1"/>
                <w:kern w:val="0"/>
                <w:sz w:val="22"/>
                <w:szCs w:val="22"/>
                <w14:textFill>
                  <w14:solidFill>
                    <w14:schemeClr w14:val="tx1"/>
                  </w14:solidFill>
                </w14:textFill>
              </w:rPr>
            </w:pPr>
          </w:p>
        </w:tc>
        <w:tc>
          <w:tcPr>
            <w:tcW w:w="284" w:type="pct"/>
            <w:tcBorders>
              <w:top w:val="nil"/>
              <w:left w:val="nil"/>
              <w:bottom w:val="single" w:color="auto" w:sz="4" w:space="0"/>
              <w:right w:val="single" w:color="auto" w:sz="4" w:space="0"/>
            </w:tcBorders>
            <w:shd w:val="clear" w:color="000000" w:fill="FFFFFF"/>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9701</w:t>
            </w:r>
          </w:p>
        </w:tc>
        <w:tc>
          <w:tcPr>
            <w:tcW w:w="2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1146</w:t>
            </w:r>
          </w:p>
        </w:tc>
        <w:tc>
          <w:tcPr>
            <w:tcW w:w="60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2006</w:t>
            </w:r>
          </w:p>
        </w:tc>
        <w:tc>
          <w:tcPr>
            <w:tcW w:w="536"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2160</w:t>
            </w:r>
          </w:p>
        </w:tc>
        <w:tc>
          <w:tcPr>
            <w:tcW w:w="341"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9864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10993</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14694</w:t>
            </w:r>
          </w:p>
        </w:tc>
        <w:tc>
          <w:tcPr>
            <w:tcW w:w="499"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2513</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27389</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28518</w:t>
            </w:r>
          </w:p>
        </w:tc>
        <w:tc>
          <w:tcPr>
            <w:tcW w:w="284"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32219</w:t>
            </w:r>
          </w:p>
        </w:tc>
      </w:tr>
    </w:tbl>
    <w:p>
      <w:pPr>
        <w:pStyle w:val="2"/>
        <w:ind w:firstLine="560"/>
        <w:rPr>
          <w:color w:val="000000" w:themeColor="text1"/>
          <w14:textFill>
            <w14:solidFill>
              <w14:schemeClr w14:val="tx1"/>
            </w14:solidFill>
          </w14:textFill>
        </w:rPr>
      </w:pPr>
    </w:p>
    <w:p>
      <w:pPr>
        <w:pStyle w:val="179"/>
        <w:ind w:firstLine="562"/>
        <w:outlineLvl w:val="9"/>
        <w:rPr>
          <w:rFonts w:ascii="Times New Roman" w:hAnsi="Times New Roman"/>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12" w:charSpace="0"/>
        </w:sectPr>
      </w:pPr>
    </w:p>
    <w:p>
      <w:pPr>
        <w:keepNext/>
        <w:keepLines/>
        <w:spacing w:line="520" w:lineRule="exact"/>
        <w:ind w:firstLine="0" w:firstLineChars="0"/>
        <w:outlineLvl w:val="3"/>
        <w:rPr>
          <w:rFonts w:eastAsia="楷体"/>
          <w:b/>
          <w:bCs/>
          <w:color w:val="000000" w:themeColor="text1"/>
          <w:szCs w:val="28"/>
          <w14:textFill>
            <w14:solidFill>
              <w14:schemeClr w14:val="tx1"/>
            </w14:solidFill>
          </w14:textFill>
        </w:rPr>
      </w:pPr>
      <w:r>
        <w:rPr>
          <w:rFonts w:eastAsia="楷体"/>
          <w:b/>
          <w:bCs/>
          <w:color w:val="000000" w:themeColor="text1"/>
          <w:szCs w:val="28"/>
          <w14:textFill>
            <w14:solidFill>
              <w14:schemeClr w14:val="tx1"/>
            </w14:solidFill>
          </w14:textFill>
        </w:rPr>
        <w:t>4.3.2.2  河道内需水预测</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内河流水系担负输水、排水灌溉、生活、生产及景观等多项功能，水环境承载能力非常有限，水环境问题突出。随着社会发展和人民生活水平不断提高，人民群众对优质水环境的需求愈加迫切。因此，为使区域内河流生态环境在现状的基础上得到一定程度的改善，维持河流生态功能，在开发利用的同时需考虑河道内生态环境需水，改善灌区内水生态环境，增加人民群众的幸福感。</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（1）河流水系</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通川区境内河流纵横，溪河密布，通川区境内河流纵横，溪河密布，区内有大小溪河41条，集水面积在50k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以上的有2条，其中200k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2000k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以上有1条，2000k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以上有1条，州河是境内最大河流。区内径流主要由大气降水产生，与降雨过程一致，洪水集中在5月下旬至10月中旬，有洪枯水变幅大、洪水过程峰高量大、涨落急剧等特点。</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（2）河流水质现状</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根据达州市通川区河长制办公室通川区12条（座）主要河库2020年1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月水质情况通报，12个监测断面中，除双龙河、魏家河、洞滩河、明月江外，其余8个断面水质均在Ⅲ类以上，洞滩河6月、7月水质较差，分别为Ⅴ类与Ⅳ类，其余月份均在Ⅲ类以上，明月江除2月、8月为Ⅳ类外，其余月份水质均在Ⅲ类以上。魏家河水质仅1月、10月、11月水质为Ⅲ类，其余月份均低于Ⅳ类水质，双龙河水质仅8月、10月为Ⅲ类，其余月份均低于Ⅳ类水质。双龙河、魏家河枯期水量较少，河流水环境承载能力有限，是枯期水质变差的一个原因，可考虑增加河道内流量，增加河流水环境承载能力，改善水生态环境。</w:t>
      </w:r>
    </w:p>
    <w:p>
      <w:pPr>
        <w:pStyle w:val="2"/>
        <w:ind w:firstLine="560"/>
        <w:rPr>
          <w:color w:val="000000" w:themeColor="text1"/>
          <w14:textFill>
            <w14:solidFill>
              <w14:schemeClr w14:val="tx1"/>
            </w14:solidFill>
          </w14:textFill>
        </w:rPr>
      </w:pP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（3）控制断面的选取</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根据《河湖生态需水计算规范》（SL/Z 712-2014）关于河流计算节点选择的相关要求，结合通川区河流水系分布和城镇分布等，主要在交界断面、重要城镇下游、河口以及环保考核断面共设置9处生态环境需水控制断面。</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通川区内生态环境需水控制断面情况详见下表4.3.8和附图</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表4.3.8  通川区生态环境需水控制断面情况表</w:t>
      </w:r>
    </w:p>
    <w:tbl>
      <w:tblPr>
        <w:tblStyle w:val="40"/>
        <w:tblW w:w="4998" w:type="pct"/>
        <w:tblInd w:w="0" w:type="dxa"/>
        <w:tblLayout w:type="autofit"/>
        <w:tblCellMar>
          <w:top w:w="0" w:type="dxa"/>
          <w:left w:w="0" w:type="dxa"/>
          <w:bottom w:w="0" w:type="dxa"/>
          <w:right w:w="0" w:type="dxa"/>
        </w:tblCellMar>
      </w:tblPr>
      <w:tblGrid>
        <w:gridCol w:w="890"/>
        <w:gridCol w:w="890"/>
        <w:gridCol w:w="890"/>
        <w:gridCol w:w="2096"/>
        <w:gridCol w:w="890"/>
        <w:gridCol w:w="890"/>
        <w:gridCol w:w="890"/>
        <w:gridCol w:w="893"/>
      </w:tblGrid>
      <w:tr>
        <w:tblPrEx>
          <w:tblCellMar>
            <w:top w:w="0" w:type="dxa"/>
            <w:left w:w="0" w:type="dxa"/>
            <w:bottom w:w="0" w:type="dxa"/>
            <w:right w:w="0" w:type="dxa"/>
          </w:tblCellMar>
        </w:tblPrEx>
        <w:trPr>
          <w:trHeight w:val="397" w:hRule="atLeast"/>
        </w:trPr>
        <w:tc>
          <w:tcPr>
            <w:tcW w:w="534"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534"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  流</w:t>
            </w:r>
          </w:p>
        </w:tc>
        <w:tc>
          <w:tcPr>
            <w:tcW w:w="534"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  面</w:t>
            </w:r>
          </w:p>
        </w:tc>
        <w:tc>
          <w:tcPr>
            <w:tcW w:w="1258"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流入河流</w:t>
            </w:r>
          </w:p>
        </w:tc>
        <w:tc>
          <w:tcPr>
            <w:tcW w:w="2138" w:type="pct"/>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断面类型</w:t>
            </w:r>
          </w:p>
        </w:tc>
      </w:tr>
      <w:tr>
        <w:tblPrEx>
          <w:tblCellMar>
            <w:top w:w="0" w:type="dxa"/>
            <w:left w:w="0" w:type="dxa"/>
            <w:bottom w:w="0" w:type="dxa"/>
            <w:right w:w="0" w:type="dxa"/>
          </w:tblCellMar>
        </w:tblPrEx>
        <w:trPr>
          <w:trHeight w:val="397" w:hRule="atLeast"/>
        </w:trPr>
        <w:tc>
          <w:tcPr>
            <w:tcW w:w="53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1258"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考核断面</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区域交界</w:t>
            </w:r>
          </w:p>
        </w:tc>
        <w:tc>
          <w:tcPr>
            <w:tcW w:w="53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其他</w:t>
            </w:r>
          </w:p>
        </w:tc>
      </w:tr>
      <w:tr>
        <w:trPr>
          <w:trHeight w:val="397" w:hRule="atLeast"/>
        </w:trPr>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1</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双龙河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州河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2</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魏家河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州河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 w:val="2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巴河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洞滩河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巴河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r>
      <w:tr>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州河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出境</w:t>
            </w:r>
          </w:p>
        </w:tc>
        <w:tc>
          <w:tcPr>
            <w:tcW w:w="125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巴河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●达川区</w:t>
            </w:r>
          </w:p>
        </w:tc>
        <w:tc>
          <w:tcPr>
            <w:tcW w:w="53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●沙滩河水库</w:t>
            </w: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小杨河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大堰河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出境</w:t>
            </w:r>
          </w:p>
        </w:tc>
        <w:tc>
          <w:tcPr>
            <w:tcW w:w="125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●达川区</w:t>
            </w:r>
          </w:p>
        </w:tc>
        <w:tc>
          <w:tcPr>
            <w:tcW w:w="5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施家河</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125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53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3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r>
    </w:tbl>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（4）河道内生态环境需水特点分析</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根据《河湖生态环境需水计算规范》SL/Z712-2014，河道内生态环境需水量为维系河流、湖泊、沼泽给定的生态环境保护目标，需要保留在河道内的水量。河道内基本生态环境需水量系维持河流、湖泊、沼泽给定的生态环境保护目标所对应的生态功能不丧失，需要留在河道内的最小水量，是河道内生态环境需水要求的下限值。河道内目标生态环境需水量是维持河流、湖泊、沼泽给定的生态环境保护目标所对应生态环境功能正常发挥，需要保留在河道内的水量。对于通川区境内的河流均需计算河道内基本生态环境需水量，另外需结合通川区河流的自然环境特征、社会环境特征等对目标生态环境需水需求做进一步分析。</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根据《达州市通川区水功能区划报告》（四川省水利科学研究院2019年5月），对通川区双龙河、大堰河、洞滩河、长滩河、固家河、施家河、魏家河、梓桐河、石莲花水库，8河1库，共划分了14个一级功能区，8个二级功能区。魏家河蒲家罗江工业景观娱乐用水区，双龙河双龙复兴工业、景观娱乐用水区两个分区的水质管理目标为Ⅳ类，除双龙河东岳排污控制区、双龙河复兴西外排污控制区外，其余水功能区水质管理目标均为Ⅲ类。通川区水质污染点源集中在城镇附近，尤其是通川区双龙河、魏家河。根据达州市通川区河长制办公室通川区12条（座）主要河库2020年1-12月水质情况通报，12个月的监测结果，双龙河水质Ⅲ类2次，Ⅳ类2次、劣Ⅴ类5次，劣Ⅴ类3次；魏家河水质Ⅲ类3次，Ⅳ类4次、劣Ⅳ类1次，Ⅴ2次，劣Ⅴ类3次；水质较差。超标指标主要为氨氮和总磷。</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根据通川区相关规划，社会经济发展速度将进一步加快，城镇人口大幅度提高，城镇化进程发展迅猛，城区河流湖泊水环境承载能力将面临更大压力，根据需水预测成果，双龙河流域2025年、2035年河道内需水量分别为2152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与3180万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，分别占多年平均来水量6364万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的33%与50%，魏家河流域2025年、2035年需水量分别为1156万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与1793万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，分别占多年平均来水量5061万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的23%与35%，城区河流水环境承载能力非常有限，水环境质量将面临前所未有的挑战。规划年即使在采取严控污染物排放、增强污水处理能力等措施的前提下，仍超出河流的水环境承载能力，需增加河道内流量，提高河流水环境承载能力，以维持河流水质达标。</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因此，对于流经通川区的双龙河、魏家河有必要计算目标生态环境需水量，以维持河流水质管理目标。</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（5）河道内生态环境需水量计算</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1）基本生态环境需水量计算</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本次主要采用水文学法中Tennant法来计算河道内基本生态环境需水量。</w:t>
      </w: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Tennant法亦称蒙大拿法，是依据观测资料建立的流量和河流生态环境状况之间的经验关系，用历史流量资料就可以确定年内不同时段的生态环境需水量，使用简单、方便。不同河道内生态环境状况对应的流量百分比见表4.3.9。</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表4.3.9  不同河道内生态环境状况对应的流量百分比</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952"/>
        <w:gridCol w:w="3139"/>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2" w:type="pct"/>
            <w:vMerge w:val="restar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不同流量百分比对应河道内</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生态环境状况</w:t>
            </w:r>
          </w:p>
        </w:tc>
        <w:tc>
          <w:tcPr>
            <w:tcW w:w="3247" w:type="pct"/>
            <w:gridSpan w:val="2"/>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推荐的流量标准（多年平均天然流量百分数，%）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2" w:type="pct"/>
            <w:vMerge w:val="continue"/>
            <w:vAlign w:val="center"/>
          </w:tcPr>
          <w:p>
            <w:pPr>
              <w:pStyle w:val="50"/>
              <w:spacing w:before="0" w:beforeLines="0"/>
              <w:rPr>
                <w:color w:val="000000" w:themeColor="text1"/>
                <w:sz w:val="21"/>
                <w:szCs w:val="21"/>
                <w14:textFill>
                  <w14:solidFill>
                    <w14:schemeClr w14:val="tx1"/>
                  </w14:solidFill>
                </w14:textFill>
              </w:rPr>
            </w:pP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枯水期流量</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丰水期流量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最大</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最佳</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60～100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极好</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非常好</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好</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差</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75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极差</w:t>
            </w:r>
          </w:p>
        </w:tc>
        <w:tc>
          <w:tcPr>
            <w:tcW w:w="1862"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w:t>
            </w:r>
          </w:p>
        </w:tc>
        <w:tc>
          <w:tcPr>
            <w:tcW w:w="1384"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w:t>
            </w:r>
          </w:p>
        </w:tc>
      </w:tr>
    </w:tbl>
    <w:p>
      <w:pPr>
        <w:ind w:firstLine="560"/>
        <w:rPr>
          <w:color w:val="000000" w:themeColor="text1"/>
          <w14:textFill>
            <w14:solidFill>
              <w14:schemeClr w14:val="tx1"/>
            </w14:solidFill>
          </w14:textFill>
        </w:rPr>
      </w:pPr>
    </w:p>
    <w:p>
      <w:pPr>
        <w:spacing w:line="520" w:lineRule="exact"/>
        <w:ind w:firstLine="420" w:firstLineChars="0"/>
        <w:rPr>
          <w:color w:val="000000" w:themeColor="text1"/>
          <w14:textFill>
            <w14:solidFill>
              <w14:schemeClr w14:val="tx1"/>
            </w14:solidFill>
          </w14:textFill>
        </w:rPr>
      </w:pPr>
      <w:r>
        <w:rPr>
          <w:color w:val="000000" w:themeColor="text1"/>
          <w14:textFill>
            <w14:solidFill>
              <w14:schemeClr w14:val="tx1"/>
            </w14:solidFill>
          </w14:textFill>
        </w:rPr>
        <w:t>本次采用永红水文站作为通川区生态环境需水断面流量过程计算依据站，用水文比拟法由永红的实测流量，按雨量加面积修正，推求各断面流量过程。由于规划范围内均为小河，将断面基本生态环境需水量定为多年平均流量的10%。通川区河道内基本生态环境需水量计算结果见表4.3.10。</w:t>
      </w:r>
    </w:p>
    <w:p>
      <w:pPr>
        <w:pStyle w:val="2"/>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9"/>
        <w:rPr>
          <w:color w:val="000000" w:themeColor="text1"/>
          <w14:textFill>
            <w14:solidFill>
              <w14:schemeClr w14:val="tx1"/>
            </w14:solidFill>
          </w14:textFill>
        </w:rPr>
      </w:pPr>
      <w:r>
        <w:rPr>
          <w:color w:val="000000" w:themeColor="text1"/>
          <w14:textFill>
            <w14:solidFill>
              <w14:schemeClr w14:val="tx1"/>
            </w14:solidFill>
          </w14:textFill>
        </w:rPr>
        <w:t>表4.3.10  通川区河道内基本生态环境需水量计算结果</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061"/>
        <w:gridCol w:w="790"/>
        <w:gridCol w:w="1334"/>
        <w:gridCol w:w="1336"/>
        <w:gridCol w:w="1334"/>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3" w:type="pct"/>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622" w:type="pct"/>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河流</w:t>
            </w:r>
          </w:p>
        </w:tc>
        <w:tc>
          <w:tcPr>
            <w:tcW w:w="463" w:type="pct"/>
            <w:vMerge w:val="restar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断面</w:t>
            </w:r>
          </w:p>
        </w:tc>
        <w:tc>
          <w:tcPr>
            <w:tcW w:w="1565" w:type="pct"/>
            <w:gridSpan w:val="2"/>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集雨面积（k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782"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多年均值</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w:t>
            </w:r>
          </w:p>
        </w:tc>
        <w:tc>
          <w:tcPr>
            <w:tcW w:w="1101" w:type="pct"/>
            <w:vMerge w:val="restar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基本生态环境</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需水量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3" w:type="pct"/>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622" w:type="pct"/>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463" w:type="pct"/>
            <w:vMerge w:val="continue"/>
            <w:shd w:val="clear" w:color="auto" w:fill="FFFFFF"/>
            <w:vAlign w:val="center"/>
          </w:tcPr>
          <w:p>
            <w:pPr>
              <w:pStyle w:val="50"/>
              <w:spacing w:before="0" w:beforeLines="0"/>
              <w:rPr>
                <w:color w:val="000000" w:themeColor="text1"/>
                <w14:textFill>
                  <w14:solidFill>
                    <w14:schemeClr w14:val="tx1"/>
                  </w14:solidFill>
                </w14:textFill>
              </w:rPr>
            </w:pPr>
          </w:p>
        </w:tc>
        <w:tc>
          <w:tcPr>
            <w:tcW w:w="78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断面以上</w:t>
            </w:r>
          </w:p>
        </w:tc>
        <w:tc>
          <w:tcPr>
            <w:tcW w:w="78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通川区内</w:t>
            </w:r>
          </w:p>
        </w:tc>
        <w:tc>
          <w:tcPr>
            <w:tcW w:w="782" w:type="pct"/>
            <w:vMerge w:val="continue"/>
            <w:vAlign w:val="center"/>
          </w:tcPr>
          <w:p>
            <w:pPr>
              <w:pStyle w:val="50"/>
              <w:spacing w:before="0" w:beforeLines="0"/>
              <w:rPr>
                <w:color w:val="000000" w:themeColor="text1"/>
                <w14:textFill>
                  <w14:solidFill>
                    <w14:schemeClr w14:val="tx1"/>
                  </w14:solidFill>
                </w14:textFill>
              </w:rPr>
            </w:pPr>
          </w:p>
        </w:tc>
        <w:tc>
          <w:tcPr>
            <w:tcW w:w="1101" w:type="pct"/>
            <w:vMerge w:val="continue"/>
            <w:vAlign w:val="center"/>
          </w:tcPr>
          <w:p>
            <w:pPr>
              <w:pStyle w:val="50"/>
              <w:spacing w:before="0" w:beforeLine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3"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2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双龙河</w:t>
            </w:r>
          </w:p>
        </w:tc>
        <w:tc>
          <w:tcPr>
            <w:tcW w:w="463"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109.4</w:t>
            </w:r>
          </w:p>
        </w:tc>
        <w:tc>
          <w:tcPr>
            <w:tcW w:w="78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106.2</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2.02</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3"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2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魏家河</w:t>
            </w:r>
          </w:p>
        </w:tc>
        <w:tc>
          <w:tcPr>
            <w:tcW w:w="463"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86.3</w:t>
            </w:r>
          </w:p>
        </w:tc>
        <w:tc>
          <w:tcPr>
            <w:tcW w:w="782" w:type="pct"/>
            <w:shd w:val="clear" w:color="auto" w:fill="FFFFFF"/>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78.6</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1.61</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长滩河</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915.5</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333.8</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16.0</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洞滩河</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147.5</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35.5</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2.59</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明月江</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1923.9</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72.8</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35.8</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固家河</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出境</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323.8</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60.9</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5.97</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小杨河</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140.8</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46.1</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2.47</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8</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大堰河</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出境</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114</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42.3</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2.12</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w:t>
            </w:r>
          </w:p>
        </w:tc>
        <w:tc>
          <w:tcPr>
            <w:tcW w:w="62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施家河</w:t>
            </w:r>
          </w:p>
        </w:tc>
        <w:tc>
          <w:tcPr>
            <w:tcW w:w="463"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109.6</w:t>
            </w:r>
          </w:p>
        </w:tc>
        <w:tc>
          <w:tcPr>
            <w:tcW w:w="782"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92.8</w:t>
            </w:r>
          </w:p>
        </w:tc>
        <w:tc>
          <w:tcPr>
            <w:tcW w:w="1335"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1.96</w:t>
            </w:r>
          </w:p>
        </w:tc>
        <w:tc>
          <w:tcPr>
            <w:tcW w:w="1879" w:type="dxa"/>
            <w:vAlign w:val="center"/>
          </w:tcPr>
          <w:p>
            <w:pPr>
              <w:pStyle w:val="50"/>
              <w:spacing w:beforeLines="0"/>
              <w:ind w:firstLine="480"/>
              <w:jc w:val="left"/>
              <w:rPr>
                <w:color w:val="000000" w:themeColor="text1"/>
                <w14:textFill>
                  <w14:solidFill>
                    <w14:schemeClr w14:val="tx1"/>
                  </w14:solidFill>
                </w14:textFill>
              </w:rPr>
            </w:pPr>
            <w:r>
              <w:rPr>
                <w:color w:val="000000" w:themeColor="text1"/>
                <w:lang w:bidi="ar"/>
                <w14:textFill>
                  <w14:solidFill>
                    <w14:schemeClr w14:val="tx1"/>
                  </w14:solidFill>
                </w14:textFill>
              </w:rPr>
              <w:t>0.196</w:t>
            </w:r>
          </w:p>
        </w:tc>
      </w:tr>
    </w:tbl>
    <w:p>
      <w:pPr>
        <w:pStyle w:val="116"/>
        <w:ind w:left="-140" w:right="-140" w:firstLine="420"/>
        <w:rPr>
          <w:color w:val="000000" w:themeColor="text1"/>
          <w14:textFill>
            <w14:solidFill>
              <w14:schemeClr w14:val="tx1"/>
            </w14:solidFill>
          </w14:textFill>
        </w:rPr>
      </w:pP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2）通川区河流目标生态环境需水量计算</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目标生态环境需水量计算思路：根据规划年用水量成果推算出各河流污染物入河量后，按照一维水质模型计算水质达到目标要求所需的流量。根据《达州市通川区水功能区划分成果表》，结合通川区市发展规划等实际情况，确定双龙河、魏家河等河段的水质管理目标均为Ⅲ类，双龙河、魏家河现状水质分别为Ⅳ类、Ⅴ类，其余河流为Ⅲ类。</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A 河流规划年入河污染物计算</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a 城镇生活入河污染物</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城镇生活用水量*产污系数*（1-回用率）*入河系数*排放标准</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其中，产污系数综合通川区2020年水资源公报耗水率和《城市排水工程规划规范》取0.7；回用率根据通川区水资源综合规划采用30%；入河系数根据通川区水资源综合规划为0.8；排放标准执行《城镇污染水处理厂污染物排放标准》（GB18918-2002）一级A标（其中COD排放浓度为50mg/L，氨氮排放浓度为5mg/L）。</w:t>
      </w:r>
    </w:p>
    <w:p>
      <w:pPr>
        <w:pStyle w:val="160"/>
        <w:spacing w:line="520" w:lineRule="exact"/>
        <w:ind w:firstLine="560"/>
        <w:rPr>
          <w:rFonts w:eastAsia="仿宋_GB2312"/>
          <w:color w:val="000000" w:themeColor="text1"/>
          <w:sz w:val="28"/>
          <w:szCs w:val="28"/>
          <w14:textFill>
            <w14:solidFill>
              <w14:schemeClr w14:val="tx1"/>
            </w14:solidFill>
          </w14:textFill>
        </w:rPr>
      </w:pP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b 工业入河污染物</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工业用水量*产污系数*（1-回用率）*入河系数*排放标准</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其中，入河系数；产污系数、回用率、排放标准同上。</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c 农村生活入河污染物</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农村生活用水量*产污系数*入河系数*排放标准</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其中，产污系数根据《分地区农村生活污水处理技术指南》和《全国水环境容量核定技术指南》关于农村污水排放系数的取值范围，综合取0.4；入河系数为0.2；排放标准参考《西南地区农村污水处理技术指南》（试行）取COD排放浓度为350mg/L，氨氮排放浓度为40mg/L。</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d 畜禽养殖入河污染物</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综合入河系数*排放标准</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其中，参照《四川省重点小流域水污染防治规划》，综合入河系数取0.12；排放标准执行《畜禽养殖业污染物排放标准》（GB18596-2001）一级标准。</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e 农业灌溉入河污染物</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农业灌溉用水量*产污系数*入河系数*排放标准</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其中，产污系数参考通川区2020年水资源公报耗水率取0.4；入河系数为0.08；排放标准参考其他灌区退水实际监测值取COD排放浓度为41mg/L，氨氮排放浓度为0.7mg/L。</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f 通川区规划年污染物入河量</w:t>
      </w:r>
    </w:p>
    <w:p>
      <w:pPr>
        <w:pStyle w:val="160"/>
        <w:spacing w:line="520" w:lineRule="exact"/>
        <w:ind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规划年通川区相关断面污染物入河量见表4.3.1</w:t>
      </w:r>
      <w:r>
        <w:rPr>
          <w:rFonts w:hint="eastAsia" w:eastAsia="仿宋_GB2312"/>
          <w:color w:val="000000" w:themeColor="text1"/>
          <w:sz w:val="28"/>
          <w:szCs w:val="28"/>
          <w14:textFill>
            <w14:solidFill>
              <w14:schemeClr w14:val="tx1"/>
            </w14:solidFill>
          </w14:textFill>
        </w:rPr>
        <w:t>1</w:t>
      </w:r>
      <w:r>
        <w:rPr>
          <w:rFonts w:eastAsia="仿宋_GB2312"/>
          <w:color w:val="000000" w:themeColor="text1"/>
          <w:sz w:val="28"/>
          <w:szCs w:val="28"/>
          <w14:textFill>
            <w14:solidFill>
              <w14:schemeClr w14:val="tx1"/>
            </w14:solidFill>
          </w14:textFill>
        </w:rPr>
        <w:t>。由表可知，通川区COD和氨氮排放主要集中双龙河、魏家河。</w:t>
      </w:r>
    </w:p>
    <w:p>
      <w:pPr>
        <w:pStyle w:val="2"/>
        <w:ind w:firstLine="560"/>
        <w:rPr>
          <w:color w:val="000000" w:themeColor="text1"/>
          <w:kern w:val="0"/>
          <w14:textFill>
            <w14:solidFill>
              <w14:schemeClr w14:val="tx1"/>
            </w14:solidFill>
          </w14:textFill>
        </w:rPr>
      </w:pPr>
      <w:r>
        <w:rPr>
          <w:color w:val="000000" w:themeColor="text1"/>
          <w14:textFill>
            <w14:solidFill>
              <w14:schemeClr w14:val="tx1"/>
            </w14:solidFill>
          </w14:textFill>
        </w:rPr>
        <w:br w:type="page"/>
      </w:r>
    </w:p>
    <w:p>
      <w:pPr>
        <w:pStyle w:val="49"/>
        <w:rPr>
          <w:color w:val="000000" w:themeColor="text1"/>
          <w14:textFill>
            <w14:solidFill>
              <w14:schemeClr w14:val="tx1"/>
            </w14:solidFill>
          </w14:textFill>
        </w:rPr>
      </w:pPr>
      <w:r>
        <w:rPr>
          <w:color w:val="000000" w:themeColor="text1"/>
          <w:szCs w:val="21"/>
          <w14:textFill>
            <w14:solidFill>
              <w14:schemeClr w14:val="tx1"/>
            </w14:solidFill>
          </w14:textFill>
        </w:rPr>
        <w:t>表4.3.1</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 xml:space="preserve">  规划年通川区相关断面污染物入河量</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947"/>
        <w:gridCol w:w="705"/>
        <w:gridCol w:w="1190"/>
        <w:gridCol w:w="947"/>
        <w:gridCol w:w="951"/>
        <w:gridCol w:w="1190"/>
        <w:gridCol w:w="947"/>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1" w:type="pct"/>
            <w:vMerge w:val="restar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w:t>
            </w:r>
          </w:p>
        </w:tc>
        <w:tc>
          <w:tcPr>
            <w:tcW w:w="555" w:type="pct"/>
            <w:vMerge w:val="restar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河流</w:t>
            </w:r>
          </w:p>
        </w:tc>
        <w:tc>
          <w:tcPr>
            <w:tcW w:w="412" w:type="pct"/>
            <w:vMerge w:val="restar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断面</w:t>
            </w:r>
          </w:p>
        </w:tc>
        <w:tc>
          <w:tcPr>
            <w:tcW w:w="1809" w:type="pct"/>
            <w:gridSpan w:val="3"/>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2025</w:t>
            </w:r>
          </w:p>
        </w:tc>
        <w:tc>
          <w:tcPr>
            <w:tcW w:w="1809" w:type="pct"/>
            <w:gridSpan w:val="3"/>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1" w:type="pct"/>
            <w:vMerge w:val="continue"/>
            <w:noWrap/>
            <w:vAlign w:val="center"/>
          </w:tcPr>
          <w:p>
            <w:pPr>
              <w:pStyle w:val="50"/>
              <w:spacing w:before="0" w:beforeLines="0"/>
              <w:rPr>
                <w:color w:val="000000" w:themeColor="text1"/>
                <w:sz w:val="21"/>
                <w:szCs w:val="21"/>
                <w14:textFill>
                  <w14:solidFill>
                    <w14:schemeClr w14:val="tx1"/>
                  </w14:solidFill>
                </w14:textFill>
              </w:rPr>
            </w:pPr>
          </w:p>
        </w:tc>
        <w:tc>
          <w:tcPr>
            <w:tcW w:w="555" w:type="pct"/>
            <w:vMerge w:val="continue"/>
            <w:noWrap/>
            <w:vAlign w:val="center"/>
          </w:tcPr>
          <w:p>
            <w:pPr>
              <w:pStyle w:val="50"/>
              <w:spacing w:before="0" w:beforeLines="0"/>
              <w:rPr>
                <w:color w:val="000000" w:themeColor="text1"/>
                <w:sz w:val="21"/>
                <w:szCs w:val="21"/>
                <w14:textFill>
                  <w14:solidFill>
                    <w14:schemeClr w14:val="tx1"/>
                  </w14:solidFill>
                </w14:textFill>
              </w:rPr>
            </w:pPr>
          </w:p>
        </w:tc>
        <w:tc>
          <w:tcPr>
            <w:tcW w:w="412" w:type="pct"/>
            <w:vMerge w:val="continue"/>
            <w:noWrap/>
            <w:vAlign w:val="center"/>
          </w:tcPr>
          <w:p>
            <w:pPr>
              <w:pStyle w:val="50"/>
              <w:spacing w:before="0" w:beforeLines="0"/>
              <w:rPr>
                <w:color w:val="000000" w:themeColor="text1"/>
                <w:sz w:val="21"/>
                <w:szCs w:val="21"/>
                <w14:textFill>
                  <w14:solidFill>
                    <w14:schemeClr w14:val="tx1"/>
                  </w14:solidFill>
                </w14:textFill>
              </w:rPr>
            </w:pPr>
          </w:p>
        </w:tc>
        <w:tc>
          <w:tcPr>
            <w:tcW w:w="697"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污水流量</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m³</w:t>
            </w:r>
            <w:r>
              <w:rPr>
                <w:color w:val="000000" w:themeColor="text1"/>
                <w:sz w:val="21"/>
                <w:szCs w:val="21"/>
                <w14:textFill>
                  <w14:solidFill>
                    <w14:schemeClr w14:val="tx1"/>
                  </w14:solidFill>
                </w14:textFill>
              </w:rPr>
              <w:t>/s）</w:t>
            </w:r>
          </w:p>
        </w:tc>
        <w:tc>
          <w:tcPr>
            <w:tcW w:w="555"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556"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697"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污水流量</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m³</w:t>
            </w:r>
            <w:r>
              <w:rPr>
                <w:color w:val="000000" w:themeColor="text1"/>
                <w:sz w:val="21"/>
                <w:szCs w:val="21"/>
                <w14:textFill>
                  <w14:solidFill>
                    <w14:schemeClr w14:val="tx1"/>
                  </w14:solidFill>
                </w14:textFill>
              </w:rPr>
              <w:t>/s）</w:t>
            </w:r>
          </w:p>
        </w:tc>
        <w:tc>
          <w:tcPr>
            <w:tcW w:w="555"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556" w:type="pct"/>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0.361</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264.91</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27.49</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0.529</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362.11</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0.167</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101.09</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10.69</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0.238</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123.40</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长滩河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0.591</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165.82</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17.45</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0.955</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207.87</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洞滩河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0.064</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19.11</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2.07</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0.104</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23.67</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明月江</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0.077</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32.03</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3.64</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0.119</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37.02</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固家河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出境</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0.066</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21.92</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2.61</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0.106</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26.26</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小杨河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0.084</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24.82</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2.69</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0.135</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30.73</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大堰河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出境</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0.046</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15.23</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1.81</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0.074</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18.24</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555"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施家河</w:t>
            </w:r>
          </w:p>
        </w:tc>
        <w:tc>
          <w:tcPr>
            <w:tcW w:w="412" w:type="pct"/>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河口</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0.161</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43.34</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4.45</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0.262</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54.88</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9" w:type="pct"/>
            <w:gridSpan w:val="3"/>
            <w:noWrap/>
            <w:vAlign w:val="center"/>
          </w:tcPr>
          <w:p>
            <w:pPr>
              <w:pStyle w:val="50"/>
              <w:spacing w:before="0" w:beforeLine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697"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1.62</w:t>
            </w:r>
          </w:p>
        </w:tc>
        <w:tc>
          <w:tcPr>
            <w:tcW w:w="555"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688.27</w:t>
            </w:r>
          </w:p>
        </w:tc>
        <w:tc>
          <w:tcPr>
            <w:tcW w:w="556" w:type="pct"/>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72.91</w:t>
            </w:r>
          </w:p>
        </w:tc>
        <w:tc>
          <w:tcPr>
            <w:tcW w:w="697"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2.52</w:t>
            </w:r>
          </w:p>
        </w:tc>
        <w:tc>
          <w:tcPr>
            <w:tcW w:w="555"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884.18</w:t>
            </w:r>
          </w:p>
        </w:tc>
        <w:tc>
          <w:tcPr>
            <w:tcW w:w="556" w:type="pct"/>
            <w:noWrap/>
            <w:vAlign w:val="center"/>
          </w:tcPr>
          <w:p>
            <w:pPr>
              <w:pStyle w:val="50"/>
              <w:spacing w:beforeLines="0"/>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85.89</w:t>
            </w:r>
          </w:p>
        </w:tc>
      </w:tr>
    </w:tbl>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B 通川区河流目标生态环境需水计算</w:t>
      </w:r>
    </w:p>
    <w:p>
      <w:pPr>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根据河流一维水质模型，推导改善流量</w:t>
      </w:r>
      <w:r>
        <w:rPr>
          <w:i/>
          <w:color w:val="000000" w:themeColor="text1"/>
          <w:kern w:val="0"/>
          <w:szCs w:val="28"/>
          <w14:textFill>
            <w14:solidFill>
              <w14:schemeClr w14:val="tx1"/>
            </w14:solidFill>
          </w14:textFill>
        </w:rPr>
        <w:t>Q</w:t>
      </w:r>
      <w:r>
        <w:rPr>
          <w:color w:val="000000" w:themeColor="text1"/>
          <w:kern w:val="0"/>
          <w:szCs w:val="28"/>
          <w:vertAlign w:val="subscript"/>
          <w14:textFill>
            <w14:solidFill>
              <w14:schemeClr w14:val="tx1"/>
            </w14:solidFill>
          </w14:textFill>
        </w:rPr>
        <w:t>0</w:t>
      </w:r>
      <w:r>
        <w:rPr>
          <w:color w:val="000000" w:themeColor="text1"/>
          <w:kern w:val="0"/>
          <w:szCs w:val="28"/>
          <w14:textFill>
            <w14:solidFill>
              <w14:schemeClr w14:val="tx1"/>
            </w14:solidFill>
          </w14:textFill>
        </w:rPr>
        <w:t>计算公式为：</w:t>
      </w:r>
    </w:p>
    <w:p>
      <w:pPr>
        <w:spacing w:line="520" w:lineRule="exact"/>
        <w:ind w:firstLine="0" w:firstLineChars="0"/>
        <w:jc w:val="center"/>
        <w:rPr>
          <w:color w:val="000000" w:themeColor="text1"/>
          <w:kern w:val="0"/>
          <w:szCs w:val="28"/>
          <w14:textFill>
            <w14:solidFill>
              <w14:schemeClr w14:val="tx1"/>
            </w14:solidFill>
          </w14:textFill>
        </w:rPr>
      </w:pPr>
      <w:r>
        <w:rPr>
          <w:i/>
          <w:color w:val="000000" w:themeColor="text1"/>
          <w:kern w:val="0"/>
          <w:szCs w:val="28"/>
          <w14:textFill>
            <w14:solidFill>
              <w14:schemeClr w14:val="tx1"/>
            </w14:solidFill>
          </w14:textFill>
        </w:rPr>
        <w:t>Q</w:t>
      </w:r>
      <w:r>
        <w:rPr>
          <w:color w:val="000000" w:themeColor="text1"/>
          <w:kern w:val="0"/>
          <w:szCs w:val="28"/>
          <w:vertAlign w:val="subscript"/>
          <w14:textFill>
            <w14:solidFill>
              <w14:schemeClr w14:val="tx1"/>
            </w14:solidFill>
          </w14:textFill>
        </w:rPr>
        <w:t>0</w:t>
      </w:r>
      <w:r>
        <w:rPr>
          <w:color w:val="000000" w:themeColor="text1"/>
          <w:kern w:val="0"/>
          <w:szCs w:val="28"/>
          <w14:textFill>
            <w14:solidFill>
              <w14:schemeClr w14:val="tx1"/>
            </w14:solidFill>
          </w14:textFill>
        </w:rPr>
        <w:t>=（</w:t>
      </w:r>
      <w:r>
        <w:rPr>
          <w:i/>
          <w:color w:val="000000" w:themeColor="text1"/>
          <w:kern w:val="0"/>
          <w:szCs w:val="28"/>
          <w14:textFill>
            <w14:solidFill>
              <w14:schemeClr w14:val="tx1"/>
            </w14:solidFill>
          </w14:textFill>
        </w:rPr>
        <w:t>Q</w:t>
      </w:r>
      <w:r>
        <w:rPr>
          <w:color w:val="000000" w:themeColor="text1"/>
          <w:kern w:val="0"/>
          <w:szCs w:val="28"/>
          <w:vertAlign w:val="subscript"/>
          <w14:textFill>
            <w14:solidFill>
              <w14:schemeClr w14:val="tx1"/>
            </w14:solidFill>
          </w14:textFill>
        </w:rPr>
        <w:t>p</w:t>
      </w:r>
      <w:r>
        <w:rPr>
          <w:color w:val="000000" w:themeColor="text1"/>
          <w:kern w:val="0"/>
          <w:szCs w:val="28"/>
          <w14:textFill>
            <w14:solidFill>
              <w14:schemeClr w14:val="tx1"/>
            </w14:solidFill>
          </w14:textFill>
        </w:rPr>
        <w:t>*</w:t>
      </w:r>
      <w:r>
        <w:rPr>
          <w:i/>
          <w:color w:val="000000" w:themeColor="text1"/>
          <w:kern w:val="0"/>
          <w:szCs w:val="28"/>
          <w14:textFill>
            <w14:solidFill>
              <w14:schemeClr w14:val="tx1"/>
            </w14:solidFill>
          </w14:textFill>
        </w:rPr>
        <w:t>C</w:t>
      </w:r>
      <w:r>
        <w:rPr>
          <w:i/>
          <w:color w:val="000000" w:themeColor="text1"/>
          <w:kern w:val="0"/>
          <w:szCs w:val="28"/>
          <w:vertAlign w:val="subscript"/>
          <w14:textFill>
            <w14:solidFill>
              <w14:schemeClr w14:val="tx1"/>
            </w14:solidFill>
          </w14:textFill>
        </w:rPr>
        <w:t>p</w:t>
      </w:r>
      <w:r>
        <w:rPr>
          <w:color w:val="000000" w:themeColor="text1"/>
          <w:kern w:val="0"/>
          <w:szCs w:val="28"/>
          <w14:textFill>
            <w14:solidFill>
              <w14:schemeClr w14:val="tx1"/>
            </w14:solidFill>
          </w14:textFill>
        </w:rPr>
        <w:t>*exp（-</w:t>
      </w:r>
      <w:r>
        <w:rPr>
          <w:i/>
          <w:color w:val="000000" w:themeColor="text1"/>
          <w:kern w:val="0"/>
          <w:szCs w:val="28"/>
          <w14:textFill>
            <w14:solidFill>
              <w14:schemeClr w14:val="tx1"/>
            </w14:solidFill>
          </w14:textFill>
        </w:rPr>
        <w:t>kx</w:t>
      </w:r>
      <w:r>
        <w:rPr>
          <w:color w:val="000000" w:themeColor="text1"/>
          <w:kern w:val="0"/>
          <w:szCs w:val="28"/>
          <w14:textFill>
            <w14:solidFill>
              <w14:schemeClr w14:val="tx1"/>
            </w14:solidFill>
          </w14:textFill>
        </w:rPr>
        <w:t>/（2*86.4*</w:t>
      </w:r>
      <w:r>
        <w:rPr>
          <w:i/>
          <w:color w:val="000000" w:themeColor="text1"/>
          <w:kern w:val="0"/>
          <w:szCs w:val="28"/>
          <w14:textFill>
            <w14:solidFill>
              <w14:schemeClr w14:val="tx1"/>
            </w14:solidFill>
          </w14:textFill>
        </w:rPr>
        <w:t>u</w:t>
      </w:r>
      <w:r>
        <w:rPr>
          <w:color w:val="000000" w:themeColor="text1"/>
          <w:kern w:val="0"/>
          <w:szCs w:val="28"/>
          <w14:textFill>
            <w14:solidFill>
              <w14:schemeClr w14:val="tx1"/>
            </w14:solidFill>
          </w14:textFill>
        </w:rPr>
        <w:t>））-</w:t>
      </w:r>
      <w:r>
        <w:rPr>
          <w:i/>
          <w:color w:val="000000" w:themeColor="text1"/>
          <w:kern w:val="0"/>
          <w:szCs w:val="28"/>
          <w14:textFill>
            <w14:solidFill>
              <w14:schemeClr w14:val="tx1"/>
            </w14:solidFill>
          </w14:textFill>
        </w:rPr>
        <w:t>Q</w:t>
      </w:r>
      <w:r>
        <w:rPr>
          <w:color w:val="000000" w:themeColor="text1"/>
          <w:kern w:val="0"/>
          <w:szCs w:val="28"/>
          <w:vertAlign w:val="subscript"/>
          <w14:textFill>
            <w14:solidFill>
              <w14:schemeClr w14:val="tx1"/>
            </w14:solidFill>
          </w14:textFill>
        </w:rPr>
        <w:t>p</w:t>
      </w:r>
      <w:r>
        <w:rPr>
          <w:color w:val="000000" w:themeColor="text1"/>
          <w:kern w:val="0"/>
          <w:szCs w:val="28"/>
          <w14:textFill>
            <w14:solidFill>
              <w14:schemeClr w14:val="tx1"/>
            </w14:solidFill>
          </w14:textFill>
        </w:rPr>
        <w:t>*</w:t>
      </w:r>
      <w:r>
        <w:rPr>
          <w:i/>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s</w:t>
      </w:r>
      <w:r>
        <w:rPr>
          <w:color w:val="000000" w:themeColor="text1"/>
          <w:kern w:val="0"/>
          <w:szCs w:val="28"/>
          <w14:textFill>
            <w14:solidFill>
              <w14:schemeClr w14:val="tx1"/>
            </w14:solidFill>
          </w14:textFill>
        </w:rPr>
        <w:t>）/（</w:t>
      </w:r>
      <w:r>
        <w:rPr>
          <w:i/>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s</w:t>
      </w:r>
      <w:r>
        <w:rPr>
          <w:color w:val="000000" w:themeColor="text1"/>
          <w:kern w:val="0"/>
          <w:szCs w:val="28"/>
          <w14:textFill>
            <w14:solidFill>
              <w14:schemeClr w14:val="tx1"/>
            </w14:solidFill>
          </w14:textFill>
        </w:rPr>
        <w:t>–</w:t>
      </w:r>
      <w:r>
        <w:rPr>
          <w:i/>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0</w:t>
      </w:r>
      <w:r>
        <w:rPr>
          <w:color w:val="000000" w:themeColor="text1"/>
          <w:kern w:val="0"/>
          <w:szCs w:val="28"/>
          <w14:textFill>
            <w14:solidFill>
              <w14:schemeClr w14:val="tx1"/>
            </w14:solidFill>
          </w14:textFill>
        </w:rPr>
        <w:t>*exp（-</w:t>
      </w:r>
      <w:r>
        <w:rPr>
          <w:i/>
          <w:color w:val="000000" w:themeColor="text1"/>
          <w:kern w:val="0"/>
          <w:szCs w:val="28"/>
          <w14:textFill>
            <w14:solidFill>
              <w14:schemeClr w14:val="tx1"/>
            </w14:solidFill>
          </w14:textFill>
        </w:rPr>
        <w:t>kx</w:t>
      </w:r>
      <w:r>
        <w:rPr>
          <w:color w:val="000000" w:themeColor="text1"/>
          <w:kern w:val="0"/>
          <w:szCs w:val="28"/>
          <w14:textFill>
            <w14:solidFill>
              <w14:schemeClr w14:val="tx1"/>
            </w14:solidFill>
          </w14:textFill>
        </w:rPr>
        <w:t>/（86.4*</w:t>
      </w:r>
      <w:r>
        <w:rPr>
          <w:i/>
          <w:color w:val="000000" w:themeColor="text1"/>
          <w:kern w:val="0"/>
          <w:szCs w:val="28"/>
          <w14:textFill>
            <w14:solidFill>
              <w14:schemeClr w14:val="tx1"/>
            </w14:solidFill>
          </w14:textFill>
        </w:rPr>
        <w:t>u</w:t>
      </w:r>
      <w:r>
        <w:rPr>
          <w:color w:val="000000" w:themeColor="text1"/>
          <w:kern w:val="0"/>
          <w:szCs w:val="28"/>
          <w14:textFill>
            <w14:solidFill>
              <w14:schemeClr w14:val="tx1"/>
            </w14:solidFill>
          </w14:textFill>
        </w:rPr>
        <w:t>））</w:t>
      </w:r>
    </w:p>
    <w:p>
      <w:pPr>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式中：</w:t>
      </w:r>
      <w:r>
        <w:rPr>
          <w:i/>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s</w:t>
      </w:r>
      <w:r>
        <w:rPr>
          <w:color w:val="000000" w:themeColor="text1"/>
          <w:kern w:val="0"/>
          <w:szCs w:val="28"/>
          <w14:textFill>
            <w14:solidFill>
              <w14:schemeClr w14:val="tx1"/>
            </w14:solidFill>
          </w14:textFill>
        </w:rPr>
        <w:t>—下断面水质目标控制因子浓度（mg/L）；</w:t>
      </w:r>
    </w:p>
    <w:p>
      <w:pPr>
        <w:spacing w:line="520" w:lineRule="exact"/>
        <w:ind w:firstLine="1400" w:firstLineChars="500"/>
        <w:rPr>
          <w:color w:val="000000" w:themeColor="text1"/>
          <w:kern w:val="0"/>
          <w:szCs w:val="28"/>
          <w14:textFill>
            <w14:solidFill>
              <w14:schemeClr w14:val="tx1"/>
            </w14:solidFill>
          </w14:textFill>
        </w:rPr>
      </w:pPr>
      <w:r>
        <w:rPr>
          <w:i/>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0</w:t>
      </w:r>
      <w:r>
        <w:rPr>
          <w:color w:val="000000" w:themeColor="text1"/>
          <w:kern w:val="0"/>
          <w:szCs w:val="28"/>
          <w14:textFill>
            <w14:solidFill>
              <w14:schemeClr w14:val="tx1"/>
            </w14:solidFill>
          </w14:textFill>
        </w:rPr>
        <w:t>—上断面水质目标控制因子浓度（mg/L）；</w:t>
      </w:r>
    </w:p>
    <w:p>
      <w:pPr>
        <w:spacing w:line="520" w:lineRule="exact"/>
        <w:ind w:firstLine="1400" w:firstLineChars="500"/>
        <w:rPr>
          <w:color w:val="000000" w:themeColor="text1"/>
          <w:kern w:val="0"/>
          <w:szCs w:val="28"/>
          <w14:textFill>
            <w14:solidFill>
              <w14:schemeClr w14:val="tx1"/>
            </w14:solidFill>
          </w14:textFill>
        </w:rPr>
      </w:pPr>
      <w:r>
        <w:rPr>
          <w:i/>
          <w:color w:val="000000" w:themeColor="text1"/>
          <w:kern w:val="0"/>
          <w:szCs w:val="28"/>
          <w14:textFill>
            <w14:solidFill>
              <w14:schemeClr w14:val="tx1"/>
            </w14:solidFill>
          </w14:textFill>
        </w:rPr>
        <w:t>C</w:t>
      </w:r>
      <w:r>
        <w:rPr>
          <w:i/>
          <w:color w:val="000000" w:themeColor="text1"/>
          <w:kern w:val="0"/>
          <w:szCs w:val="28"/>
          <w:vertAlign w:val="subscript"/>
          <w14:textFill>
            <w14:solidFill>
              <w14:schemeClr w14:val="tx1"/>
            </w14:solidFill>
          </w14:textFill>
        </w:rPr>
        <w:t>p</w:t>
      </w:r>
      <w:r>
        <w:rPr>
          <w:color w:val="000000" w:themeColor="text1"/>
          <w:kern w:val="0"/>
          <w:szCs w:val="28"/>
          <w14:textFill>
            <w14:solidFill>
              <w14:schemeClr w14:val="tx1"/>
            </w14:solidFill>
          </w14:textFill>
        </w:rPr>
        <w:t>—污水浓度（mg/L）；</w:t>
      </w:r>
    </w:p>
    <w:p>
      <w:pPr>
        <w:spacing w:line="520" w:lineRule="exact"/>
        <w:ind w:firstLine="1400" w:firstLineChars="500"/>
        <w:rPr>
          <w:color w:val="000000" w:themeColor="text1"/>
          <w:kern w:val="0"/>
          <w:szCs w:val="28"/>
          <w14:textFill>
            <w14:solidFill>
              <w14:schemeClr w14:val="tx1"/>
            </w14:solidFill>
          </w14:textFill>
        </w:rPr>
      </w:pPr>
      <w:r>
        <w:rPr>
          <w:i/>
          <w:color w:val="000000" w:themeColor="text1"/>
          <w:kern w:val="0"/>
          <w:szCs w:val="28"/>
          <w14:textFill>
            <w14:solidFill>
              <w14:schemeClr w14:val="tx1"/>
            </w14:solidFill>
          </w14:textFill>
        </w:rPr>
        <w:t>Q</w:t>
      </w:r>
      <w:r>
        <w:rPr>
          <w:color w:val="000000" w:themeColor="text1"/>
          <w:kern w:val="0"/>
          <w:szCs w:val="28"/>
          <w:vertAlign w:val="subscript"/>
          <w14:textFill>
            <w14:solidFill>
              <w14:schemeClr w14:val="tx1"/>
            </w14:solidFill>
          </w14:textFill>
        </w:rPr>
        <w:t>p</w:t>
      </w:r>
      <w:r>
        <w:rPr>
          <w:color w:val="000000" w:themeColor="text1"/>
          <w:kern w:val="0"/>
          <w:szCs w:val="28"/>
          <w14:textFill>
            <w14:solidFill>
              <w14:schemeClr w14:val="tx1"/>
            </w14:solidFill>
          </w14:textFill>
        </w:rPr>
        <w:t>—污水流量（</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/s）；</w:t>
      </w:r>
    </w:p>
    <w:p>
      <w:pPr>
        <w:spacing w:line="520" w:lineRule="exact"/>
        <w:ind w:firstLine="1400" w:firstLineChars="50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k—污染物综合衰减系数（1/d）；</w:t>
      </w:r>
    </w:p>
    <w:p>
      <w:pPr>
        <w:spacing w:line="520" w:lineRule="exact"/>
        <w:ind w:firstLine="1400" w:firstLineChars="500"/>
        <w:rPr>
          <w:color w:val="000000" w:themeColor="text1"/>
          <w:kern w:val="0"/>
          <w:szCs w:val="28"/>
          <w14:textFill>
            <w14:solidFill>
              <w14:schemeClr w14:val="tx1"/>
            </w14:solidFill>
          </w14:textFill>
        </w:rPr>
      </w:pPr>
      <w:r>
        <w:rPr>
          <w:i/>
          <w:color w:val="000000" w:themeColor="text1"/>
          <w:kern w:val="0"/>
          <w:szCs w:val="28"/>
          <w14:textFill>
            <w14:solidFill>
              <w14:schemeClr w14:val="tx1"/>
            </w14:solidFill>
          </w14:textFill>
        </w:rPr>
        <w:t>x</w:t>
      </w:r>
      <w:r>
        <w:rPr>
          <w:color w:val="000000" w:themeColor="text1"/>
          <w:kern w:val="0"/>
          <w:szCs w:val="28"/>
          <w14:textFill>
            <w14:solidFill>
              <w14:schemeClr w14:val="tx1"/>
            </w14:solidFill>
          </w14:textFill>
        </w:rPr>
        <w:t>—河流长度（m）；</w:t>
      </w:r>
    </w:p>
    <w:p>
      <w:pPr>
        <w:spacing w:line="520" w:lineRule="exact"/>
        <w:ind w:firstLine="1400" w:firstLineChars="500"/>
        <w:rPr>
          <w:color w:val="000000" w:themeColor="text1"/>
          <w:kern w:val="0"/>
          <w:szCs w:val="28"/>
          <w14:textFill>
            <w14:solidFill>
              <w14:schemeClr w14:val="tx1"/>
            </w14:solidFill>
          </w14:textFill>
        </w:rPr>
      </w:pPr>
      <w:r>
        <w:rPr>
          <w:i/>
          <w:color w:val="000000" w:themeColor="text1"/>
          <w:kern w:val="0"/>
          <w:szCs w:val="28"/>
          <w14:textFill>
            <w14:solidFill>
              <w14:schemeClr w14:val="tx1"/>
            </w14:solidFill>
          </w14:textFill>
        </w:rPr>
        <w:t>u</w:t>
      </w:r>
      <w:r>
        <w:rPr>
          <w:color w:val="000000" w:themeColor="text1"/>
          <w:kern w:val="0"/>
          <w:szCs w:val="28"/>
          <w14:textFill>
            <w14:solidFill>
              <w14:schemeClr w14:val="tx1"/>
            </w14:solidFill>
          </w14:textFill>
        </w:rPr>
        <w:t>—设计流量下的平均流速（m/s）。</w:t>
      </w:r>
    </w:p>
    <w:p>
      <w:pPr>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根据上式计算通川区河流目标生态环境需水量，计算成果列于表4.3.11。</w:t>
      </w:r>
    </w:p>
    <w:p>
      <w:pPr>
        <w:spacing w:line="520" w:lineRule="exact"/>
        <w:ind w:firstLine="420" w:firstLineChars="15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（3）生态环境需水量汇总分析</w:t>
      </w:r>
    </w:p>
    <w:p>
      <w:pPr>
        <w:spacing w:line="520" w:lineRule="exact"/>
        <w:ind w:firstLine="48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取两种方法计算的生态环境需水量的外包线作为通川区河流生态环境需水，计算结果见4.3.1</w:t>
      </w:r>
      <w:r>
        <w:rPr>
          <w:rFonts w:hint="eastAsia"/>
          <w:color w:val="000000" w:themeColor="text1"/>
          <w:kern w:val="0"/>
          <w:szCs w:val="28"/>
          <w14:textFill>
            <w14:solidFill>
              <w14:schemeClr w14:val="tx1"/>
            </w14:solidFill>
          </w14:textFill>
        </w:rPr>
        <w:t>2</w:t>
      </w:r>
      <w:r>
        <w:rPr>
          <w:color w:val="000000" w:themeColor="text1"/>
          <w:kern w:val="0"/>
          <w:szCs w:val="28"/>
          <w14:textFill>
            <w14:solidFill>
              <w14:schemeClr w14:val="tx1"/>
            </w14:solidFill>
          </w14:textFill>
        </w:rPr>
        <w:t>。从表中可以看出，在采取严控污染物排放、增强污水处理能力等截污减排措施的前提下，2025规划年为维持河流水质达标，双龙河目标生态环境需水量为0.683</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/s，魏家河目标生态环境需水量为0.367</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/s；2035规划年为维持河流水质达标，双龙河目标生态环境需水量为1.01</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/s，魏家河目标生态环境需水量为0.569</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/s。</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表4.3.1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通川区河流断面生态环境需水量计算结果</w:t>
      </w:r>
    </w:p>
    <w:tbl>
      <w:tblPr>
        <w:tblStyle w:val="40"/>
        <w:tblW w:w="4995" w:type="pct"/>
        <w:tblInd w:w="0" w:type="dxa"/>
        <w:tblLayout w:type="fixed"/>
        <w:tblCellMar>
          <w:top w:w="0" w:type="dxa"/>
          <w:left w:w="0" w:type="dxa"/>
          <w:bottom w:w="0" w:type="dxa"/>
          <w:right w:w="0" w:type="dxa"/>
        </w:tblCellMar>
      </w:tblPr>
      <w:tblGrid>
        <w:gridCol w:w="491"/>
        <w:gridCol w:w="875"/>
        <w:gridCol w:w="818"/>
        <w:gridCol w:w="1228"/>
        <w:gridCol w:w="1041"/>
        <w:gridCol w:w="1049"/>
        <w:gridCol w:w="989"/>
        <w:gridCol w:w="866"/>
        <w:gridCol w:w="967"/>
      </w:tblGrid>
      <w:tr>
        <w:tblPrEx>
          <w:tblCellMar>
            <w:top w:w="0" w:type="dxa"/>
            <w:left w:w="0" w:type="dxa"/>
            <w:bottom w:w="0" w:type="dxa"/>
            <w:right w:w="0" w:type="dxa"/>
          </w:tblCellMar>
        </w:tblPrEx>
        <w:trPr>
          <w:trHeight w:val="397" w:hRule="atLeast"/>
        </w:trPr>
        <w:tc>
          <w:tcPr>
            <w:tcW w:w="294"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编号</w:t>
            </w:r>
          </w:p>
        </w:tc>
        <w:tc>
          <w:tcPr>
            <w:tcW w:w="525"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河流</w:t>
            </w:r>
          </w:p>
        </w:tc>
        <w:tc>
          <w:tcPr>
            <w:tcW w:w="491"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断面</w:t>
            </w:r>
          </w:p>
        </w:tc>
        <w:tc>
          <w:tcPr>
            <w:tcW w:w="1993" w:type="pct"/>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2025规划年</w:t>
            </w:r>
          </w:p>
        </w:tc>
        <w:tc>
          <w:tcPr>
            <w:tcW w:w="1695" w:type="pct"/>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2035规划年</w:t>
            </w:r>
          </w:p>
        </w:tc>
      </w:tr>
      <w:tr>
        <w:tblPrEx>
          <w:tblCellMar>
            <w:top w:w="0" w:type="dxa"/>
            <w:left w:w="0" w:type="dxa"/>
            <w:bottom w:w="0" w:type="dxa"/>
            <w:right w:w="0" w:type="dxa"/>
          </w:tblCellMar>
        </w:tblPrEx>
        <w:trPr>
          <w:trHeight w:val="397" w:hRule="atLeast"/>
        </w:trPr>
        <w:tc>
          <w:tcPr>
            <w:tcW w:w="29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25"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491"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基本生态环境需水量</w:t>
            </w:r>
          </w:p>
        </w:tc>
        <w:tc>
          <w:tcPr>
            <w:tcW w:w="6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目标生态环境需水量</w:t>
            </w:r>
          </w:p>
        </w:tc>
        <w:tc>
          <w:tcPr>
            <w:tcW w:w="62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生态环境需水量</w:t>
            </w:r>
          </w:p>
        </w:tc>
        <w:tc>
          <w:tcPr>
            <w:tcW w:w="59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基本生态环境需水量</w:t>
            </w:r>
          </w:p>
        </w:tc>
        <w:tc>
          <w:tcPr>
            <w:tcW w:w="52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目标生态环境需水量</w:t>
            </w:r>
          </w:p>
        </w:tc>
        <w:tc>
          <w:tcPr>
            <w:tcW w:w="58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生态环境需水量</w:t>
            </w:r>
          </w:p>
        </w:tc>
      </w:tr>
      <w:tr>
        <w:tblPrEx>
          <w:tblCellMar>
            <w:top w:w="0" w:type="dxa"/>
            <w:left w:w="0" w:type="dxa"/>
            <w:bottom w:w="0" w:type="dxa"/>
            <w:right w:w="0" w:type="dxa"/>
          </w:tblCellMar>
        </w:tblPrEx>
        <w:trPr>
          <w:trHeight w:val="397" w:hRule="atLeast"/>
        </w:trPr>
        <w:tc>
          <w:tcPr>
            <w:tcW w:w="29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525"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491"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p>
        </w:tc>
        <w:tc>
          <w:tcPr>
            <w:tcW w:w="73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/s）</w:t>
            </w:r>
          </w:p>
        </w:tc>
        <w:tc>
          <w:tcPr>
            <w:tcW w:w="6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/s）</w:t>
            </w:r>
          </w:p>
        </w:tc>
        <w:tc>
          <w:tcPr>
            <w:tcW w:w="62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/s）</w:t>
            </w:r>
          </w:p>
        </w:tc>
        <w:tc>
          <w:tcPr>
            <w:tcW w:w="59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/s）</w:t>
            </w:r>
          </w:p>
        </w:tc>
        <w:tc>
          <w:tcPr>
            <w:tcW w:w="52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/s）</w:t>
            </w:r>
          </w:p>
        </w:tc>
        <w:tc>
          <w:tcPr>
            <w:tcW w:w="58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双龙河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0.202</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0.683</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0.683</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0.202</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1.01</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1.01</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魏家河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0.161</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0.367</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0.367</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0.161</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0.569</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0.569</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长滩河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1.60</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1.23</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1.60</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1.60</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2.00</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2.00</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洞滩河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0.259</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0.285</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0.285</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0.259</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0.481</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0.481</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明月江</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3.58</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0.255</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3.58</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3.58</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0.408</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3.58</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固家河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出境</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0.597</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0.271</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0.597</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0.597</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0.456</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0.597</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小杨河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0.247</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0.337</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0.337</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0.247</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0.563</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0.563</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大堰河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出境</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0.212</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0.152</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0.212</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0.212</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0.250</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0.250</w:t>
            </w:r>
          </w:p>
        </w:tc>
      </w:tr>
      <w:tr>
        <w:tblPrEx>
          <w:tblCellMar>
            <w:top w:w="0" w:type="dxa"/>
            <w:left w:w="0" w:type="dxa"/>
            <w:bottom w:w="0" w:type="dxa"/>
            <w:right w:w="0" w:type="dxa"/>
          </w:tblCellMar>
        </w:tblPrEx>
        <w:trPr>
          <w:trHeight w:val="397" w:hRule="atLeast"/>
        </w:trPr>
        <w:tc>
          <w:tcPr>
            <w:tcW w:w="2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tc>
        <w:tc>
          <w:tcPr>
            <w:tcW w:w="52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施家河</w:t>
            </w:r>
          </w:p>
        </w:tc>
        <w:tc>
          <w:tcPr>
            <w:tcW w:w="49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河口</w:t>
            </w:r>
          </w:p>
        </w:tc>
        <w:tc>
          <w:tcPr>
            <w:tcW w:w="7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0.196</w:t>
            </w:r>
          </w:p>
        </w:tc>
        <w:tc>
          <w:tcPr>
            <w:tcW w:w="625"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0.478</w:t>
            </w:r>
          </w:p>
        </w:tc>
        <w:tc>
          <w:tcPr>
            <w:tcW w:w="62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0.478</w:t>
            </w:r>
          </w:p>
        </w:tc>
        <w:tc>
          <w:tcPr>
            <w:tcW w:w="59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0.196</w:t>
            </w:r>
          </w:p>
        </w:tc>
        <w:tc>
          <w:tcPr>
            <w:tcW w:w="52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0.786</w:t>
            </w:r>
          </w:p>
        </w:tc>
        <w:tc>
          <w:tcPr>
            <w:tcW w:w="58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textAlignment w:val="center"/>
              <w:rPr>
                <w:color w:val="000000" w:themeColor="text1"/>
                <w:lang w:bidi="ar"/>
                <w14:textFill>
                  <w14:solidFill>
                    <w14:schemeClr w14:val="tx1"/>
                  </w14:solidFill>
                </w14:textFill>
              </w:rPr>
            </w:pPr>
            <w:r>
              <w:rPr>
                <w:color w:val="000000" w:themeColor="text1"/>
                <w:lang w:bidi="ar"/>
                <w14:textFill>
                  <w14:solidFill>
                    <w14:schemeClr w14:val="tx1"/>
                  </w14:solidFill>
                </w14:textFill>
              </w:rPr>
              <w:t>0.786</w:t>
            </w:r>
          </w:p>
        </w:tc>
      </w:tr>
    </w:tbl>
    <w:p>
      <w:pPr>
        <w:pStyle w:val="111"/>
        <w:rPr>
          <w:color w:val="000000" w:themeColor="text1"/>
          <w14:textFill>
            <w14:solidFill>
              <w14:schemeClr w14:val="tx1"/>
            </w14:solidFill>
          </w14:textFill>
        </w:rPr>
      </w:pPr>
    </w:p>
    <w:p>
      <w:pPr>
        <w:spacing w:line="520" w:lineRule="exact"/>
        <w:ind w:firstLine="420" w:firstLineChars="150"/>
        <w:rPr>
          <w:color w:val="000000" w:themeColor="text1"/>
          <w:szCs w:val="28"/>
          <w14:textFill>
            <w14:solidFill>
              <w14:schemeClr w14:val="tx1"/>
            </w14:solidFill>
          </w14:textFill>
        </w:rPr>
      </w:pPr>
      <w:r>
        <w:rPr>
          <w:color w:val="000000" w:themeColor="text1"/>
          <w:szCs w:val="28"/>
          <w14:textFill>
            <w14:solidFill>
              <w14:schemeClr w14:val="tx1"/>
            </w14:solidFill>
          </w14:textFill>
        </w:rPr>
        <w:t>（5）河道内生态补水量的计算</w:t>
      </w:r>
    </w:p>
    <w:p>
      <w:pPr>
        <w:tabs>
          <w:tab w:val="left" w:pos="1701"/>
        </w:tabs>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根据永红水文站1971年6月</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2013年5月共42年逐旬流量过程，采用水文比拟法得到各断面的逐旬流量过程，分别减去河道生态环境需水量，差值为负数时即为需要补水，正数时则不需要补水，以此可得到各断面所需的生态补水过程。</w:t>
      </w:r>
    </w:p>
    <w:p>
      <w:pPr>
        <w:spacing w:line="520" w:lineRule="exact"/>
        <w:ind w:firstLine="48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通川区各生态补水断面多年平均补水量成果见表4.3.13。规划2025年，通川区部分断面采取严控污染物排放、增强污水处理能力等截污减排措施的前提下，为维持河流水质达标，9个生态补水断面多年平均生态补水总量为4029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。9个断面中，双龙河需补水量759万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4月）需补水量597万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，占全年补水量的78.72%；魏家河需补水量313万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4月）需补水量257万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，占全年补水量的81.84%。规划2035年，通川区部分断面采取严控污染物排放、增强污水处理能力等截污减排措施的前提下，为维持河流水质达标，9个生态补水断面多年平均生态补水总量为5578万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。9个断面中，双龙河需补水量1381万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4月）需补水量1041万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，占全年补水量的75.37%；魏家河需补水量650万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4月）需补水量509万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，占全年补水量的78.33%。</w:t>
      </w:r>
    </w:p>
    <w:p>
      <w:pPr>
        <w:spacing w:line="520" w:lineRule="exact"/>
        <w:ind w:firstLine="560"/>
        <w:jc w:val="left"/>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双龙河、魏家河1971～2013年逐年生态补水总量见图4.3.1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图4.3.4。由图可见，双龙河、魏家河生态补水总量的年际间变化较大，规划2025年，双龙河生态补水总量最大的年份为1978年6月</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1979年5月，最大生态补水总量为1428万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，为多年平均补水总量的1.88倍，生态补水总量最小的年份为2005年6月</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2006年5月，最小生态补水总量为186万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，仅为多年平均补水总量的24.5%；规划2035年，双龙河年最大生态补水总量2331万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，为多年平均补水总量的1.69倍，年最小生态补水总量472</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，仅为多年平均补水总量的34.2%。规划2025年，魏家河年最大生态补水总量681万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，为多年平均补水总量的2.17倍，年最小生态补水总量为44.5万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，仅为多年平均补水总量的14.2%；规划2035年，魏家河年最大生态补水总量1203万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，为多年平均补水总量的1.85倍，年最小生态补水总量166</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，仅为多年平均补水总量的25.6%。</w:t>
      </w:r>
    </w:p>
    <w:p>
      <w:pPr>
        <w:pStyle w:val="49"/>
        <w:rPr>
          <w:color w:val="000000" w:themeColor="text1"/>
          <w14:textFill>
            <w14:solidFill>
              <w14:schemeClr w14:val="tx1"/>
            </w14:solidFill>
          </w14:textFill>
        </w:rPr>
      </w:pPr>
      <w:r>
        <w:rPr>
          <w:color w:val="000000" w:themeColor="text1"/>
          <w:szCs w:val="28"/>
          <w14:textFill>
            <w14:solidFill>
              <w14:schemeClr w14:val="tx1"/>
            </w14:solidFill>
          </w14:textFill>
        </w:rPr>
        <w:br w:type="page"/>
      </w:r>
      <w:r>
        <w:rPr>
          <w:color w:val="000000" w:themeColor="text1"/>
          <w14:textFill>
            <w14:solidFill>
              <w14:schemeClr w14:val="tx1"/>
            </w14:solidFill>
          </w14:textFill>
        </w:rPr>
        <w:t>表4.3.1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通川区内各生态补水断面多年平均补水量成果</w:t>
      </w:r>
    </w:p>
    <w:tbl>
      <w:tblPr>
        <w:tblStyle w:val="40"/>
        <w:tblW w:w="4998" w:type="pct"/>
        <w:tblInd w:w="0" w:type="dxa"/>
        <w:tblLayout w:type="autofit"/>
        <w:tblCellMar>
          <w:top w:w="0" w:type="dxa"/>
          <w:left w:w="0" w:type="dxa"/>
          <w:bottom w:w="0" w:type="dxa"/>
          <w:right w:w="0" w:type="dxa"/>
        </w:tblCellMar>
      </w:tblPr>
      <w:tblGrid>
        <w:gridCol w:w="562"/>
        <w:gridCol w:w="757"/>
        <w:gridCol w:w="920"/>
        <w:gridCol w:w="1002"/>
        <w:gridCol w:w="1250"/>
        <w:gridCol w:w="793"/>
        <w:gridCol w:w="1002"/>
        <w:gridCol w:w="1250"/>
        <w:gridCol w:w="793"/>
      </w:tblGrid>
      <w:tr>
        <w:tblPrEx>
          <w:tblCellMar>
            <w:top w:w="0" w:type="dxa"/>
            <w:left w:w="0" w:type="dxa"/>
            <w:bottom w:w="0" w:type="dxa"/>
            <w:right w:w="0" w:type="dxa"/>
          </w:tblCellMar>
        </w:tblPrEx>
        <w:trPr>
          <w:trHeight w:val="397" w:hRule="atLeast"/>
        </w:trPr>
        <w:tc>
          <w:tcPr>
            <w:tcW w:w="338"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454"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河流</w:t>
            </w:r>
          </w:p>
        </w:tc>
        <w:tc>
          <w:tcPr>
            <w:tcW w:w="551"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断面</w:t>
            </w:r>
          </w:p>
        </w:tc>
        <w:tc>
          <w:tcPr>
            <w:tcW w:w="1827"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2025年</w:t>
            </w:r>
          </w:p>
        </w:tc>
        <w:tc>
          <w:tcPr>
            <w:tcW w:w="1827"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2035年</w:t>
            </w:r>
          </w:p>
        </w:tc>
      </w:tr>
      <w:tr>
        <w:tblPrEx>
          <w:tblCellMar>
            <w:top w:w="0" w:type="dxa"/>
            <w:left w:w="0" w:type="dxa"/>
            <w:bottom w:w="0" w:type="dxa"/>
            <w:right w:w="0" w:type="dxa"/>
          </w:tblCellMar>
        </w:tblPrEx>
        <w:trPr>
          <w:trHeight w:val="397" w:hRule="atLeast"/>
        </w:trPr>
        <w:tc>
          <w:tcPr>
            <w:tcW w:w="338"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45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1"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01" w:type="pct"/>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年补水量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1226" w:type="pct"/>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非汛期（11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4月）</w:t>
            </w:r>
          </w:p>
        </w:tc>
        <w:tc>
          <w:tcPr>
            <w:tcW w:w="601" w:type="pct"/>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年补水量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1226" w:type="pct"/>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非汛期（11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4月）</w:t>
            </w:r>
          </w:p>
        </w:tc>
      </w:tr>
      <w:tr>
        <w:tblPrEx>
          <w:tblCellMar>
            <w:top w:w="0" w:type="dxa"/>
            <w:left w:w="0" w:type="dxa"/>
            <w:bottom w:w="0" w:type="dxa"/>
            <w:right w:w="0" w:type="dxa"/>
          </w:tblCellMar>
        </w:tblPrEx>
        <w:trPr>
          <w:trHeight w:val="397" w:hRule="atLeast"/>
        </w:trPr>
        <w:tc>
          <w:tcPr>
            <w:tcW w:w="338"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454"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551"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601" w:type="pct"/>
            <w:vMerge w:val="continue"/>
            <w:tcBorders>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75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补水量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47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占比</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c>
          <w:tcPr>
            <w:tcW w:w="601" w:type="pct"/>
            <w:vMerge w:val="continue"/>
            <w:tcBorders>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p>
        </w:tc>
        <w:tc>
          <w:tcPr>
            <w:tcW w:w="75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补水量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47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占比</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双龙河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759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597</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78.72</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1381</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1041</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75.37</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魏家河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313</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81.84</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650</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509</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78.33</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长滩河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596</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504</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84.67</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980</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827</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84.45</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洞滩河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84.75</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349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290</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83.05</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明月江</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1329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1125</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84.67</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1329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1125</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84.67</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固家河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出境</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222</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188</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84.67</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222</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188</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84.67</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小杨河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183</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154</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84.23</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481</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394</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81.85</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大堰河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出境</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67</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84.67</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115</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97</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84.57</w:t>
            </w:r>
          </w:p>
        </w:tc>
      </w:tr>
      <w:tr>
        <w:tblPrEx>
          <w:tblCellMar>
            <w:top w:w="0" w:type="dxa"/>
            <w:left w:w="0" w:type="dxa"/>
            <w:bottom w:w="0" w:type="dxa"/>
            <w:right w:w="0" w:type="dxa"/>
          </w:tblCellMar>
        </w:tblPrEx>
        <w:trPr>
          <w:trHeight w:val="397" w:hRule="atLeast"/>
        </w:trPr>
        <w:tc>
          <w:tcPr>
            <w:tcW w:w="33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w:t>
            </w:r>
          </w:p>
        </w:tc>
        <w:tc>
          <w:tcPr>
            <w:tcW w:w="45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施家河</w:t>
            </w:r>
          </w:p>
        </w:tc>
        <w:tc>
          <w:tcPr>
            <w:tcW w:w="55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河口</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429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349</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81.35</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71</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745</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77.30</w:t>
            </w:r>
          </w:p>
        </w:tc>
      </w:tr>
      <w:tr>
        <w:tblPrEx>
          <w:tblCellMar>
            <w:top w:w="0" w:type="dxa"/>
            <w:left w:w="0" w:type="dxa"/>
            <w:bottom w:w="0" w:type="dxa"/>
            <w:right w:w="0" w:type="dxa"/>
          </w:tblCellMar>
        </w:tblPrEx>
        <w:trPr>
          <w:trHeight w:val="397" w:hRule="atLeast"/>
        </w:trPr>
        <w:tc>
          <w:tcPr>
            <w:tcW w:w="1344"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通川区生态补水合计</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4029</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3343</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82.96</w:t>
            </w:r>
          </w:p>
        </w:tc>
        <w:tc>
          <w:tcPr>
            <w:tcW w:w="60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5578</w:t>
            </w:r>
          </w:p>
        </w:tc>
        <w:tc>
          <w:tcPr>
            <w:tcW w:w="75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5216</w:t>
            </w:r>
          </w:p>
        </w:tc>
        <w:tc>
          <w:tcPr>
            <w:tcW w:w="47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93.52</w:t>
            </w:r>
          </w:p>
        </w:tc>
      </w:tr>
    </w:tbl>
    <w:p>
      <w:pPr>
        <w:ind w:firstLine="560"/>
        <w:rPr>
          <w:color w:val="000000" w:themeColor="text1"/>
          <w14:textFill>
            <w14:solidFill>
              <w14:schemeClr w14:val="tx1"/>
            </w14:solidFill>
          </w14:textFill>
        </w:rPr>
      </w:pPr>
    </w:p>
    <w:p>
      <w:pPr>
        <w:pStyle w:val="9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29860" cy="343979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29860" cy="3439795"/>
                    </a:xfrm>
                    <a:prstGeom prst="rect">
                      <a:avLst/>
                    </a:prstGeom>
                    <a:noFill/>
                    <a:ln>
                      <a:noFill/>
                    </a:ln>
                    <a:effectLst/>
                  </pic:spPr>
                </pic:pic>
              </a:graphicData>
            </a:graphic>
          </wp:inline>
        </w:drawing>
      </w:r>
    </w:p>
    <w:p>
      <w:pPr>
        <w:pStyle w:val="92"/>
        <w:rPr>
          <w:color w:val="000000" w:themeColor="text1"/>
          <w14:textFill>
            <w14:solidFill>
              <w14:schemeClr w14:val="tx1"/>
            </w14:solidFill>
          </w14:textFill>
        </w:rPr>
      </w:pPr>
      <w:r>
        <w:rPr>
          <w:color w:val="000000" w:themeColor="text1"/>
          <w14:textFill>
            <w14:solidFill>
              <w14:schemeClr w14:val="tx1"/>
            </w14:solidFill>
          </w14:textFill>
        </w:rPr>
        <w:t>图4.3.1  双龙河2025规划年1971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2013年逐年生态补水量</w:t>
      </w:r>
    </w:p>
    <w:p>
      <w:pPr>
        <w:pStyle w:val="92"/>
        <w:rPr>
          <w:color w:val="000000" w:themeColor="text1"/>
          <w14:textFill>
            <w14:solidFill>
              <w14:schemeClr w14:val="tx1"/>
            </w14:solidFill>
          </w14:textFill>
        </w:rPr>
      </w:pPr>
    </w:p>
    <w:p>
      <w:pPr>
        <w:pStyle w:val="9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34690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469005"/>
                    </a:xfrm>
                    <a:prstGeom prst="rect">
                      <a:avLst/>
                    </a:prstGeom>
                    <a:noFill/>
                    <a:ln>
                      <a:noFill/>
                    </a:ln>
                  </pic:spPr>
                </pic:pic>
              </a:graphicData>
            </a:graphic>
          </wp:inline>
        </w:drawing>
      </w:r>
    </w:p>
    <w:p>
      <w:pPr>
        <w:pStyle w:val="92"/>
        <w:rPr>
          <w:color w:val="000000" w:themeColor="text1"/>
          <w14:textFill>
            <w14:solidFill>
              <w14:schemeClr w14:val="tx1"/>
            </w14:solidFill>
          </w14:textFill>
        </w:rPr>
      </w:pPr>
      <w:r>
        <w:rPr>
          <w:color w:val="000000" w:themeColor="text1"/>
          <w14:textFill>
            <w14:solidFill>
              <w14:schemeClr w14:val="tx1"/>
            </w14:solidFill>
          </w14:textFill>
        </w:rPr>
        <w:t>图4.3.2  双龙河2035规划年1971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2013年逐年生态补水量</w:t>
      </w:r>
    </w:p>
    <w:p>
      <w:pPr>
        <w:adjustRightInd/>
        <w:snapToGrid/>
        <w:spacing w:line="240" w:lineRule="auto"/>
        <w:ind w:firstLine="0" w:firstLineChars="0"/>
        <w:rPr>
          <w:rFonts w:eastAsia="华文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3469005"/>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3469005"/>
                    </a:xfrm>
                    <a:prstGeom prst="rect">
                      <a:avLst/>
                    </a:prstGeom>
                    <a:noFill/>
                    <a:ln>
                      <a:noFill/>
                    </a:ln>
                  </pic:spPr>
                </pic:pic>
              </a:graphicData>
            </a:graphic>
          </wp:inline>
        </w:drawing>
      </w:r>
    </w:p>
    <w:p>
      <w:pPr>
        <w:pStyle w:val="92"/>
        <w:rPr>
          <w:color w:val="000000" w:themeColor="text1"/>
          <w14:textFill>
            <w14:solidFill>
              <w14:schemeClr w14:val="tx1"/>
            </w14:solidFill>
          </w14:textFill>
        </w:rPr>
      </w:pPr>
      <w:r>
        <w:rPr>
          <w:color w:val="000000" w:themeColor="text1"/>
          <w14:textFill>
            <w14:solidFill>
              <w14:schemeClr w14:val="tx1"/>
            </w14:solidFill>
          </w14:textFill>
        </w:rPr>
        <w:t>图4.3.3  魏家河2025规划年1971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2013年逐年生态补水量</w:t>
      </w:r>
    </w:p>
    <w:p>
      <w:pPr>
        <w:pStyle w:val="92"/>
        <w:rPr>
          <w:color w:val="000000" w:themeColor="text1"/>
          <w14:textFill>
            <w14:solidFill>
              <w14:schemeClr w14:val="tx1"/>
            </w14:solidFill>
          </w14:textFill>
        </w:rPr>
      </w:pPr>
    </w:p>
    <w:p>
      <w:pPr>
        <w:pStyle w:val="9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3469005"/>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3469005"/>
                    </a:xfrm>
                    <a:prstGeom prst="rect">
                      <a:avLst/>
                    </a:prstGeom>
                    <a:noFill/>
                    <a:ln>
                      <a:noFill/>
                    </a:ln>
                  </pic:spPr>
                </pic:pic>
              </a:graphicData>
            </a:graphic>
          </wp:inline>
        </w:drawing>
      </w:r>
    </w:p>
    <w:p>
      <w:pPr>
        <w:pStyle w:val="92"/>
        <w:rPr>
          <w:color w:val="000000" w:themeColor="text1"/>
          <w14:textFill>
            <w14:solidFill>
              <w14:schemeClr w14:val="tx1"/>
            </w14:solidFill>
          </w14:textFill>
        </w:rPr>
      </w:pPr>
      <w:r>
        <w:rPr>
          <w:color w:val="000000" w:themeColor="text1"/>
          <w14:textFill>
            <w14:solidFill>
              <w14:schemeClr w14:val="tx1"/>
            </w14:solidFill>
          </w14:textFill>
        </w:rPr>
        <w:t>图4.3.4  魏家河2035规划年1971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2013年逐年生态补水量</w:t>
      </w:r>
    </w:p>
    <w:p>
      <w:pPr>
        <w:pStyle w:val="92"/>
        <w:rPr>
          <w:color w:val="000000" w:themeColor="text1"/>
          <w14:textFill>
            <w14:solidFill>
              <w14:schemeClr w14:val="tx1"/>
            </w14:solidFill>
          </w14:textFill>
        </w:rPr>
      </w:pPr>
    </w:p>
    <w:p>
      <w:pPr>
        <w:pStyle w:val="5"/>
        <w:spacing w:before="72" w:after="72"/>
        <w:rPr>
          <w:rFonts w:ascii="Times New Roman" w:hAnsi="Times New Roman"/>
          <w:color w:val="000000" w:themeColor="text1"/>
          <w:szCs w:val="28"/>
          <w14:textFill>
            <w14:solidFill>
              <w14:schemeClr w14:val="tx1"/>
            </w14:solidFill>
          </w14:textFill>
        </w:rPr>
      </w:pPr>
      <w:bookmarkStart w:id="160" w:name="_Toc18674"/>
      <w:r>
        <w:rPr>
          <w:rFonts w:ascii="Times New Roman" w:hAnsi="Times New Roman"/>
          <w:color w:val="000000" w:themeColor="text1"/>
          <w:szCs w:val="28"/>
          <w14:textFill>
            <w14:solidFill>
              <w14:schemeClr w14:val="tx1"/>
            </w14:solidFill>
          </w14:textFill>
        </w:rPr>
        <w:t>4.3.3  与用水总量控制指标相符性分析</w:t>
      </w:r>
      <w:bookmarkEnd w:id="160"/>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按照《达州市人民政府办公室印发达州市实行最严格水资源管理制度考核办法的通知》对各县（区）用水总量控制目标的要求，通川区2020年、2030年用水控制总量控制指标分别为2.49亿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、2.61亿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本次预测的通川区2025年、2030年、2035年需水总量分别为18146万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、24873万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、27389万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；根据本次供需平衡分析成果可知，2025年、2030年、2035年供水量分别为17137万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、23995万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、26080万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，均未超用水总量控制指标。因此，通川区各规划年的供用水量完全符合达州市最严格水资源管理用水总量控制指标的要求。</w:t>
      </w:r>
    </w:p>
    <w:p>
      <w:pPr>
        <w:pStyle w:val="5"/>
        <w:spacing w:before="72" w:after="72"/>
        <w:rPr>
          <w:rFonts w:ascii="Times New Roman" w:hAnsi="Times New Roman"/>
          <w:color w:val="000000" w:themeColor="text1"/>
          <w:szCs w:val="28"/>
          <w14:textFill>
            <w14:solidFill>
              <w14:schemeClr w14:val="tx1"/>
            </w14:solidFill>
          </w14:textFill>
        </w:rPr>
      </w:pPr>
      <w:bookmarkStart w:id="161" w:name="_Toc5887"/>
      <w:r>
        <w:rPr>
          <w:rFonts w:ascii="Times New Roman" w:hAnsi="Times New Roman"/>
          <w:color w:val="000000" w:themeColor="text1"/>
          <w:szCs w:val="28"/>
          <w14:textFill>
            <w14:solidFill>
              <w14:schemeClr w14:val="tx1"/>
            </w14:solidFill>
          </w14:textFill>
        </w:rPr>
        <w:t>4.3.4  经济社会需水变化情况分析</w:t>
      </w:r>
      <w:bookmarkEnd w:id="161"/>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随着工业化、城镇化进程的加快，灌区节水改造工程的继续实施，通川区用水结构逐步向城市倾斜。城镇生活需水占总需水比重由现状的23.8%提高到2035年的35.4%，二产占总需水比重由现状的24.1%下降到2035年的7.3%，三产占总需水比重由现状的11.3%降低到2035年的7.9%，其中2025～2035年水资源开发重点逐步转移至用水效率和用水效益的提高方面；灌溉需水量因节水灌溉技术的推广及农业种植结构的优化调整等农业节水措施的深入推进，灌溉面积在规划水平年有所增大，呈现略微升高趋势，占</w:t>
      </w:r>
      <w:r>
        <w:rPr>
          <w:rFonts w:hint="eastAsia"/>
          <w:color w:val="000000" w:themeColor="text1"/>
          <w14:textFill>
            <w14:solidFill>
              <w14:schemeClr w14:val="tx1"/>
            </w14:solidFill>
          </w14:textFill>
        </w:rPr>
        <w:t>全区</w:t>
      </w:r>
      <w:r>
        <w:rPr>
          <w:color w:val="000000" w:themeColor="text1"/>
          <w14:textFill>
            <w14:solidFill>
              <w14:schemeClr w14:val="tx1"/>
            </w14:solidFill>
          </w14:textFill>
        </w:rPr>
        <w:t>总需水比重先升高后降低，2035年多年平均农业生产需水比重由2020年的31.9%提高到36.0%。</w:t>
      </w:r>
    </w:p>
    <w:p>
      <w:pPr>
        <w:pStyle w:val="2"/>
        <w:ind w:firstLine="560"/>
        <w:rPr>
          <w:color w:val="000000" w:themeColor="text1"/>
          <w14:textFill>
            <w14:solidFill>
              <w14:schemeClr w14:val="tx1"/>
            </w14:solidFill>
          </w14:textFill>
        </w:rPr>
      </w:pPr>
    </w:p>
    <w:p>
      <w:pPr>
        <w:pStyle w:val="49"/>
        <w:rPr>
          <w:color w:val="000000" w:themeColor="text1"/>
          <w14:textFill>
            <w14:solidFill>
              <w14:schemeClr w14:val="tx1"/>
            </w14:solidFill>
          </w14:textFill>
        </w:rPr>
      </w:pPr>
      <w:r>
        <w:rPr>
          <w:color w:val="000000" w:themeColor="text1"/>
          <w14:textFill>
            <w14:solidFill>
              <w14:schemeClr w14:val="tx1"/>
            </w14:solidFill>
          </w14:textFill>
        </w:rPr>
        <w:t>表4.3.1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通川区各规划水平年需水结构成果表（多年平均）</w:t>
      </w:r>
    </w:p>
    <w:p>
      <w:pPr>
        <w:spacing w:line="240" w:lineRule="auto"/>
        <w:ind w:firstLine="480"/>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0" w:type="auto"/>
        <w:tblInd w:w="0" w:type="dxa"/>
        <w:tblLayout w:type="autofit"/>
        <w:tblCellMar>
          <w:top w:w="0" w:type="dxa"/>
          <w:left w:w="108" w:type="dxa"/>
          <w:bottom w:w="0" w:type="dxa"/>
          <w:right w:w="108" w:type="dxa"/>
        </w:tblCellMar>
      </w:tblPr>
      <w:tblGrid>
        <w:gridCol w:w="696"/>
        <w:gridCol w:w="1783"/>
        <w:gridCol w:w="878"/>
        <w:gridCol w:w="773"/>
        <w:gridCol w:w="836"/>
        <w:gridCol w:w="836"/>
        <w:gridCol w:w="938"/>
        <w:gridCol w:w="804"/>
        <w:gridCol w:w="984"/>
      </w:tblGrid>
      <w:tr>
        <w:tblPrEx>
          <w:tblCellMar>
            <w:top w:w="0" w:type="dxa"/>
            <w:left w:w="108" w:type="dxa"/>
            <w:bottom w:w="0" w:type="dxa"/>
            <w:right w:w="108" w:type="dxa"/>
          </w:tblCellMar>
        </w:tblPrEx>
        <w:trPr>
          <w:trHeight w:val="397" w:hRule="atLeast"/>
        </w:trPr>
        <w:tc>
          <w:tcPr>
            <w:tcW w:w="0" w:type="auto"/>
            <w:gridSpan w:val="2"/>
            <w:vMerge w:val="restart"/>
            <w:tcBorders>
              <w:top w:val="single" w:color="auto" w:sz="4" w:space="0"/>
              <w:left w:val="single" w:color="auto" w:sz="4" w:space="0"/>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城镇生活</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农村生活</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二产</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三产</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农村生产需水</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河道外环境</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需水总量</w:t>
            </w:r>
          </w:p>
        </w:tc>
      </w:tr>
      <w:tr>
        <w:tblPrEx>
          <w:tblCellMar>
            <w:top w:w="0" w:type="dxa"/>
            <w:left w:w="108" w:type="dxa"/>
            <w:bottom w:w="0" w:type="dxa"/>
            <w:right w:w="108" w:type="dxa"/>
          </w:tblCellMar>
        </w:tblPrEx>
        <w:trPr>
          <w:trHeight w:val="397" w:hRule="atLeast"/>
        </w:trPr>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auto" w:sz="4" w:space="0"/>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2020</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水量（万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3408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678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3439</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1612</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4561</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595</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14593</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比  例（%）</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23.8%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4.7%</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24.1%</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31.9%</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4.2%</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100.0%</w:t>
            </w: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auto" w:sz="4" w:space="0"/>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2025</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水量（万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4803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912</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3224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1894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6313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898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14227</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比  例（%）</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33.8%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22.7%</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13.3%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44.4%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100.0%</w:t>
            </w: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auto" w:sz="4" w:space="0"/>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2030</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水量（万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7534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1036</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2944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2139</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9558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1661</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24873</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比  例（%）</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30.3%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4.2%</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8.6%</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38.4%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6.7%</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100.0%</w:t>
            </w:r>
          </w:p>
        </w:tc>
      </w:tr>
      <w:tr>
        <w:tblPrEx>
          <w:tblCellMar>
            <w:top w:w="0" w:type="dxa"/>
            <w:left w:w="108" w:type="dxa"/>
            <w:bottom w:w="0" w:type="dxa"/>
            <w:right w:w="108" w:type="dxa"/>
          </w:tblCellMar>
        </w:tblPrEx>
        <w:trPr>
          <w:trHeight w:val="397" w:hRule="atLeast"/>
        </w:trPr>
        <w:tc>
          <w:tcPr>
            <w:tcW w:w="0" w:type="auto"/>
            <w:vMerge w:val="restart"/>
            <w:tcBorders>
              <w:top w:val="nil"/>
              <w:left w:val="single" w:color="auto" w:sz="4" w:space="0"/>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2035</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水量（万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9701</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1146</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2006</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2160</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9864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2513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27389</w:t>
            </w:r>
          </w:p>
        </w:tc>
      </w:tr>
      <w:tr>
        <w:tblPrEx>
          <w:tblCellMar>
            <w:top w:w="0" w:type="dxa"/>
            <w:left w:w="108" w:type="dxa"/>
            <w:bottom w:w="0" w:type="dxa"/>
            <w:right w:w="108" w:type="dxa"/>
          </w:tblCellMar>
        </w:tblPrEx>
        <w:trPr>
          <w:trHeight w:val="397" w:hRule="atLeast"/>
        </w:trPr>
        <w:tc>
          <w:tcPr>
            <w:tcW w:w="0" w:type="auto"/>
            <w:vMerge w:val="continue"/>
            <w:tcBorders>
              <w:top w:val="nil"/>
              <w:left w:val="single" w:color="auto" w:sz="4" w:space="0"/>
              <w:bottom w:val="single" w:color="auto" w:sz="4" w:space="0"/>
              <w:right w:val="single" w:color="auto" w:sz="4" w:space="0"/>
            </w:tcBorders>
            <w:vAlign w:val="center"/>
          </w:tcPr>
          <w:p>
            <w:pPr>
              <w:pStyle w:val="50"/>
              <w:spacing w:before="120"/>
              <w:rPr>
                <w:color w:val="000000" w:themeColor="text1"/>
                <w14:textFill>
                  <w14:solidFill>
                    <w14:schemeClr w14:val="tx1"/>
                  </w14:solidFill>
                </w14:textFill>
              </w:rPr>
            </w:pP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比  例（%）</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35.4%</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4.2%</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7.3%</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7.9%</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36.0%</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9.2%</w:t>
            </w:r>
          </w:p>
        </w:tc>
        <w:tc>
          <w:tcPr>
            <w:tcW w:w="0" w:type="auto"/>
            <w:tcBorders>
              <w:top w:val="nil"/>
              <w:left w:val="nil"/>
              <w:bottom w:val="single" w:color="auto" w:sz="4" w:space="0"/>
              <w:right w:val="single" w:color="auto" w:sz="4" w:space="0"/>
            </w:tcBorders>
            <w:noWrap/>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100.0%</w:t>
            </w:r>
          </w:p>
        </w:tc>
      </w:tr>
    </w:tbl>
    <w:p>
      <w:pPr>
        <w:pStyle w:val="4"/>
        <w:rPr>
          <w:rFonts w:ascii="Times New Roman" w:hAnsi="Times New Roman" w:cs="Times New Roman"/>
          <w:color w:val="000000" w:themeColor="text1"/>
          <w14:textFill>
            <w14:solidFill>
              <w14:schemeClr w14:val="tx1"/>
            </w14:solidFill>
          </w14:textFill>
        </w:rPr>
      </w:pPr>
      <w:bookmarkStart w:id="162" w:name="_Toc20743"/>
      <w:bookmarkStart w:id="163" w:name="_Toc16220"/>
      <w:r>
        <w:rPr>
          <w:rFonts w:ascii="Times New Roman" w:hAnsi="Times New Roman" w:cs="Times New Roman"/>
          <w:color w:val="000000" w:themeColor="text1"/>
          <w14:textFill>
            <w14:solidFill>
              <w14:schemeClr w14:val="tx1"/>
            </w14:solidFill>
          </w14:textFill>
        </w:rPr>
        <w:t>4.4  水资源一次供需平衡</w:t>
      </w:r>
      <w:bookmarkEnd w:id="126"/>
      <w:bookmarkEnd w:id="127"/>
      <w:bookmarkEnd w:id="128"/>
      <w:bookmarkEnd w:id="162"/>
      <w:bookmarkEnd w:id="163"/>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为了清晰地描述在无新建供水工程水资源的供需态势，以便发现未来区域水资源供需矛盾并对其提出解决方案奠定基础，首先应对未来水资源供需进行一次平衡分析。水资源一次平衡分析即：在水资源供给方面，不考虑新的水利工程建设，完全以现状水资源系统供水能力去应对未来社会经济发展对水资源的需求的情景下的平衡分析。</w:t>
      </w:r>
    </w:p>
    <w:p>
      <w:pPr>
        <w:pStyle w:val="5"/>
        <w:rPr>
          <w:rFonts w:ascii="Times New Roman" w:hAnsi="Times New Roman"/>
          <w:color w:val="000000" w:themeColor="text1"/>
          <w14:textFill>
            <w14:solidFill>
              <w14:schemeClr w14:val="tx1"/>
            </w14:solidFill>
          </w14:textFill>
        </w:rPr>
      </w:pPr>
      <w:bookmarkStart w:id="164" w:name="_Toc19882"/>
      <w:bookmarkStart w:id="165" w:name="_Toc44337358"/>
      <w:r>
        <w:rPr>
          <w:rFonts w:ascii="Times New Roman" w:hAnsi="Times New Roman"/>
          <w:color w:val="000000" w:themeColor="text1"/>
          <w14:textFill>
            <w14:solidFill>
              <w14:schemeClr w14:val="tx1"/>
            </w14:solidFill>
          </w14:textFill>
        </w:rPr>
        <w:t>4.4.1  原则、方法及计算参数</w:t>
      </w:r>
      <w:bookmarkEnd w:id="164"/>
      <w:bookmarkEnd w:id="165"/>
    </w:p>
    <w:p>
      <w:pPr>
        <w:spacing w:line="520" w:lineRule="exact"/>
        <w:ind w:firstLine="562"/>
        <w:outlineLvl w:val="3"/>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1  原则</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一次供需平衡分析是分析在区域现状供水能力下，在不同设计水平年不同区域的供、需、缺水状况，为水源工程规划提供依据。为此平衡分析遵循以下原则：</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（1）节约用水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节约用水是充分利用水资源的重要措施之一。为了有效利用水资源，提高水的生产效率，除了在用水定额制定、配水管理上应用节水措施外，还要在输送水的环节中采取工程措施，减小水量损失，提高输水效率。</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（2）分片平衡</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区域水源工程分布不均，供水能力存在较大差异，需水要求也不一样，因此应分片平衡，以分析各片的供需特点。</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（3）充分利用当地水源</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各分片首先由当地水源工程供水，不足的水量才由规划的骨干水源工程供水，以减小规划工程规模。</w:t>
      </w:r>
    </w:p>
    <w:p>
      <w:pPr>
        <w:spacing w:line="520" w:lineRule="exact"/>
        <w:ind w:firstLine="562"/>
        <w:outlineLvl w:val="3"/>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2  计算方法</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为避免典型年法不能正确反映客观实际，考虑到已具备较长的水文气象观测资料，采用时历法进行1971年6月</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2013年5月共42年水利年系列计算。</w:t>
      </w:r>
    </w:p>
    <w:p>
      <w:pPr>
        <w:spacing w:line="520" w:lineRule="exact"/>
        <w:ind w:firstLine="562"/>
        <w:outlineLvl w:val="3"/>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3  主要参数</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1）设计水平年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基准年：2020年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近期设计水平年：2025年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中期设计水平年：2030年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远期设计水平年：2035年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2）设计供水保证率</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灌溉保证率：P=75%；</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工业、生活保证率：P=95%；</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农村人畜：p＝95％。</w:t>
      </w:r>
    </w:p>
    <w:p>
      <w:pPr>
        <w:pStyle w:val="5"/>
        <w:rPr>
          <w:rFonts w:ascii="Times New Roman" w:hAnsi="Times New Roman"/>
          <w:color w:val="000000" w:themeColor="text1"/>
          <w14:textFill>
            <w14:solidFill>
              <w14:schemeClr w14:val="tx1"/>
            </w14:solidFill>
          </w14:textFill>
        </w:rPr>
      </w:pPr>
      <w:bookmarkStart w:id="166" w:name="_Toc4027"/>
      <w:r>
        <w:rPr>
          <w:rFonts w:ascii="Times New Roman" w:hAnsi="Times New Roman"/>
          <w:color w:val="000000" w:themeColor="text1"/>
          <w14:textFill>
            <w14:solidFill>
              <w14:schemeClr w14:val="tx1"/>
            </w14:solidFill>
          </w14:textFill>
        </w:rPr>
        <w:t>4.4.2  结论及分析</w:t>
      </w:r>
      <w:bookmarkEnd w:id="166"/>
    </w:p>
    <w:p>
      <w:pPr>
        <w:spacing w:line="520" w:lineRule="exact"/>
        <w:ind w:firstLine="560"/>
        <w:rPr>
          <w:color w:val="000000" w:themeColor="text1"/>
          <w:szCs w:val="28"/>
          <w14:textFill>
            <w14:solidFill>
              <w14:schemeClr w14:val="tx1"/>
            </w14:solidFill>
          </w14:textFill>
        </w:rPr>
        <w:sectPr>
          <w:pgSz w:w="11906" w:h="16838"/>
          <w:pgMar w:top="1440" w:right="1797" w:bottom="1440" w:left="1797" w:header="851" w:footer="737" w:gutter="0"/>
          <w:cols w:space="720" w:num="1"/>
          <w:docGrid w:linePitch="381" w:charSpace="0"/>
        </w:sectPr>
      </w:pPr>
      <w:r>
        <w:rPr>
          <w:color w:val="000000" w:themeColor="text1"/>
          <w:szCs w:val="28"/>
          <w14:textFill>
            <w14:solidFill>
              <w14:schemeClr w14:val="tx1"/>
            </w14:solidFill>
          </w14:textFill>
        </w:rPr>
        <w:t>根据上述原则、方法和计算参数，进行分片水资源平衡分析计算，各分片多年平均、P=75%、P=95%设计典型年成果汇总如表4.4.1。</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表4.4.1  通川区水资源一次供需平衡分析成果表</w:t>
      </w:r>
    </w:p>
    <w:p>
      <w:pPr>
        <w:ind w:firstLine="480"/>
        <w:jc w:val="right"/>
        <w:rPr>
          <w:color w:val="000000" w:themeColor="text1"/>
          <w:sz w:val="24"/>
          <w:szCs w:val="22"/>
          <w:vertAlign w:val="superscript"/>
          <w14:textFill>
            <w14:solidFill>
              <w14:schemeClr w14:val="tx1"/>
            </w14:solidFill>
          </w14:textFill>
        </w:rPr>
      </w:pPr>
      <w:r>
        <w:rPr>
          <w:color w:val="000000" w:themeColor="text1"/>
          <w:sz w:val="24"/>
          <w:szCs w:val="22"/>
          <w14:textFill>
            <w14:solidFill>
              <w14:schemeClr w14:val="tx1"/>
            </w14:solidFill>
          </w14:textFill>
        </w:rPr>
        <w:t>水量：万</w:t>
      </w:r>
      <w:r>
        <w:rPr>
          <w:rFonts w:hint="eastAsia"/>
          <w:color w:val="000000" w:themeColor="text1"/>
          <w:sz w:val="24"/>
          <w:szCs w:val="22"/>
          <w14:textFill>
            <w14:solidFill>
              <w14:schemeClr w14:val="tx1"/>
            </w14:solidFill>
          </w14:textFill>
        </w:rPr>
        <w:t>m³</w:t>
      </w:r>
    </w:p>
    <w:tbl>
      <w:tblPr>
        <w:tblStyle w:val="40"/>
        <w:tblW w:w="4997" w:type="pct"/>
        <w:tblInd w:w="0" w:type="dxa"/>
        <w:tblLayout w:type="fixed"/>
        <w:tblCellMar>
          <w:top w:w="0" w:type="dxa"/>
          <w:left w:w="108" w:type="dxa"/>
          <w:bottom w:w="0" w:type="dxa"/>
          <w:right w:w="108" w:type="dxa"/>
        </w:tblCellMar>
      </w:tblPr>
      <w:tblGrid>
        <w:gridCol w:w="888"/>
        <w:gridCol w:w="1015"/>
        <w:gridCol w:w="2607"/>
        <w:gridCol w:w="2420"/>
        <w:gridCol w:w="750"/>
        <w:gridCol w:w="750"/>
        <w:gridCol w:w="861"/>
        <w:gridCol w:w="666"/>
        <w:gridCol w:w="750"/>
        <w:gridCol w:w="796"/>
        <w:gridCol w:w="887"/>
        <w:gridCol w:w="887"/>
        <w:gridCol w:w="887"/>
      </w:tblGrid>
      <w:tr>
        <w:tblPrEx>
          <w:tblCellMar>
            <w:top w:w="0" w:type="dxa"/>
            <w:left w:w="108" w:type="dxa"/>
            <w:bottom w:w="0" w:type="dxa"/>
            <w:right w:w="108" w:type="dxa"/>
          </w:tblCellMar>
        </w:tblPrEx>
        <w:trPr>
          <w:trHeight w:val="340" w:hRule="exact"/>
          <w:tblHeader/>
        </w:trPr>
        <w:tc>
          <w:tcPr>
            <w:tcW w:w="31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水平年</w:t>
            </w: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水平年</w:t>
            </w:r>
          </w:p>
        </w:tc>
        <w:tc>
          <w:tcPr>
            <w:tcW w:w="1774" w:type="pct"/>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分片</w:t>
            </w:r>
          </w:p>
        </w:tc>
        <w:tc>
          <w:tcPr>
            <w:tcW w:w="1615" w:type="pct"/>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需水</w:t>
            </w:r>
          </w:p>
        </w:tc>
        <w:tc>
          <w:tcPr>
            <w:tcW w:w="313"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供水</w:t>
            </w:r>
          </w:p>
        </w:tc>
        <w:tc>
          <w:tcPr>
            <w:tcW w:w="313"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w:t>
            </w:r>
          </w:p>
        </w:tc>
        <w:tc>
          <w:tcPr>
            <w:tcW w:w="313"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缺水率</w:t>
            </w:r>
          </w:p>
        </w:tc>
      </w:tr>
      <w:tr>
        <w:tblPrEx>
          <w:tblCellMar>
            <w:top w:w="0" w:type="dxa"/>
            <w:left w:w="108" w:type="dxa"/>
            <w:bottom w:w="0" w:type="dxa"/>
            <w:right w:w="108" w:type="dxa"/>
          </w:tblCellMar>
        </w:tblPrEx>
        <w:trPr>
          <w:trHeight w:val="855" w:hRule="exact"/>
          <w:tblHeader/>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26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城镇生活</w:t>
            </w:r>
          </w:p>
        </w:tc>
        <w:tc>
          <w:tcPr>
            <w:tcW w:w="26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农村生活</w:t>
            </w:r>
          </w:p>
        </w:tc>
        <w:tc>
          <w:tcPr>
            <w:tcW w:w="3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二三产用水</w:t>
            </w:r>
          </w:p>
        </w:tc>
        <w:tc>
          <w:tcPr>
            <w:tcW w:w="2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农业用水</w:t>
            </w:r>
          </w:p>
        </w:tc>
        <w:tc>
          <w:tcPr>
            <w:tcW w:w="26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生态用水</w:t>
            </w:r>
          </w:p>
        </w:tc>
        <w:tc>
          <w:tcPr>
            <w:tcW w:w="281"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313" w:type="pct"/>
            <w:vMerge w:val="continue"/>
            <w:tcBorders>
              <w:top w:val="single" w:color="000000" w:sz="8" w:space="0"/>
              <w:left w:val="single" w:color="000000" w:sz="8" w:space="0"/>
              <w:bottom w:val="single" w:color="000000" w:sz="8" w:space="0"/>
              <w:right w:val="single" w:color="000000" w:sz="8" w:space="0"/>
            </w:tcBorders>
            <w:noWrap/>
            <w:vAlign w:val="center"/>
          </w:tcPr>
          <w:p>
            <w:pPr>
              <w:ind w:firstLine="400"/>
              <w:jc w:val="center"/>
              <w:rPr>
                <w:rFonts w:eastAsia="宋体"/>
                <w:color w:val="000000" w:themeColor="text1"/>
                <w:sz w:val="20"/>
                <w:szCs w:val="20"/>
                <w14:textFill>
                  <w14:solidFill>
                    <w14:schemeClr w14:val="tx1"/>
                  </w14:solidFill>
                </w14:textFill>
              </w:rPr>
            </w:pPr>
          </w:p>
        </w:tc>
        <w:tc>
          <w:tcPr>
            <w:tcW w:w="313" w:type="pct"/>
            <w:vMerge w:val="continue"/>
            <w:tcBorders>
              <w:top w:val="single" w:color="000000" w:sz="8" w:space="0"/>
              <w:left w:val="single" w:color="000000" w:sz="8" w:space="0"/>
              <w:bottom w:val="single" w:color="000000" w:sz="8" w:space="0"/>
              <w:right w:val="single" w:color="000000" w:sz="8" w:space="0"/>
            </w:tcBorders>
            <w:noWrap/>
            <w:vAlign w:val="center"/>
          </w:tcPr>
          <w:p>
            <w:pPr>
              <w:ind w:firstLine="400"/>
              <w:jc w:val="center"/>
              <w:rPr>
                <w:rFonts w:eastAsia="宋体"/>
                <w:color w:val="000000" w:themeColor="text1"/>
                <w:sz w:val="20"/>
                <w:szCs w:val="20"/>
                <w14:textFill>
                  <w14:solidFill>
                    <w14:schemeClr w14:val="tx1"/>
                  </w14:solidFill>
                </w14:textFill>
              </w:rPr>
            </w:pPr>
          </w:p>
        </w:tc>
        <w:tc>
          <w:tcPr>
            <w:tcW w:w="313" w:type="pct"/>
            <w:vMerge w:val="continue"/>
            <w:tcBorders>
              <w:top w:val="single" w:color="000000" w:sz="8" w:space="0"/>
              <w:left w:val="single" w:color="000000" w:sz="8" w:space="0"/>
              <w:bottom w:val="single" w:color="000000" w:sz="8" w:space="0"/>
              <w:right w:val="single" w:color="000000" w:sz="8" w:space="0"/>
            </w:tcBorders>
            <w:noWrap/>
            <w:vAlign w:val="center"/>
          </w:tcPr>
          <w:p>
            <w:pPr>
              <w:ind w:firstLine="400"/>
              <w:jc w:val="center"/>
              <w:rPr>
                <w:rFonts w:eastAsia="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340" w:hRule="exact"/>
        </w:trPr>
        <w:tc>
          <w:tcPr>
            <w:tcW w:w="31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2020年</w:t>
            </w: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2993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4330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8144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7152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992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698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1387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327</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39</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1208</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38.3%</w:t>
            </w:r>
          </w:p>
        </w:tc>
      </w:tr>
      <w:tr>
        <w:tblPrEx>
          <w:tblCellMar>
            <w:top w:w="0" w:type="dxa"/>
            <w:left w:w="108" w:type="dxa"/>
            <w:bottom w:w="0" w:type="dxa"/>
            <w:right w:w="108" w:type="dxa"/>
          </w:tblCellMar>
        </w:tblPrEx>
        <w:trPr>
          <w:trHeight w:val="338"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1259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1531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715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815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53.3%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1165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582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583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3408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1394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5051</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595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w:t>
            </w:r>
            <w:r>
              <w:rPr>
                <w:rFonts w:hint="eastAsia" w:eastAsia="宋体"/>
                <w:color w:val="000000" w:themeColor="text1"/>
                <w:kern w:val="0"/>
                <w:sz w:val="20"/>
                <w:szCs w:val="20"/>
                <w:lang w:bidi="ar"/>
                <w14:textFill>
                  <w14:solidFill>
                    <w14:schemeClr w14:val="tx1"/>
                  </w14:solidFill>
                </w14:textFill>
              </w:rPr>
              <w:t>5</w:t>
            </w:r>
            <w:r>
              <w:rPr>
                <w:rFonts w:eastAsia="宋体"/>
                <w:color w:val="000000" w:themeColor="text1"/>
                <w:kern w:val="0"/>
                <w:sz w:val="20"/>
                <w:szCs w:val="20"/>
                <w:lang w:bidi="ar"/>
                <w14:textFill>
                  <w14:solidFill>
                    <w14:schemeClr w14:val="tx1"/>
                  </w14:solidFill>
                </w14:textFill>
              </w:rPr>
              <w:t>593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w:t>
            </w:r>
            <w:r>
              <w:rPr>
                <w:rFonts w:hint="eastAsia" w:eastAsia="宋体"/>
                <w:color w:val="000000" w:themeColor="text1"/>
                <w:kern w:val="0"/>
                <w:sz w:val="20"/>
                <w:szCs w:val="20"/>
                <w:lang w:bidi="ar"/>
                <w14:textFill>
                  <w14:solidFill>
                    <w14:schemeClr w14:val="tx1"/>
                  </w14:solidFill>
                </w14:textFill>
              </w:rPr>
              <w:t>4</w:t>
            </w:r>
            <w:r>
              <w:rPr>
                <w:rFonts w:eastAsia="宋体"/>
                <w:color w:val="000000" w:themeColor="text1"/>
                <w:kern w:val="0"/>
                <w:sz w:val="20"/>
                <w:szCs w:val="20"/>
                <w:lang w:bidi="ar"/>
                <w14:textFill>
                  <w14:solidFill>
                    <w14:schemeClr w14:val="tx1"/>
                  </w14:solidFill>
                </w14:textFill>
              </w:rPr>
              <w:t xml:space="preserve">465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hint="eastAsia" w:eastAsia="宋体"/>
                <w:color w:val="000000" w:themeColor="text1"/>
                <w:kern w:val="0"/>
                <w:sz w:val="20"/>
                <w:szCs w:val="20"/>
                <w:lang w:bidi="ar"/>
                <w14:textFill>
                  <w14:solidFill>
                    <w14:schemeClr w14:val="tx1"/>
                  </w14:solidFill>
                </w14:textFill>
              </w:rPr>
              <w:t>112</w:t>
            </w:r>
            <w:r>
              <w:rPr>
                <w:rFonts w:eastAsia="宋体"/>
                <w:color w:val="000000" w:themeColor="text1"/>
                <w:kern w:val="0"/>
                <w:sz w:val="20"/>
                <w:szCs w:val="20"/>
                <w:lang w:bidi="ar"/>
                <w14:textFill>
                  <w14:solidFill>
                    <w14:schemeClr w14:val="tx1"/>
                  </w14:solidFill>
                </w14:textFill>
              </w:rPr>
              <w:t xml:space="preserve">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hint="eastAsia" w:eastAsia="宋体"/>
                <w:color w:val="000000" w:themeColor="text1"/>
                <w:kern w:val="0"/>
                <w:sz w:val="20"/>
                <w:szCs w:val="20"/>
                <w:lang w:bidi="ar"/>
                <w14:textFill>
                  <w14:solidFill>
                    <w14:schemeClr w14:val="tx1"/>
                  </w14:solidFill>
                </w14:textFill>
              </w:rPr>
              <w:t>7.23</w:t>
            </w:r>
            <w:r>
              <w:rPr>
                <w:rFonts w:eastAsia="宋体"/>
                <w:color w:val="000000" w:themeColor="text1"/>
                <w:kern w:val="0"/>
                <w:sz w:val="20"/>
                <w:szCs w:val="20"/>
                <w:lang w:bidi="ar"/>
                <w14:textFill>
                  <w14:solidFill>
                    <w14:schemeClr w14:val="tx1"/>
                  </w14:solidFill>
                </w14:textFill>
              </w:rPr>
              <w:t>%</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2993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4330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8152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7219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933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1555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1514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327</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39</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1251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1250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1418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1690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860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830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1037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1282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650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632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44.4%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3408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1394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5051</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4331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595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14779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11981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2993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4330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8179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6895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1285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15.7%</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1844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1774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327</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39</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1392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1390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440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1939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2211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812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1418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1063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530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63.8%</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3408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1394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5051</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5923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595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16371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11916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4455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27.2%</w:t>
            </w:r>
          </w:p>
        </w:tc>
      </w:tr>
      <w:tr>
        <w:tblPrEx>
          <w:tblCellMar>
            <w:top w:w="0" w:type="dxa"/>
            <w:left w:w="108" w:type="dxa"/>
            <w:bottom w:w="0" w:type="dxa"/>
            <w:right w:w="108" w:type="dxa"/>
          </w:tblCellMar>
        </w:tblPrEx>
        <w:trPr>
          <w:trHeight w:val="340" w:hRule="exact"/>
        </w:trPr>
        <w:tc>
          <w:tcPr>
            <w:tcW w:w="31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2025年</w:t>
            </w: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4219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4388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861</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9885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8679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1205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1909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1483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426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1568</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1543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56.3%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1757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2117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717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1400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66.1%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1285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1607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883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55.0%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390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1858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5119</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5367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998</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18146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w:t>
            </w:r>
            <w:r>
              <w:rPr>
                <w:rFonts w:hint="eastAsia" w:eastAsia="宋体"/>
                <w:color w:val="000000" w:themeColor="text1"/>
                <w:kern w:val="0"/>
                <w:sz w:val="20"/>
                <w:szCs w:val="20"/>
                <w:lang w:bidi="ar"/>
                <w14:textFill>
                  <w14:solidFill>
                    <w14:schemeClr w14:val="tx1"/>
                  </w14:solidFill>
                </w14:textFill>
              </w:rPr>
              <w:t>4</w:t>
            </w:r>
            <w:r>
              <w:rPr>
                <w:rFonts w:eastAsia="宋体"/>
                <w:color w:val="000000" w:themeColor="text1"/>
                <w:kern w:val="0"/>
                <w:sz w:val="20"/>
                <w:szCs w:val="20"/>
                <w:lang w:bidi="ar"/>
                <w14:textFill>
                  <w14:solidFill>
                    <w14:schemeClr w14:val="tx1"/>
                  </w14:solidFill>
                </w14:textFill>
              </w:rPr>
              <w:t xml:space="preserve">570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hint="eastAsia" w:eastAsia="宋体"/>
                <w:color w:val="000000" w:themeColor="text1"/>
                <w:kern w:val="0"/>
                <w:sz w:val="20"/>
                <w:szCs w:val="20"/>
                <w:lang w:bidi="ar"/>
                <w14:textFill>
                  <w14:solidFill>
                    <w14:schemeClr w14:val="tx1"/>
                  </w14:solidFill>
                </w14:textFill>
              </w:rPr>
              <w:t>3</w:t>
            </w:r>
            <w:r>
              <w:rPr>
                <w:rFonts w:eastAsia="宋体"/>
                <w:color w:val="000000" w:themeColor="text1"/>
                <w:kern w:val="0"/>
                <w:sz w:val="20"/>
                <w:szCs w:val="20"/>
                <w:lang w:bidi="ar"/>
                <w14:textFill>
                  <w14:solidFill>
                    <w14:schemeClr w14:val="tx1"/>
                  </w14:solidFill>
                </w14:textFill>
              </w:rPr>
              <w:t xml:space="preserve">576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hint="eastAsia" w:eastAsia="宋体"/>
                <w:color w:val="000000" w:themeColor="text1"/>
                <w:kern w:val="0"/>
                <w:sz w:val="20"/>
                <w:szCs w:val="20"/>
                <w:lang w:bidi="ar"/>
                <w14:textFill>
                  <w14:solidFill>
                    <w14:schemeClr w14:val="tx1"/>
                  </w14:solidFill>
                </w14:textFill>
              </w:rPr>
              <w:t>19.7</w:t>
            </w:r>
            <w:r>
              <w:rPr>
                <w:rFonts w:eastAsia="宋体"/>
                <w:color w:val="000000" w:themeColor="text1"/>
                <w:kern w:val="0"/>
                <w:sz w:val="20"/>
                <w:szCs w:val="20"/>
                <w:lang w:bidi="ar"/>
                <w14:textFill>
                  <w14:solidFill>
                    <w14:schemeClr w14:val="tx1"/>
                  </w14:solidFill>
                </w14:textFill>
              </w:rPr>
              <w:t>%</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4219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4388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861</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9897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8749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1147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1097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1733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14.7%</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534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1627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1611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57.8%</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1979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2339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1465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1447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1770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788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982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55.5%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541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683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287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397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58.1%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1858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5119</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6045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998</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18824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14243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4581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24.3%</w:t>
            </w:r>
          </w:p>
        </w:tc>
      </w:tr>
      <w:tr>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4219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4388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861</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9934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8434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1500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2435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1672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764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731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1824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1797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469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3066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661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2406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1979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2302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746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1556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740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648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73.5%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1858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5119</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8268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998</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21046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13742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7305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34.7%</w:t>
            </w:r>
          </w:p>
        </w:tc>
      </w:tr>
      <w:tr>
        <w:tblPrEx>
          <w:tblCellMar>
            <w:top w:w="0" w:type="dxa"/>
            <w:left w:w="108" w:type="dxa"/>
            <w:bottom w:w="0" w:type="dxa"/>
            <w:right w:w="108" w:type="dxa"/>
          </w:tblCellMar>
        </w:tblPrEx>
        <w:trPr>
          <w:trHeight w:val="340" w:hRule="exact"/>
        </w:trPr>
        <w:tc>
          <w:tcPr>
            <w:tcW w:w="31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2030年</w:t>
            </w: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6758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353</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13076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10027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3049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1568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2579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1511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1068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763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2050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1825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438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69.4%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3206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2481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2067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2407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909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690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74.7%</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7534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5083</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8635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1661</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24873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15425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9448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6758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353</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13094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10103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22.8%</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1766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2777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1086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39.1%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2147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1908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552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693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70.7%</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3184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3563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2688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2328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2668</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997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1671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870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730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71.5%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7534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5083</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9726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1661</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25964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16069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9895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6758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353</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13155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9814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3342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328</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2415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3426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1567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1859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54.3%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475</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1176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2463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2116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346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896</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4734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667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4067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85.9%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3184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3524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989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2535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71.9%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1190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1341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1100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82.0%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7534</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5083</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13301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1661</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29540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15593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13947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47.2%</w:t>
            </w:r>
          </w:p>
        </w:tc>
      </w:tr>
      <w:tr>
        <w:tblPrEx>
          <w:tblCellMar>
            <w:top w:w="0" w:type="dxa"/>
            <w:left w:w="108" w:type="dxa"/>
            <w:bottom w:w="0" w:type="dxa"/>
            <w:right w:w="108" w:type="dxa"/>
          </w:tblCellMar>
        </w:tblPrEx>
        <w:trPr>
          <w:trHeight w:val="340" w:hRule="exact"/>
        </w:trPr>
        <w:tc>
          <w:tcPr>
            <w:tcW w:w="31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2035年</w:t>
            </w: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379</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3572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2244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15170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10230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4940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255</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2617</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1488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1129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43.1%</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790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2185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1893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651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70.6%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2926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2598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2139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2493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800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2071</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4166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8938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2513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27389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15648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11741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379</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3572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2244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15190</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10305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4885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255</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1828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2822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1687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1135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890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2284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1982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13.2%</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715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515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72.0%</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3691</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2818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76.4%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2410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975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1788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64.7%</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1054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762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72.3%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2071</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4166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10067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2513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28518</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16313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12205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379</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3572</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2244</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15253</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10012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5241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255</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2499</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3494</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1561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1933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55.3%</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1217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2612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2180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431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16.5%</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195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730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78.9%</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4507</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4902</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659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4244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00"/>
              <w:jc w:val="center"/>
              <w:rPr>
                <w:rFonts w:eastAsia="宋体"/>
                <w:color w:val="000000" w:themeColor="text1"/>
                <w:sz w:val="20"/>
                <w:szCs w:val="20"/>
                <w14:textFill>
                  <w14:solidFill>
                    <w14:schemeClr w14:val="tx1"/>
                  </w14:solidFill>
                </w14:textFill>
              </w:rPr>
            </w:pP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294</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3296</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3649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963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2686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73.6%</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9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8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1232</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1385</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244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1141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82.4%</w:t>
            </w:r>
          </w:p>
        </w:tc>
      </w:tr>
      <w:tr>
        <w:tblPrEx>
          <w:tblCellMar>
            <w:top w:w="0" w:type="dxa"/>
            <w:left w:w="108" w:type="dxa"/>
            <w:bottom w:w="0" w:type="dxa"/>
            <w:right w:w="108" w:type="dxa"/>
          </w:tblCellMar>
        </w:tblPrEx>
        <w:trPr>
          <w:trHeight w:val="340" w:hRule="exact"/>
        </w:trPr>
        <w:tc>
          <w:tcPr>
            <w:tcW w:w="31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3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firstLine="400"/>
              <w:jc w:val="center"/>
              <w:rPr>
                <w:rFonts w:eastAsia="宋体"/>
                <w:color w:val="000000" w:themeColor="text1"/>
                <w:sz w:val="20"/>
                <w:szCs w:val="20"/>
                <w14:textFill>
                  <w14:solidFill>
                    <w14:schemeClr w14:val="tx1"/>
                  </w14:solidFill>
                </w14:textFill>
              </w:rPr>
            </w:pPr>
          </w:p>
        </w:tc>
        <w:tc>
          <w:tcPr>
            <w:tcW w:w="1774"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9701</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2071</w:t>
            </w:r>
          </w:p>
        </w:tc>
        <w:tc>
          <w:tcPr>
            <w:tcW w:w="3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4166</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13768</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2513</w:t>
            </w:r>
          </w:p>
        </w:tc>
        <w:tc>
          <w:tcPr>
            <w:tcW w:w="28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32219</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15812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16407 </w:t>
            </w:r>
          </w:p>
        </w:tc>
        <w:tc>
          <w:tcPr>
            <w:tcW w:w="3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50.9%</w:t>
            </w:r>
          </w:p>
        </w:tc>
      </w:tr>
    </w:tbl>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color w:val="000000" w:themeColor="text1"/>
          <w14:textFill>
            <w14:solidFill>
              <w14:schemeClr w14:val="tx1"/>
            </w14:solidFill>
          </w14:textFill>
        </w:rPr>
        <w:sectPr>
          <w:pgSz w:w="16838" w:h="11906" w:orient="landscape"/>
          <w:pgMar w:top="1797" w:right="1440" w:bottom="1797" w:left="1440" w:header="851" w:footer="992" w:gutter="0"/>
          <w:cols w:space="720" w:num="1"/>
          <w:docGrid w:linePitch="312" w:charSpace="0"/>
        </w:sectPr>
      </w:pP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由表4.4.1可知，若只利用现状供水能力不考虑新增供水工程，去应对未来需水增长，随着经济社会的发展水资源需求缺口将越来越大。在2025近期水平年，通川区的缺水量为</w:t>
      </w: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576万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，缺水率为</w:t>
      </w:r>
      <w:r>
        <w:rPr>
          <w:rFonts w:hint="eastAsia"/>
          <w:color w:val="000000" w:themeColor="text1"/>
          <w:szCs w:val="28"/>
          <w14:textFill>
            <w14:solidFill>
              <w14:schemeClr w14:val="tx1"/>
            </w14:solidFill>
          </w14:textFill>
        </w:rPr>
        <w:t>19.7</w:t>
      </w:r>
      <w:r>
        <w:rPr>
          <w:color w:val="000000" w:themeColor="text1"/>
          <w:szCs w:val="28"/>
          <w14:textFill>
            <w14:solidFill>
              <w14:schemeClr w14:val="tx1"/>
            </w14:solidFill>
          </w14:textFill>
        </w:rPr>
        <w:t>%；在2035水平年，由于通川区的城镇化进程加快，城镇人口增加较多，加之生活水平的不断提高，生活需水较现状增加了6300万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；为保障区域粮食生产安全，区域的灌溉面积规划增加到37.54万亩，灌溉需水较现状增加5093万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；由于国民经济的迅速发展，二、三增加值增长较快，但用水指标在不断降低，需水总量总体减少，需水较现状减少884万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；城市生态环境需水随着城区建设面积的加大，需水较现状增加1917万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；按照现状供水条件计算2035年通川区将出现需水缺口11741万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，缺水率达42.9%。</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从通川区各分区缺水情况可进一步看出，随着全区社会经济的快速发展，通川区的缺水问题将愈加突出。</w:t>
      </w:r>
    </w:p>
    <w:p>
      <w:pPr>
        <w:pStyle w:val="4"/>
        <w:rPr>
          <w:rFonts w:ascii="Times New Roman" w:hAnsi="Times New Roman" w:cs="Times New Roman"/>
          <w:color w:val="000000" w:themeColor="text1"/>
          <w14:textFill>
            <w14:solidFill>
              <w14:schemeClr w14:val="tx1"/>
            </w14:solidFill>
          </w14:textFill>
        </w:rPr>
      </w:pPr>
      <w:bookmarkStart w:id="167" w:name="_Toc4456"/>
      <w:bookmarkStart w:id="168" w:name="_Toc14599"/>
      <w:bookmarkStart w:id="169" w:name="_Toc1750"/>
      <w:bookmarkStart w:id="170" w:name="_Toc25179"/>
      <w:bookmarkStart w:id="171" w:name="_Toc9522"/>
      <w:r>
        <w:rPr>
          <w:rFonts w:ascii="Times New Roman" w:hAnsi="Times New Roman" w:cs="Times New Roman"/>
          <w:color w:val="000000" w:themeColor="text1"/>
          <w14:textFill>
            <w14:solidFill>
              <w14:schemeClr w14:val="tx1"/>
            </w14:solidFill>
          </w14:textFill>
        </w:rPr>
        <w:t>4.5  缺水原因分析及解决途径</w:t>
      </w:r>
      <w:bookmarkEnd w:id="167"/>
      <w:bookmarkEnd w:id="168"/>
      <w:bookmarkEnd w:id="169"/>
      <w:bookmarkEnd w:id="170"/>
      <w:bookmarkEnd w:id="171"/>
    </w:p>
    <w:p>
      <w:pPr>
        <w:pStyle w:val="5"/>
        <w:rPr>
          <w:rFonts w:ascii="Times New Roman" w:hAnsi="Times New Roman"/>
          <w:color w:val="000000" w:themeColor="text1"/>
          <w14:textFill>
            <w14:solidFill>
              <w14:schemeClr w14:val="tx1"/>
            </w14:solidFill>
          </w14:textFill>
        </w:rPr>
      </w:pPr>
      <w:bookmarkStart w:id="172" w:name="_Toc2901"/>
      <w:r>
        <w:rPr>
          <w:rFonts w:ascii="Times New Roman" w:hAnsi="Times New Roman"/>
          <w:color w:val="000000" w:themeColor="text1"/>
          <w14:textFill>
            <w14:solidFill>
              <w14:schemeClr w14:val="tx1"/>
            </w14:solidFill>
          </w14:textFill>
        </w:rPr>
        <w:t>4.5.1  缺水分析</w:t>
      </w:r>
      <w:bookmarkEnd w:id="172"/>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通过通川区及一次供需平衡分析可见，现有水利工程的供水能力远远不能满足通川区经济社会快速发展的要求。供需缺口的原因除存在浪费和水资源利用效率相对较低外，主要还是受当地骨干水源工程建设不足造成的。</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通川区的水资源配置工程体系尚不完备，已有的灌溉设施也老化严重、配套不全，部分水库枢纽建成多年渠系尚未全部配套，工程现状供水能力不能满足社 会经济发展需要。作为水资源配置工程的重要方面，节水基础设施建设尚处于起步阶段，节水灌溉面积占有效灌溉面积的比重小，灌溉水利用率不高。由于资源配置体系不完善，工程性缺水和水质性缺水问题日益突出；部分地区农村尚存在人畜饮水困难问题；一些地区缺水现象还十分严重。</w:t>
      </w:r>
    </w:p>
    <w:p>
      <w:pPr>
        <w:spacing w:line="520" w:lineRule="exact"/>
        <w:ind w:firstLine="562"/>
        <w:outlineLvl w:val="3"/>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1</w:t>
      </w:r>
      <w:r>
        <w:rPr>
          <w:rFonts w:hint="eastAsia"/>
          <w:b/>
          <w:iCs/>
          <w:color w:val="000000" w:themeColor="text1"/>
          <w:szCs w:val="28"/>
          <w14:textFill>
            <w14:solidFill>
              <w14:schemeClr w14:val="tx1"/>
            </w14:solidFill>
          </w14:textFill>
        </w:rPr>
        <w:t>、</w:t>
      </w:r>
      <w:r>
        <w:rPr>
          <w:b/>
          <w:iCs/>
          <w:color w:val="000000" w:themeColor="text1"/>
          <w:szCs w:val="28"/>
          <w14:textFill>
            <w14:solidFill>
              <w14:schemeClr w14:val="tx1"/>
            </w14:solidFill>
          </w14:textFill>
        </w:rPr>
        <w:t>工程性缺水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通川区已建成蓄水工程2425处，其中：中型水库已建成2座，正在建设1座中型水库，小型水库43座，山塘堰1938处，及窖池441座。引水工程94处，泵站22处。区域内地下水以浅层地下水生产井为主，共18860处。</w:t>
      </w:r>
    </w:p>
    <w:p>
      <w:pPr>
        <w:spacing w:line="520" w:lineRule="exact"/>
        <w:ind w:firstLine="560"/>
        <w:rPr>
          <w:color w:val="000000" w:themeColor="text1"/>
          <w:szCs w:val="28"/>
          <w14:textFill>
            <w14:solidFill>
              <w14:schemeClr w14:val="tx1"/>
            </w14:solidFill>
          </w14:textFill>
        </w:rPr>
      </w:pPr>
      <w:r>
        <w:rPr>
          <w:color w:val="000000" w:themeColor="text1"/>
          <w14:textFill>
            <w14:solidFill>
              <w14:schemeClr w14:val="tx1"/>
            </w14:solidFill>
          </w14:textFill>
        </w:rPr>
        <w:t>通川区的供水水源以当地水资源为主，2020年</w:t>
      </w:r>
      <w:r>
        <w:rPr>
          <w:rFonts w:hint="eastAsia"/>
          <w:color w:val="000000" w:themeColor="text1"/>
          <w14:textFill>
            <w14:solidFill>
              <w14:schemeClr w14:val="tx1"/>
            </w14:solidFill>
          </w14:textFill>
        </w:rPr>
        <w:t>全区</w:t>
      </w:r>
      <w:r>
        <w:rPr>
          <w:color w:val="000000" w:themeColor="text1"/>
          <w14:textFill>
            <w14:solidFill>
              <w14:schemeClr w14:val="tx1"/>
            </w14:solidFill>
          </w14:textFill>
        </w:rPr>
        <w:t>本地水源总供水量11922万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中，地下水供水826万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占6.9%，地表水源供水11096万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占93.1%。各行业总用水量11922万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。其中城镇和农村生活用水4275万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，农业生产用水3927万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；工业用水3456万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；城镇生态环境用水263万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通川区多年平均地表径流量5.17亿</w:t>
      </w:r>
      <w:r>
        <w:rPr>
          <w:rFonts w:hint="eastAsia"/>
          <w:color w:val="000000" w:themeColor="text1"/>
          <w14:textFill>
            <w14:solidFill>
              <w14:schemeClr w14:val="tx1"/>
            </w14:solidFill>
          </w14:textFill>
        </w:rPr>
        <w:t>m³</w:t>
      </w:r>
      <w:r>
        <w:rPr>
          <w:rFonts w:eastAsia="仿宋"/>
          <w:color w:val="000000" w:themeColor="text1"/>
          <w14:textFill>
            <w14:solidFill>
              <w14:schemeClr w14:val="tx1"/>
            </w14:solidFill>
          </w14:textFill>
        </w:rPr>
        <w:t>，但目前已有水库的调蓄能力不大，总的兴利库容仅</w:t>
      </w:r>
      <w:r>
        <w:rPr>
          <w:color w:val="000000" w:themeColor="text1"/>
          <w14:textFill>
            <w14:solidFill>
              <w14:schemeClr w14:val="tx1"/>
            </w14:solidFill>
          </w14:textFill>
        </w:rPr>
        <w:t>0.79亿</w:t>
      </w:r>
      <w:r>
        <w:rPr>
          <w:rFonts w:hint="eastAsia"/>
          <w:color w:val="000000" w:themeColor="text1"/>
          <w14:textFill>
            <w14:solidFill>
              <w14:schemeClr w14:val="tx1"/>
            </w14:solidFill>
          </w14:textFill>
        </w:rPr>
        <w:t>m³</w:t>
      </w:r>
      <w:r>
        <w:rPr>
          <w:rFonts w:eastAsia="仿宋"/>
          <w:color w:val="000000" w:themeColor="text1"/>
          <w14:textFill>
            <w14:solidFill>
              <w14:schemeClr w14:val="tx1"/>
            </w14:solidFill>
          </w14:textFill>
        </w:rPr>
        <w:t>，占多年平均地表径流量的</w:t>
      </w:r>
      <w:r>
        <w:rPr>
          <w:color w:val="000000" w:themeColor="text1"/>
          <w14:textFill>
            <w14:solidFill>
              <w14:schemeClr w14:val="tx1"/>
            </w14:solidFill>
          </w14:textFill>
        </w:rPr>
        <w:t>15%，不能满足通川区社会经济发展对水资源的需求，特别是遇枯水年份或连续干旱年份供用水矛盾更为突出。</w:t>
      </w:r>
    </w:p>
    <w:p>
      <w:pPr>
        <w:spacing w:line="520" w:lineRule="exact"/>
        <w:ind w:firstLine="562"/>
        <w:outlineLvl w:val="3"/>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2</w:t>
      </w:r>
      <w:r>
        <w:rPr>
          <w:rFonts w:hint="eastAsia"/>
          <w:b/>
          <w:iCs/>
          <w:color w:val="000000" w:themeColor="text1"/>
          <w:szCs w:val="28"/>
          <w14:textFill>
            <w14:solidFill>
              <w14:schemeClr w14:val="tx1"/>
            </w14:solidFill>
          </w14:textFill>
        </w:rPr>
        <w:t>、</w:t>
      </w:r>
      <w:r>
        <w:rPr>
          <w:b/>
          <w:iCs/>
          <w:color w:val="000000" w:themeColor="text1"/>
          <w:szCs w:val="28"/>
          <w14:textFill>
            <w14:solidFill>
              <w14:schemeClr w14:val="tx1"/>
            </w14:solidFill>
          </w14:textFill>
        </w:rPr>
        <w:t>水质性缺水</w:t>
      </w:r>
    </w:p>
    <w:p>
      <w:pPr>
        <w:spacing w:line="520" w:lineRule="exact"/>
        <w:ind w:firstLine="560"/>
        <w:rPr>
          <w:color w:val="000000" w:themeColor="text1"/>
          <w14:textFill>
            <w14:solidFill>
              <w14:schemeClr w14:val="tx1"/>
            </w14:solidFill>
          </w14:textFill>
        </w:rPr>
      </w:pPr>
      <w:r>
        <w:rPr>
          <w:color w:val="000000" w:themeColor="text1"/>
          <w:szCs w:val="28"/>
          <w14:textFill>
            <w14:solidFill>
              <w14:schemeClr w14:val="tx1"/>
            </w14:solidFill>
          </w14:textFill>
        </w:rPr>
        <w:t>经过近几年水环境综合整治，通川区水环境恶化、水土流失和水污染情况得到遏制，但是仍存在部分工业和污水排放等水域污染，尤其枯期大部份河流已失了水体应有的功能。</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现状年对通川区境内的巴河、州河等干支流进行了常规水质监测，对106.6km河长进行评价：全年Ⅱ类水河长4.5km，Ⅲ类水河长102.1km，总体水质良好。区内支流大部分为Ⅲ类水质，少数为IV类。</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同时，现状年对通川区6座水库进行了常规水质监测，监测结果显示大部分水库水质较好，部分水库水质相对较差。其中罗江口电站、石莲花水库、谭家河水库、三上水库水质良好，水质均为Ⅲ类。其余水库全年水质为Ⅳ类，主要超标物为化学需氧量、总磷、氨氮。另外，目前通川区内多数水库工程基本未考虑下泄河道生态用水，区域内存在河道外社会经济用水挤占河湖湿地生态环境用水问题，对水库下游河道水质有较大影响。</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随着通川区新时期城市发展目标的提出，通川区社会经济将进一步快速发展，特别是城镇化加快、城市工业的高速发展， 废污水排放量可能增大。污染加剧的原因除各类点源和面源汚染外，重大工程建设导致的水文情势变化也值得重视。</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综上所述，通川区的水资源开发利用以地表水为主，河道、水库水质的恶化会对区域水资源配置产生重大影响，全区水汚染防治形势依然严峻。</w:t>
      </w:r>
    </w:p>
    <w:p>
      <w:pPr>
        <w:pStyle w:val="49"/>
        <w:rPr>
          <w:color w:val="000000" w:themeColor="text1"/>
          <w14:textFill>
            <w14:solidFill>
              <w14:schemeClr w14:val="tx1"/>
            </w14:solidFill>
          </w14:textFill>
        </w:rPr>
      </w:pPr>
      <w:r>
        <w:rPr>
          <w:color w:val="000000" w:themeColor="text1"/>
          <w14:textFill>
            <w14:solidFill>
              <w14:schemeClr w14:val="tx1"/>
            </w14:solidFill>
          </w14:textFill>
        </w:rPr>
        <w:t xml:space="preserve">表4.5.1  2020年通川区主要河流河段水质概况评价表 </w:t>
      </w:r>
    </w:p>
    <w:tbl>
      <w:tblPr>
        <w:tblStyle w:val="40"/>
        <w:tblW w:w="8593" w:type="dxa"/>
        <w:tblInd w:w="96" w:type="dxa"/>
        <w:shd w:val="clear" w:color="auto" w:fill="FFFFFF"/>
        <w:tblLayout w:type="fixed"/>
        <w:tblCellMar>
          <w:top w:w="0" w:type="dxa"/>
          <w:left w:w="108" w:type="dxa"/>
          <w:bottom w:w="0" w:type="dxa"/>
          <w:right w:w="108" w:type="dxa"/>
        </w:tblCellMar>
      </w:tblPr>
      <w:tblGrid>
        <w:gridCol w:w="759"/>
        <w:gridCol w:w="815"/>
        <w:gridCol w:w="2407"/>
        <w:gridCol w:w="926"/>
        <w:gridCol w:w="673"/>
        <w:gridCol w:w="833"/>
        <w:gridCol w:w="833"/>
        <w:gridCol w:w="673"/>
        <w:gridCol w:w="674"/>
      </w:tblGrid>
      <w:tr>
        <w:tblPrEx>
          <w:shd w:val="clear" w:color="auto" w:fill="FFFFFF"/>
          <w:tblCellMar>
            <w:top w:w="0" w:type="dxa"/>
            <w:left w:w="108" w:type="dxa"/>
            <w:bottom w:w="0" w:type="dxa"/>
            <w:right w:w="108" w:type="dxa"/>
          </w:tblCellMar>
        </w:tblPrEx>
        <w:trPr>
          <w:trHeight w:val="397" w:hRule="atLeast"/>
        </w:trPr>
        <w:tc>
          <w:tcPr>
            <w:tcW w:w="1574"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水资源三级区</w:t>
            </w:r>
          </w:p>
        </w:tc>
        <w:tc>
          <w:tcPr>
            <w:tcW w:w="3333" w:type="dxa"/>
            <w:gridSpan w:val="2"/>
            <w:tcBorders>
              <w:top w:val="single" w:color="auto" w:sz="4" w:space="0"/>
              <w:left w:val="nil"/>
              <w:bottom w:val="single" w:color="auto" w:sz="4" w:space="0"/>
              <w:right w:val="single" w:color="000000"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水功能分区</w:t>
            </w:r>
          </w:p>
        </w:tc>
        <w:tc>
          <w:tcPr>
            <w:tcW w:w="3686" w:type="dxa"/>
            <w:gridSpan w:val="5"/>
            <w:tcBorders>
              <w:top w:val="single" w:color="auto" w:sz="4" w:space="0"/>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分类河长（km）</w:t>
            </w:r>
          </w:p>
        </w:tc>
      </w:tr>
      <w:tr>
        <w:tblPrEx>
          <w:tblCellMar>
            <w:top w:w="0" w:type="dxa"/>
            <w:left w:w="108" w:type="dxa"/>
            <w:bottom w:w="0" w:type="dxa"/>
            <w:right w:w="108" w:type="dxa"/>
          </w:tblCellMar>
        </w:tblPrEx>
        <w:trPr>
          <w:trHeight w:val="397" w:hRule="atLeast"/>
        </w:trPr>
        <w:tc>
          <w:tcPr>
            <w:tcW w:w="759"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三级区</w:t>
            </w:r>
          </w:p>
        </w:tc>
        <w:tc>
          <w:tcPr>
            <w:tcW w:w="815"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河名</w:t>
            </w:r>
          </w:p>
        </w:tc>
        <w:tc>
          <w:tcPr>
            <w:tcW w:w="2407"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一级水功能分区</w:t>
            </w:r>
          </w:p>
        </w:tc>
        <w:tc>
          <w:tcPr>
            <w:tcW w:w="92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评价河长</w:t>
            </w:r>
            <w:r>
              <w:rPr>
                <w:rFonts w:eastAsia="宋体"/>
                <w:color w:val="000000" w:themeColor="text1"/>
                <w:kern w:val="0"/>
                <w:sz w:val="24"/>
                <w14:textFill>
                  <w14:solidFill>
                    <w14:schemeClr w14:val="tx1"/>
                  </w14:solidFill>
                </w14:textFill>
              </w:rPr>
              <w:br w:type="textWrapping"/>
            </w:r>
            <w:r>
              <w:rPr>
                <w:rFonts w:eastAsia="宋体"/>
                <w:color w:val="000000" w:themeColor="text1"/>
                <w:kern w:val="0"/>
                <w:sz w:val="24"/>
                <w14:textFill>
                  <w14:solidFill>
                    <w14:schemeClr w14:val="tx1"/>
                  </w14:solidFill>
                </w14:textFill>
              </w:rPr>
              <w:t>（km）</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Ⅰ类</w:t>
            </w:r>
          </w:p>
        </w:tc>
        <w:tc>
          <w:tcPr>
            <w:tcW w:w="83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Ⅱ类</w:t>
            </w:r>
          </w:p>
        </w:tc>
        <w:tc>
          <w:tcPr>
            <w:tcW w:w="83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Ⅲ类</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Ⅳ类</w:t>
            </w:r>
          </w:p>
        </w:tc>
        <w:tc>
          <w:tcPr>
            <w:tcW w:w="674"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Ⅴ类</w:t>
            </w:r>
          </w:p>
        </w:tc>
      </w:tr>
      <w:tr>
        <w:tblPrEx>
          <w:tblCellMar>
            <w:top w:w="0" w:type="dxa"/>
            <w:left w:w="108" w:type="dxa"/>
            <w:bottom w:w="0" w:type="dxa"/>
            <w:right w:w="108" w:type="dxa"/>
          </w:tblCellMar>
        </w:tblPrEx>
        <w:trPr>
          <w:trHeight w:val="397" w:hRule="atLeast"/>
        </w:trPr>
        <w:tc>
          <w:tcPr>
            <w:tcW w:w="759" w:type="dxa"/>
            <w:vMerge w:val="restart"/>
            <w:tcBorders>
              <w:top w:val="single" w:color="auto" w:sz="4" w:space="0"/>
              <w:left w:val="single" w:color="auto" w:sz="4" w:space="0"/>
              <w:bottom w:val="single" w:color="000000"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渠江</w:t>
            </w:r>
          </w:p>
        </w:tc>
        <w:tc>
          <w:tcPr>
            <w:tcW w:w="815" w:type="dxa"/>
            <w:tcBorders>
              <w:top w:val="single" w:color="auto" w:sz="4" w:space="0"/>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州河</w:t>
            </w:r>
          </w:p>
        </w:tc>
        <w:tc>
          <w:tcPr>
            <w:tcW w:w="2407" w:type="dxa"/>
            <w:tcBorders>
              <w:top w:val="single" w:color="auto" w:sz="4" w:space="0"/>
              <w:left w:val="nil"/>
              <w:bottom w:val="single" w:color="auto" w:sz="4" w:space="0"/>
              <w:right w:val="single" w:color="auto" w:sz="4" w:space="0"/>
            </w:tcBorders>
            <w:shd w:val="clear" w:color="auto" w:fill="FFFFFF"/>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州河达州开发利用区</w:t>
            </w:r>
          </w:p>
        </w:tc>
        <w:tc>
          <w:tcPr>
            <w:tcW w:w="926"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25</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25</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r>
      <w:tr>
        <w:tblPrEx>
          <w:shd w:val="clear" w:color="auto" w:fill="FFFFFF"/>
          <w:tblCellMar>
            <w:top w:w="0" w:type="dxa"/>
            <w:left w:w="108" w:type="dxa"/>
            <w:bottom w:w="0" w:type="dxa"/>
            <w:right w:w="108" w:type="dxa"/>
          </w:tblCellMar>
        </w:tblPrEx>
        <w:trPr>
          <w:trHeight w:val="397" w:hRule="atLeast"/>
        </w:trPr>
        <w:tc>
          <w:tcPr>
            <w:tcW w:w="759" w:type="dxa"/>
            <w:vMerge w:val="continue"/>
            <w:tcBorders>
              <w:top w:val="single" w:color="auto" w:sz="4" w:space="0"/>
              <w:left w:val="single" w:color="auto" w:sz="4" w:space="0"/>
              <w:bottom w:val="single" w:color="000000"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15" w:type="dxa"/>
            <w:tcBorders>
              <w:top w:val="single" w:color="auto" w:sz="4" w:space="0"/>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巴河</w:t>
            </w:r>
          </w:p>
        </w:tc>
        <w:tc>
          <w:tcPr>
            <w:tcW w:w="2407" w:type="dxa"/>
            <w:tcBorders>
              <w:top w:val="single" w:color="auto" w:sz="4" w:space="0"/>
              <w:left w:val="nil"/>
              <w:bottom w:val="single" w:color="auto" w:sz="4" w:space="0"/>
              <w:right w:val="single" w:color="auto" w:sz="4" w:space="0"/>
            </w:tcBorders>
            <w:shd w:val="clear" w:color="auto" w:fill="FFFFFF"/>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巴河平昌渠县保留区</w:t>
            </w:r>
          </w:p>
        </w:tc>
        <w:tc>
          <w:tcPr>
            <w:tcW w:w="926"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8</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8</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59" w:type="dxa"/>
            <w:vMerge w:val="continue"/>
            <w:tcBorders>
              <w:top w:val="single" w:color="auto" w:sz="4" w:space="0"/>
              <w:left w:val="single" w:color="auto" w:sz="4" w:space="0"/>
              <w:bottom w:val="single" w:color="000000"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15" w:type="dxa"/>
            <w:vMerge w:val="restart"/>
            <w:tcBorders>
              <w:top w:val="single" w:color="auto" w:sz="4" w:space="0"/>
              <w:left w:val="nil"/>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长滩河</w:t>
            </w:r>
          </w:p>
        </w:tc>
        <w:tc>
          <w:tcPr>
            <w:tcW w:w="2407" w:type="dxa"/>
            <w:tcBorders>
              <w:top w:val="single" w:color="auto" w:sz="4" w:space="0"/>
              <w:left w:val="nil"/>
              <w:bottom w:val="single" w:color="auto" w:sz="4" w:space="0"/>
              <w:right w:val="single" w:color="auto" w:sz="4" w:space="0"/>
            </w:tcBorders>
            <w:shd w:val="clear" w:color="auto" w:fill="FFFFFF"/>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长滩河碑庙开发利用区</w:t>
            </w:r>
          </w:p>
        </w:tc>
        <w:tc>
          <w:tcPr>
            <w:tcW w:w="926"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4.5</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4.5</w:t>
            </w: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59" w:type="dxa"/>
            <w:vMerge w:val="continue"/>
            <w:tcBorders>
              <w:top w:val="single" w:color="auto" w:sz="4" w:space="0"/>
              <w:left w:val="single" w:color="auto" w:sz="4" w:space="0"/>
              <w:bottom w:val="single" w:color="000000"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15" w:type="dxa"/>
            <w:vMerge w:val="continue"/>
            <w:tcBorders>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2407"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sz w:val="24"/>
                <w14:textFill>
                  <w14:solidFill>
                    <w14:schemeClr w14:val="tx1"/>
                  </w14:solidFill>
                </w14:textFill>
              </w:rPr>
              <w:t>长滩河碑庙江陵保留区</w:t>
            </w:r>
          </w:p>
        </w:tc>
        <w:tc>
          <w:tcPr>
            <w:tcW w:w="926"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sz w:val="24"/>
                <w14:textFill>
                  <w14:solidFill>
                    <w14:schemeClr w14:val="tx1"/>
                  </w14:solidFill>
                </w14:textFill>
              </w:rPr>
              <w:t>32.6</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sz w:val="24"/>
                <w14:textFill>
                  <w14:solidFill>
                    <w14:schemeClr w14:val="tx1"/>
                  </w14:solidFill>
                </w14:textFill>
              </w:rPr>
              <w:t>32.6</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59" w:type="dxa"/>
            <w:vMerge w:val="continue"/>
            <w:tcBorders>
              <w:top w:val="single" w:color="auto" w:sz="4" w:space="0"/>
              <w:left w:val="single" w:color="auto" w:sz="4" w:space="0"/>
              <w:bottom w:val="single" w:color="000000"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15" w:type="dxa"/>
            <w:vMerge w:val="restart"/>
            <w:tcBorders>
              <w:top w:val="single" w:color="auto" w:sz="4" w:space="0"/>
              <w:left w:val="nil"/>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双龙河</w:t>
            </w:r>
          </w:p>
        </w:tc>
        <w:tc>
          <w:tcPr>
            <w:tcW w:w="2407" w:type="dxa"/>
            <w:tcBorders>
              <w:top w:val="single" w:color="auto" w:sz="4" w:space="0"/>
              <w:left w:val="nil"/>
              <w:bottom w:val="single" w:color="auto" w:sz="4" w:space="0"/>
              <w:right w:val="single" w:color="auto" w:sz="4" w:space="0"/>
            </w:tcBorders>
            <w:shd w:val="clear" w:color="auto" w:fill="FFFFFF"/>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双龙河东岳保留区</w:t>
            </w:r>
          </w:p>
        </w:tc>
        <w:tc>
          <w:tcPr>
            <w:tcW w:w="926"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8.5</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8.5</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59" w:type="dxa"/>
            <w:vMerge w:val="continue"/>
            <w:tcBorders>
              <w:top w:val="single" w:color="auto" w:sz="4" w:space="0"/>
              <w:left w:val="single" w:color="auto" w:sz="4" w:space="0"/>
              <w:bottom w:val="single" w:color="000000"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15" w:type="dxa"/>
            <w:vMerge w:val="continue"/>
            <w:tcBorders>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2407"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双龙河东岳西外开发</w:t>
            </w:r>
          </w:p>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sz w:val="24"/>
                <w14:textFill>
                  <w14:solidFill>
                    <w14:schemeClr w14:val="tx1"/>
                  </w14:solidFill>
                </w14:textFill>
              </w:rPr>
              <w:t>利用区</w:t>
            </w:r>
          </w:p>
        </w:tc>
        <w:tc>
          <w:tcPr>
            <w:tcW w:w="926"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sz w:val="24"/>
                <w14:textFill>
                  <w14:solidFill>
                    <w14:schemeClr w14:val="tx1"/>
                  </w14:solidFill>
                </w14:textFill>
              </w:rPr>
              <w:t>28</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28.0</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r>
      <w:tr>
        <w:tblPrEx>
          <w:shd w:val="clear" w:color="auto" w:fill="FFFFFF"/>
          <w:tblCellMar>
            <w:top w:w="0" w:type="dxa"/>
            <w:left w:w="108" w:type="dxa"/>
            <w:bottom w:w="0" w:type="dxa"/>
            <w:right w:w="108" w:type="dxa"/>
          </w:tblCellMar>
        </w:tblPrEx>
        <w:trPr>
          <w:trHeight w:val="397" w:hRule="atLeast"/>
        </w:trPr>
        <w:tc>
          <w:tcPr>
            <w:tcW w:w="3981" w:type="dxa"/>
            <w:gridSpan w:val="3"/>
            <w:tcBorders>
              <w:top w:val="single" w:color="auto" w:sz="4" w:space="0"/>
              <w:left w:val="single" w:color="auto" w:sz="4" w:space="0"/>
              <w:bottom w:val="single" w:color="auto" w:sz="4" w:space="0"/>
              <w:right w:val="single" w:color="000000"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总计</w:t>
            </w:r>
          </w:p>
        </w:tc>
        <w:tc>
          <w:tcPr>
            <w:tcW w:w="926"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106.6</w:t>
            </w:r>
          </w:p>
        </w:tc>
        <w:tc>
          <w:tcPr>
            <w:tcW w:w="67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4.5</w:t>
            </w:r>
          </w:p>
        </w:tc>
        <w:tc>
          <w:tcPr>
            <w:tcW w:w="833" w:type="dxa"/>
            <w:tcBorders>
              <w:top w:val="nil"/>
              <w:left w:val="nil"/>
              <w:bottom w:val="single" w:color="auto" w:sz="4" w:space="0"/>
              <w:right w:val="single" w:color="auto" w:sz="4" w:space="0"/>
            </w:tcBorders>
            <w:shd w:val="clear" w:color="auto" w:fill="FFFFFF"/>
            <w:noWrap/>
            <w:vAlign w:val="center"/>
          </w:tcPr>
          <w:p>
            <w:pPr>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102.1</w:t>
            </w:r>
          </w:p>
        </w:tc>
        <w:tc>
          <w:tcPr>
            <w:tcW w:w="673"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674" w:type="dxa"/>
            <w:tcBorders>
              <w:top w:val="nil"/>
              <w:left w:val="nil"/>
              <w:bottom w:val="single" w:color="auto" w:sz="4" w:space="0"/>
              <w:right w:val="single" w:color="auto" w:sz="4" w:space="0"/>
            </w:tcBorders>
            <w:shd w:val="clear" w:color="auto" w:fill="FFFFFF"/>
            <w:noWrap/>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r>
    </w:tbl>
    <w:p>
      <w:pPr>
        <w:pStyle w:val="2"/>
        <w:spacing w:before="120" w:beforeLines="50" w:after="0" w:line="240" w:lineRule="auto"/>
        <w:ind w:firstLine="0" w:firstLineChars="0"/>
        <w:jc w:val="center"/>
        <w:rPr>
          <w:b/>
          <w:bCs/>
          <w:iCs/>
          <w:color w:val="000000" w:themeColor="text1"/>
          <w14:textFill>
            <w14:solidFill>
              <w14:schemeClr w14:val="tx1"/>
            </w14:solidFill>
          </w14:textFill>
        </w:rPr>
      </w:pPr>
      <w:r>
        <w:rPr>
          <w:b/>
          <w:bCs/>
          <w:iCs/>
          <w:color w:val="000000" w:themeColor="text1"/>
          <w14:textFill>
            <w14:solidFill>
              <w14:schemeClr w14:val="tx1"/>
            </w14:solidFill>
          </w14:textFill>
        </w:rPr>
        <w:t>表4.5.2  2020年通川区主要水库水质统计表</w:t>
      </w:r>
    </w:p>
    <w:tbl>
      <w:tblPr>
        <w:tblStyle w:val="40"/>
        <w:tblW w:w="8839" w:type="dxa"/>
        <w:tblInd w:w="0" w:type="dxa"/>
        <w:shd w:val="clear" w:color="auto" w:fill="FFFFFF"/>
        <w:tblLayout w:type="fixed"/>
        <w:tblCellMar>
          <w:top w:w="0" w:type="dxa"/>
          <w:left w:w="108" w:type="dxa"/>
          <w:bottom w:w="0" w:type="dxa"/>
          <w:right w:w="108" w:type="dxa"/>
        </w:tblCellMar>
      </w:tblPr>
      <w:tblGrid>
        <w:gridCol w:w="859"/>
        <w:gridCol w:w="1145"/>
        <w:gridCol w:w="716"/>
        <w:gridCol w:w="859"/>
        <w:gridCol w:w="715"/>
        <w:gridCol w:w="681"/>
        <w:gridCol w:w="716"/>
        <w:gridCol w:w="715"/>
        <w:gridCol w:w="716"/>
        <w:gridCol w:w="859"/>
        <w:gridCol w:w="858"/>
      </w:tblGrid>
      <w:tr>
        <w:tblPrEx>
          <w:shd w:val="clear" w:color="auto" w:fill="FFFFFF"/>
          <w:tblCellMar>
            <w:top w:w="0" w:type="dxa"/>
            <w:left w:w="108" w:type="dxa"/>
            <w:bottom w:w="0" w:type="dxa"/>
            <w:right w:w="108" w:type="dxa"/>
          </w:tblCellMar>
        </w:tblPrEx>
        <w:trPr>
          <w:trHeight w:val="397" w:hRule="atLeast"/>
          <w:tblHeader/>
        </w:trPr>
        <w:tc>
          <w:tcPr>
            <w:tcW w:w="859" w:type="dxa"/>
            <w:vMerge w:val="restart"/>
            <w:tcBorders>
              <w:top w:val="single" w:color="auto" w:sz="4" w:space="0"/>
              <w:left w:val="single" w:color="auto" w:sz="4" w:space="0"/>
              <w:bottom w:val="single" w:color="000000"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所属乡镇</w:t>
            </w:r>
          </w:p>
        </w:tc>
        <w:tc>
          <w:tcPr>
            <w:tcW w:w="1145" w:type="dxa"/>
            <w:vMerge w:val="restart"/>
            <w:tcBorders>
              <w:top w:val="single" w:color="auto" w:sz="4" w:space="0"/>
              <w:left w:val="single" w:color="auto" w:sz="4" w:space="0"/>
              <w:bottom w:val="single" w:color="000000"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水库名称</w:t>
            </w:r>
          </w:p>
        </w:tc>
        <w:tc>
          <w:tcPr>
            <w:tcW w:w="2290" w:type="dxa"/>
            <w:gridSpan w:val="3"/>
            <w:tcBorders>
              <w:top w:val="single" w:color="auto" w:sz="4" w:space="0"/>
              <w:left w:val="nil"/>
              <w:bottom w:val="single" w:color="auto" w:sz="4" w:space="0"/>
              <w:right w:val="single" w:color="000000"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全年</w:t>
            </w:r>
          </w:p>
        </w:tc>
        <w:tc>
          <w:tcPr>
            <w:tcW w:w="2112" w:type="dxa"/>
            <w:gridSpan w:val="3"/>
            <w:tcBorders>
              <w:top w:val="single" w:color="auto" w:sz="4" w:space="0"/>
              <w:left w:val="nil"/>
              <w:bottom w:val="single" w:color="auto" w:sz="4" w:space="0"/>
              <w:right w:val="single" w:color="000000"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汛期</w:t>
            </w:r>
          </w:p>
        </w:tc>
        <w:tc>
          <w:tcPr>
            <w:tcW w:w="2433" w:type="dxa"/>
            <w:gridSpan w:val="3"/>
            <w:tcBorders>
              <w:top w:val="single" w:color="auto" w:sz="4" w:space="0"/>
              <w:left w:val="nil"/>
              <w:bottom w:val="single" w:color="auto" w:sz="4" w:space="0"/>
              <w:right w:val="single" w:color="000000"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非汛期</w:t>
            </w:r>
          </w:p>
        </w:tc>
      </w:tr>
      <w:tr>
        <w:tblPrEx>
          <w:shd w:val="clear" w:color="auto" w:fill="FFFFFF"/>
          <w:tblCellMar>
            <w:top w:w="0" w:type="dxa"/>
            <w:left w:w="108" w:type="dxa"/>
            <w:bottom w:w="0" w:type="dxa"/>
            <w:right w:w="108" w:type="dxa"/>
          </w:tblCellMar>
        </w:tblPrEx>
        <w:trPr>
          <w:trHeight w:val="397" w:hRule="atLeast"/>
          <w:tblHeader/>
        </w:trPr>
        <w:tc>
          <w:tcPr>
            <w:tcW w:w="859" w:type="dxa"/>
            <w:vMerge w:val="continue"/>
            <w:tcBorders>
              <w:top w:val="single" w:color="auto" w:sz="4" w:space="0"/>
              <w:left w:val="single" w:color="auto" w:sz="4" w:space="0"/>
              <w:bottom w:val="single" w:color="000000"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1145" w:type="dxa"/>
            <w:vMerge w:val="continue"/>
            <w:tcBorders>
              <w:top w:val="single" w:color="auto" w:sz="4" w:space="0"/>
              <w:left w:val="single" w:color="auto" w:sz="4" w:space="0"/>
              <w:bottom w:val="single" w:color="000000"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水质类别</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主要污染物</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水质评价</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水质类别</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主要污染物</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水质评价</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水质类别</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主要污染物</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水质</w:t>
            </w:r>
          </w:p>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评价</w:t>
            </w:r>
          </w:p>
        </w:tc>
      </w:tr>
      <w:tr>
        <w:tblPrEx>
          <w:tblCellMar>
            <w:top w:w="0" w:type="dxa"/>
            <w:left w:w="108" w:type="dxa"/>
            <w:bottom w:w="0" w:type="dxa"/>
            <w:right w:w="108" w:type="dxa"/>
          </w:tblCellMar>
        </w:tblPrEx>
        <w:trPr>
          <w:trHeight w:val="397" w:hRule="atLeast"/>
        </w:trPr>
        <w:tc>
          <w:tcPr>
            <w:tcW w:w="859" w:type="dxa"/>
            <w:tcBorders>
              <w:top w:val="single" w:color="000000" w:sz="4" w:space="0"/>
              <w:left w:val="single" w:color="auto" w:sz="4" w:space="0"/>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西外镇</w:t>
            </w:r>
          </w:p>
        </w:tc>
        <w:tc>
          <w:tcPr>
            <w:tcW w:w="1145" w:type="dxa"/>
            <w:tcBorders>
              <w:top w:val="single" w:color="000000"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石莲花水库</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罗江镇</w:t>
            </w:r>
          </w:p>
        </w:tc>
        <w:tc>
          <w:tcPr>
            <w:tcW w:w="1145"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罗江口电站</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r>
      <w:tr>
        <w:tblPrEx>
          <w:shd w:val="clear" w:color="auto" w:fill="FFFFFF"/>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1145"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五星水库</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Ⅳ</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化学需氧量</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轻度污染</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Ⅳ</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氨氮</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轻度</w:t>
            </w:r>
          </w:p>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污染</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1145"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石洞沟水库</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Ⅳ</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总磷</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轻度污染</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Ⅳ</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氨氮</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轻度污染</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r>
      <w:tr>
        <w:tblPrEx>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蒲家镇</w:t>
            </w:r>
          </w:p>
        </w:tc>
        <w:tc>
          <w:tcPr>
            <w:tcW w:w="1145"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谭家河水库</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Ⅳ</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化学需氧量</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轻度</w:t>
            </w:r>
          </w:p>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污染</w:t>
            </w:r>
          </w:p>
        </w:tc>
      </w:tr>
      <w:tr>
        <w:tblPrEx>
          <w:shd w:val="clear" w:color="auto" w:fill="FFFFFF"/>
          <w:tblCellMar>
            <w:top w:w="0" w:type="dxa"/>
            <w:left w:w="108" w:type="dxa"/>
            <w:bottom w:w="0" w:type="dxa"/>
            <w:right w:w="108" w:type="dxa"/>
          </w:tblCellMar>
        </w:tblPrEx>
        <w:trPr>
          <w:trHeight w:val="397" w:hRule="atLeast"/>
        </w:trPr>
        <w:tc>
          <w:tcPr>
            <w:tcW w:w="8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碑庙镇</w:t>
            </w:r>
          </w:p>
        </w:tc>
        <w:tc>
          <w:tcPr>
            <w:tcW w:w="1145"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三上水库</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681"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715"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c>
          <w:tcPr>
            <w:tcW w:w="716"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Ⅲ</w:t>
            </w:r>
          </w:p>
        </w:tc>
        <w:tc>
          <w:tcPr>
            <w:tcW w:w="859"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　</w:t>
            </w:r>
          </w:p>
        </w:tc>
        <w:tc>
          <w:tcPr>
            <w:tcW w:w="858" w:type="dxa"/>
            <w:tcBorders>
              <w:top w:val="nil"/>
              <w:left w:val="nil"/>
              <w:bottom w:val="single" w:color="auto" w:sz="4" w:space="0"/>
              <w:right w:val="single" w:color="auto" w:sz="4" w:space="0"/>
            </w:tcBorders>
            <w:shd w:val="clear" w:color="auto" w:fill="FFFFFF"/>
            <w:vAlign w:val="center"/>
          </w:tcPr>
          <w:p>
            <w:pPr>
              <w:widowControl/>
              <w:spacing w:line="240" w:lineRule="auto"/>
              <w:ind w:left="-140" w:leftChars="-50" w:right="-140" w:rightChars="-50"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良好</w:t>
            </w:r>
          </w:p>
        </w:tc>
      </w:tr>
    </w:tbl>
    <w:p>
      <w:pPr>
        <w:spacing w:line="520" w:lineRule="exact"/>
        <w:ind w:firstLine="562"/>
        <w:outlineLvl w:val="3"/>
        <w:rPr>
          <w:b/>
          <w:iCs/>
          <w:color w:val="000000" w:themeColor="text1"/>
          <w:szCs w:val="28"/>
          <w14:textFill>
            <w14:solidFill>
              <w14:schemeClr w14:val="tx1"/>
            </w14:solidFill>
          </w14:textFill>
        </w:rPr>
      </w:pPr>
    </w:p>
    <w:p>
      <w:pPr>
        <w:spacing w:line="520" w:lineRule="exact"/>
        <w:ind w:firstLine="562"/>
        <w:outlineLvl w:val="3"/>
        <w:rPr>
          <w:b/>
          <w:iCs/>
          <w:color w:val="000000" w:themeColor="text1"/>
          <w:szCs w:val="28"/>
          <w14:textFill>
            <w14:solidFill>
              <w14:schemeClr w14:val="tx1"/>
            </w14:solidFill>
          </w14:textFill>
        </w:rPr>
      </w:pPr>
      <w:r>
        <w:rPr>
          <w:b/>
          <w:iCs/>
          <w:color w:val="000000" w:themeColor="text1"/>
          <w:szCs w:val="28"/>
          <w14:textFill>
            <w14:solidFill>
              <w14:schemeClr w14:val="tx1"/>
            </w14:solidFill>
          </w14:textFill>
        </w:rPr>
        <w:t>3</w:t>
      </w:r>
      <w:r>
        <w:rPr>
          <w:rFonts w:hint="eastAsia"/>
          <w:b/>
          <w:iCs/>
          <w:color w:val="000000" w:themeColor="text1"/>
          <w:szCs w:val="28"/>
          <w14:textFill>
            <w14:solidFill>
              <w14:schemeClr w14:val="tx1"/>
            </w14:solidFill>
          </w14:textFill>
        </w:rPr>
        <w:t>、</w:t>
      </w:r>
      <w:r>
        <w:rPr>
          <w:b/>
          <w:iCs/>
          <w:color w:val="000000" w:themeColor="text1"/>
          <w:szCs w:val="28"/>
          <w14:textFill>
            <w14:solidFill>
              <w14:schemeClr w14:val="tx1"/>
            </w14:solidFill>
          </w14:textFill>
        </w:rPr>
        <w:t>管理性缺水</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管理性缺水主要表现为历史上节水意识淡薄，及水利资金投入不足，导致生产生活节水措施落后，浪费水现象严重，水量利用率低下。如区内灌溉渠道基本为土渠，配套差，目前</w:t>
      </w:r>
      <w:r>
        <w:rPr>
          <w:rFonts w:hint="eastAsia"/>
          <w:color w:val="000000" w:themeColor="text1"/>
          <w:szCs w:val="28"/>
          <w14:textFill>
            <w14:solidFill>
              <w14:schemeClr w14:val="tx1"/>
            </w14:solidFill>
          </w14:textFill>
        </w:rPr>
        <w:t>全区</w:t>
      </w:r>
      <w:r>
        <w:rPr>
          <w:color w:val="000000" w:themeColor="text1"/>
          <w:szCs w:val="28"/>
          <w14:textFill>
            <w14:solidFill>
              <w14:schemeClr w14:val="tx1"/>
            </w14:solidFill>
          </w14:textFill>
        </w:rPr>
        <w:t>灌溉水利用系数在0.491左右，水量损失较大；工业生产重复水利用率仅40%左右，远低于全省平均水平，亟待加快节水工作步伐。</w:t>
      </w:r>
    </w:p>
    <w:p>
      <w:pPr>
        <w:pStyle w:val="5"/>
        <w:rPr>
          <w:rFonts w:ascii="Times New Roman" w:hAnsi="Times New Roman"/>
          <w:color w:val="000000" w:themeColor="text1"/>
          <w14:textFill>
            <w14:solidFill>
              <w14:schemeClr w14:val="tx1"/>
            </w14:solidFill>
          </w14:textFill>
        </w:rPr>
      </w:pPr>
      <w:bookmarkStart w:id="173" w:name="_Toc5063"/>
      <w:r>
        <w:rPr>
          <w:rFonts w:ascii="Times New Roman" w:hAnsi="Times New Roman"/>
          <w:color w:val="000000" w:themeColor="text1"/>
          <w14:textFill>
            <w14:solidFill>
              <w14:schemeClr w14:val="tx1"/>
            </w14:solidFill>
          </w14:textFill>
        </w:rPr>
        <w:t>4.5.2  解决缺水的途径</w:t>
      </w:r>
      <w:bookmarkEnd w:id="173"/>
    </w:p>
    <w:p>
      <w:pPr>
        <w:widowControl/>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水资源丰富，但是受自然、技术、经济等条件制约，水资源开发利用程度低。随着水利建设进程的加快，蓄引提能力大大提高，对抗御自然灾害，保证工农业生产起到了积极的作用。由于工程措施不力、水资源时空分布不均和水土资源组合不平衡等客观因素造成了季节性、区域性的干旱缺水，同时对水资源缺乏保护和合理利用，以及水污染等人为因素，加重了干旱缺水和洪涝灾害影响，致使农业灌溉用水严重不足，同时骨干工程少，调控能力差；已有水源工程老化病害较重；节水工程少，渠道衬砌比例不高（防渗衬砌率仅24%），渗漏损失严重。随着新型工业化、新型城镇化、农业现代化的深入发展，全球气候变化影响加大，在建设幸福河湖和绿水青山的新形势下，我区水利面临的形势依然严峻，增强防灾减灾能力的要求越来越迫切，强化水资源节约和水生态文明保护工作越来越繁重，加快扭转农业主要</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靠天吃饭</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任务越来越艰巨。因此，加快我区水利建设刻不容缓。</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根据全省水资源的开发利用总体布局及通川区的水情特点，拟定以下几种途径解决区内的缺水问题：</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（1）节水潜力分析</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存量节水是以各部门和各行业（或作物）通过综合节水措施所达到的节水指标为参照标准，分析现状用水水平与节水指标的差值，并根据现状发展的实物量指标计算可能最大的节水数量，估算节水潜力，按用水对象分为农业节水、生活节水和工业节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1）农业节水潜力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农业节水潜力是以通过采取综合节水措施后所能达到的节水与用水标准为参照，分析计算其在充分考虑节水条件下的最小用水量比现状用水量减少的部分，即为反映节水潜力的可能最大节水量。仅从提高灌溉水利用系数来看，通川区农业节水潜力是巨大的，全区现状农田有效灌溉面积为11.96万亩，现状灌溉水利用系数平均水平为0.491，通过采取节水措施，灌溉水利用系数达到目前国内先进水平0.63，初步估算（P=75%保证率下）农业节水潜力为956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2）工业节水潜力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工业节水潜力大小主要体现在管网漏失率、用水重复利用率、万元工业增加值用水量等三方面；现状通川区市供水管网损耗平均在12%、万元工业增加值用水量35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/万元。随着区域产业结构调整，工业用水工艺的提高，通过工程及非工程措施，提高用水效率，至2035年，管网漏失率降到8%、单位工业增加值用水量降至10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/万元，初步估算通川区工业节水潜力为1814万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3)城镇生活节水潜力</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随着社会的进步与发展，城乡生活综合用水指标呈上升趋势，但通过采取节水措施，如提高节水器具普及率及降低管网漏失率，能有效降低城乡生活用水量的增长。反映城镇生活节水潜力的主要指标为管网漏失率及节水器具普及率，现状通川区市管网漏失率在12%左右，节水器具普及率低；将管网漏失率降至8%时，初步估算通川区镇居民生活、建筑业及第三产业节水潜力为259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4)总节水潜力</w:t>
      </w:r>
    </w:p>
    <w:p>
      <w:pPr>
        <w:spacing w:line="520" w:lineRule="exact"/>
        <w:ind w:firstLine="560"/>
        <w:rPr>
          <w:color w:val="000000" w:themeColor="text1"/>
          <w:szCs w:val="28"/>
          <w14:textFill>
            <w14:solidFill>
              <w14:schemeClr w14:val="tx1"/>
            </w14:solidFill>
          </w14:textFill>
        </w:rPr>
      </w:pPr>
      <w:r>
        <w:rPr>
          <w:color w:val="000000" w:themeColor="text1"/>
          <w14:textFill>
            <w14:solidFill>
              <w14:schemeClr w14:val="tx1"/>
            </w14:solidFill>
          </w14:textFill>
        </w:rPr>
        <w:t>通川区的节水潜力由农业节水潜力、工业节水潜力、城镇生活节水潜力、建筑业节水潜力和第三产业节水潜力等几部分组成。经上述分析预测，区总节水潜力为3029万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（2）通过灌区续建配套加大原有水利设施供水能力</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通川区大部分水利设施修建年代均比较早，部分乡镇的水利工程配套不完善，有些水利工程长期带病运行，存在严重安全隐患，近几年，在国家的大力支持下，通川区先后建成一批水利基础设施，为改善城乡居民生活生产条件、促进经济社会发展发挥了巨大作用。</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小型灌区渠系方面，近年来通过小农水资金和多渠道融资，实施了一批小型灌区渠系整治和人民渠末级渠系的整治，取得了较好的效果，但依然有大批渠系有待整治。总体来说，通川区区域灌区渠系工程配套速度缓慢，大部分渠道尚未衬砌，严重影响了工程效益的进一步发挥和水资源的有效利用，大力发展节水灌溉，系统地对灌区进行续建配套与节水改造，提高水资源利用率，十分必要和迫切。</w:t>
      </w:r>
    </w:p>
    <w:p>
      <w:pPr>
        <w:numPr>
          <w:ilvl w:val="0"/>
          <w:numId w:val="2"/>
        </w:num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加大城区中水回用率</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根据通川区镇发展预测，在2020年、2025年和2030年，全区城镇综合污水入河量将分别达到1767.03万t/a、1767.03万t/a和1694.18万t/a， 为现状水平（1516.52万t/a） 1.165倍、1.165倍和1.117倍。污水排放增加了入河污染负荷，也浪费了水资源。规划在人口集中的场镇建设中水厂，对污水处理厂排水进行深度处理，达到中水标准后通过中水回用管道或水车输入城区，作为城市景观、绿化、消防、环卫、工业冷却、住宅卫生洁具冲洗用水等。本次根据全国或地方相关规划对中水回用水平的要求，参照其他城市排水规划成果，并结合通川区发展趋势，拟定通川区2025年、2030年、2035年的中水回用率分别为10%、15%、20%。</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（4）新建水利工程提高当地水源利用率</w:t>
      </w:r>
    </w:p>
    <w:p>
      <w:pPr>
        <w:spacing w:line="520" w:lineRule="exact"/>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十三五</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期间，通川区规划重点水源中双河口水库按照既定工期建设中，计划2020年底前完成主体工程。其余规划的新建长滩湖水库（中型）、新建11座小型水库、新建70口山坪塘、新建1000口蓄水池、水源联通工程都没有启动建设。</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从一次平衡成果可以看出，按照现有水利工程的供水能力，通川区现有水利设施可供水量仅1.56亿</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，2035年全区缺水量为1.17亿</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，缺水比例高达42.9%。为解决区域社会经济快速发展产生的供需水矛盾，必须加紧建设一批重点水利工程，提高对当地水资源量的利用，满足片区用水需求。</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为此，通川区提出了一批重点水库建设方案：</w:t>
      </w:r>
    </w:p>
    <w:p>
      <w:pPr>
        <w:numPr>
          <w:ilvl w:val="0"/>
          <w:numId w:val="3"/>
        </w:num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加快推进重点中型水库安云水库、车家河水库的前期工作，争取</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十四五期间</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完成工程建设或开工。抓紧进行长滩河水库、老王沟水库等2座储备中型水库的前期工作，争取在2035年前建设。</w:t>
      </w:r>
    </w:p>
    <w:p>
      <w:pPr>
        <w:numPr>
          <w:ilvl w:val="0"/>
          <w:numId w:val="3"/>
        </w:num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推进原十三五规划中未实施的蟠龙湖水库、中坪水库、</w:t>
      </w:r>
      <w:r>
        <w:rPr>
          <w:rFonts w:hint="eastAsia"/>
          <w:color w:val="000000" w:themeColor="text1"/>
          <w:szCs w:val="28"/>
          <w14:textFill>
            <w14:solidFill>
              <w14:schemeClr w14:val="tx1"/>
            </w14:solidFill>
          </w14:textFill>
        </w:rPr>
        <w:t>石盘沟水库</w:t>
      </w:r>
      <w:r>
        <w:rPr>
          <w:color w:val="000000" w:themeColor="text1"/>
          <w:szCs w:val="28"/>
          <w14:textFill>
            <w14:solidFill>
              <w14:schemeClr w14:val="tx1"/>
            </w14:solidFill>
          </w14:textFill>
        </w:rPr>
        <w:t>、天生水库、易家沟水库等5座小2型水库建设及前期工作，将其全部纳入十四五规划。</w:t>
      </w:r>
    </w:p>
    <w:p>
      <w:pPr>
        <w:numPr>
          <w:ilvl w:val="0"/>
          <w:numId w:val="3"/>
        </w:num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新建旱田湾水库、石伏沟水库两座小1型水库，新建诸仙湖水库、王家沟水库、挖断山水库等3座小2型水库，均纳入十四五规划。</w:t>
      </w:r>
    </w:p>
    <w:p>
      <w:pPr>
        <w:numPr>
          <w:ilvl w:val="0"/>
          <w:numId w:val="3"/>
        </w:num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元盘水库、万家沟水库等4座小1型水库，邓家河水库、盐井沟水库等等13座小2型水库，加快推进工程建设及前期工作，争取在2035年前建设。</w:t>
      </w:r>
    </w:p>
    <w:p>
      <w:pPr>
        <w:spacing w:line="520" w:lineRule="exact"/>
        <w:ind w:firstLine="420" w:firstLineChars="0"/>
        <w:rPr>
          <w:color w:val="000000" w:themeColor="text1"/>
          <w:szCs w:val="28"/>
          <w14:textFill>
            <w14:solidFill>
              <w14:schemeClr w14:val="tx1"/>
            </w14:solidFill>
          </w14:textFill>
        </w:rPr>
      </w:pPr>
      <w:r>
        <w:rPr>
          <w:color w:val="000000" w:themeColor="text1"/>
          <w:szCs w:val="28"/>
          <w14:textFill>
            <w14:solidFill>
              <w14:schemeClr w14:val="tx1"/>
            </w14:solidFill>
          </w14:textFill>
        </w:rPr>
        <w:t>（5）积极开展引调水工程补充城区不足水量</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目前，通川区中心城区自来水厂共只有3座：凤翎水厂、吴家沟水厂和莲湖水厂，水源均为州河（罗江口水库、石莲花水库），设计规模总计52万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/d，现状实际供水能力25</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/d。</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规划水平年，随着达州市城区建成面积的扩大和城区人口的增长，通川区市供水将出现以下两个问题：</w:t>
      </w:r>
    </w:p>
    <w:p>
      <w:pPr>
        <w:spacing w:line="50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1）水源单一</w:t>
      </w:r>
    </w:p>
    <w:p>
      <w:pPr>
        <w:spacing w:line="50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由于城区水厂供水水源均为州河，供水水源单一，应急保障水平低、抗风险能力极差，一旦州河罗江口电站以上水源出现问题，城市供水将面临巨大风险。</w:t>
      </w:r>
    </w:p>
    <w:p>
      <w:pPr>
        <w:numPr>
          <w:ilvl w:val="0"/>
          <w:numId w:val="4"/>
        </w:numPr>
        <w:spacing w:line="50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供水量不足</w:t>
      </w:r>
    </w:p>
    <w:p>
      <w:pPr>
        <w:spacing w:line="500" w:lineRule="exact"/>
        <w:ind w:firstLine="420" w:firstLineChars="0"/>
        <w:rPr>
          <w:color w:val="000000" w:themeColor="text1"/>
          <w:szCs w:val="28"/>
          <w14:textFill>
            <w14:solidFill>
              <w14:schemeClr w14:val="tx1"/>
            </w14:solidFill>
          </w14:textFill>
        </w:rPr>
      </w:pPr>
      <w:r>
        <w:rPr>
          <w:color w:val="000000" w:themeColor="text1"/>
          <w:szCs w:val="28"/>
          <w14:textFill>
            <w14:solidFill>
              <w14:schemeClr w14:val="tx1"/>
            </w14:solidFill>
          </w14:textFill>
        </w:rPr>
        <w:t>由于当地水资源量及调蓄工程的限制，规划水平年，依靠通川区内水库工程无法解决城区用水需求，作为达州市的主城区，为解决其城市供水问题，需从达州市全境的角度出发，努力通过引调水工程来解决通川区市用水需求。</w:t>
      </w:r>
    </w:p>
    <w:p>
      <w:pPr>
        <w:spacing w:line="500" w:lineRule="exact"/>
        <w:ind w:firstLine="420" w:firstLineChars="0"/>
        <w:jc w:val="left"/>
        <w:rPr>
          <w:color w:val="000000" w:themeColor="text1"/>
          <w:szCs w:val="28"/>
          <w14:textFill>
            <w14:solidFill>
              <w14:schemeClr w14:val="tx1"/>
            </w14:solidFill>
          </w14:textFill>
        </w:rPr>
      </w:pPr>
      <w:r>
        <w:rPr>
          <w:color w:val="000000" w:themeColor="text1"/>
          <w:szCs w:val="28"/>
          <w14:textFill>
            <w14:solidFill>
              <w14:schemeClr w14:val="tx1"/>
            </w14:solidFill>
          </w14:textFill>
        </w:rPr>
        <w:t>目前，达州市规划了一座大型城区供水水源，宣汉县</w:t>
      </w:r>
      <w:r>
        <w:rPr>
          <w:rFonts w:hint="eastAsia"/>
          <w:color w:val="000000" w:themeColor="text1"/>
          <w:szCs w:val="28"/>
          <w14:textFill>
            <w14:solidFill>
              <w14:schemeClr w14:val="tx1"/>
            </w14:solidFill>
          </w14:textFill>
        </w:rPr>
        <w:t>长滩湖</w:t>
      </w:r>
      <w:r>
        <w:rPr>
          <w:color w:val="000000" w:themeColor="text1"/>
          <w:szCs w:val="28"/>
          <w14:textFill>
            <w14:solidFill>
              <w14:schemeClr w14:val="tx1"/>
            </w14:solidFill>
          </w14:textFill>
        </w:rPr>
        <w:t>水库位于巴河一级支流长滩河上游的鲁班河河段友谊电站处，距离宣汉县庆云乡场镇约4.0km，水库集雨面积402.0k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，最大坝高约85.0m，调节库容约8000万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 xml:space="preserve">。最大引用流量5.2 </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s，引水线路长度约40.0km，该工程建成后不但可解决达州城区人口的生活饮用水问题，同时也解决了引水沿线庆云乡、青宁镇、碑庙镇、蒲家镇、魏家镇、东岳镇、罗江镇、双龙镇、复兴镇共10个乡镇的生活饮用水问题。</w:t>
      </w:r>
    </w:p>
    <w:p>
      <w:pPr>
        <w:pStyle w:val="49"/>
        <w:spacing w:after="0" w:afterLines="0"/>
        <w:rPr>
          <w:color w:val="000000" w:themeColor="text1"/>
          <w14:textFill>
            <w14:solidFill>
              <w14:schemeClr w14:val="tx1"/>
            </w14:solidFill>
          </w14:textFill>
        </w:rPr>
      </w:pPr>
      <w:r>
        <w:rPr>
          <w:color w:val="000000" w:themeColor="text1"/>
          <w14:textFill>
            <w14:solidFill>
              <w14:schemeClr w14:val="tx1"/>
            </w14:solidFill>
          </w14:textFill>
        </w:rPr>
        <w:t>表4.5.3  达州市中心城区水厂供水情况一览表</w:t>
      </w:r>
    </w:p>
    <w:p>
      <w:pPr>
        <w:pStyle w:val="110"/>
        <w:spacing w:line="240" w:lineRule="auto"/>
        <w:ind w:firstLine="0" w:firstLineChars="0"/>
        <w:jc w:val="right"/>
        <w:rPr>
          <w:color w:val="000000" w:themeColor="text1"/>
          <w14:textFill>
            <w14:solidFill>
              <w14:schemeClr w14:val="tx1"/>
            </w14:solidFill>
          </w14:textFill>
        </w:rPr>
      </w:pPr>
      <w:r>
        <w:rPr>
          <w:rFonts w:eastAsia="Times New Roman"/>
          <w:color w:val="000000" w:themeColor="text1"/>
          <w:sz w:val="24"/>
          <w:lang w:val="en-US" w:eastAsia="zh-CN" w:bidi="en-US"/>
          <w14:textFill>
            <w14:solidFill>
              <w14:schemeClr w14:val="tx1"/>
            </w14:solidFill>
          </w14:textFill>
        </w:rPr>
        <w:tab/>
      </w:r>
      <w:r>
        <w:rPr>
          <w:color w:val="000000" w:themeColor="text1"/>
          <w14:textFill>
            <w14:solidFill>
              <w14:schemeClr w14:val="tx1"/>
            </w14:solidFill>
          </w14:textFill>
        </w:rPr>
        <w:t>单位：（万</w:t>
      </w:r>
      <w:r>
        <w:rPr>
          <w:rFonts w:hint="eastAsia"/>
          <w:color w:val="000000" w:themeColor="text1"/>
          <w:sz w:val="24"/>
          <w:lang w:val="en-US" w:eastAsia="zh-CN" w:bidi="en-US"/>
          <w14:textFill>
            <w14:solidFill>
              <w14:schemeClr w14:val="tx1"/>
            </w14:solidFill>
          </w14:textFill>
        </w:rPr>
        <w:t>m³</w:t>
      </w:r>
      <w:r>
        <w:rPr>
          <w:rFonts w:eastAsia="Times New Roman"/>
          <w:color w:val="000000" w:themeColor="text1"/>
          <w:sz w:val="24"/>
          <w:lang w:val="en-US" w:eastAsia="zh-CN" w:bidi="en-US"/>
          <w14:textFill>
            <w14:solidFill>
              <w14:schemeClr w14:val="tx1"/>
            </w14:solidFill>
          </w14:textFill>
        </w:rPr>
        <w:t>/d</w:t>
      </w:r>
      <w:r>
        <w:rPr>
          <w:color w:val="000000" w:themeColor="text1"/>
          <w:sz w:val="24"/>
          <w:lang w:val="en-US" w:eastAsia="zh-CN" w:bidi="en-US"/>
          <w14:textFill>
            <w14:solidFill>
              <w14:schemeClr w14:val="tx1"/>
            </w14:solidFill>
          </w14:textFill>
        </w:rPr>
        <w:t>）</w:t>
      </w:r>
    </w:p>
    <w:tbl>
      <w:tblPr>
        <w:tblStyle w:val="40"/>
        <w:tblW w:w="0" w:type="auto"/>
        <w:jc w:val="center"/>
        <w:tblLayout w:type="fixed"/>
        <w:tblCellMar>
          <w:top w:w="0" w:type="dxa"/>
          <w:left w:w="10" w:type="dxa"/>
          <w:bottom w:w="0" w:type="dxa"/>
          <w:right w:w="10" w:type="dxa"/>
        </w:tblCellMar>
      </w:tblPr>
      <w:tblGrid>
        <w:gridCol w:w="1771"/>
        <w:gridCol w:w="2366"/>
        <w:gridCol w:w="2520"/>
        <w:gridCol w:w="1123"/>
        <w:gridCol w:w="1262"/>
      </w:tblGrid>
      <w:tr>
        <w:tblPrEx>
          <w:tblCellMar>
            <w:top w:w="0" w:type="dxa"/>
            <w:left w:w="10" w:type="dxa"/>
            <w:bottom w:w="0" w:type="dxa"/>
            <w:right w:w="10" w:type="dxa"/>
          </w:tblCellMar>
        </w:tblPrEx>
        <w:trPr>
          <w:trHeight w:val="454" w:hRule="atLeast"/>
          <w:jc w:val="center"/>
        </w:trPr>
        <w:tc>
          <w:tcPr>
            <w:tcW w:w="1771"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水厂名称</w:t>
            </w:r>
          </w:p>
        </w:tc>
        <w:tc>
          <w:tcPr>
            <w:tcW w:w="2366"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地理位置</w:t>
            </w:r>
          </w:p>
        </w:tc>
        <w:tc>
          <w:tcPr>
            <w:tcW w:w="2520"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供水范围</w:t>
            </w:r>
          </w:p>
        </w:tc>
        <w:tc>
          <w:tcPr>
            <w:tcW w:w="1123"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设计规模</w:t>
            </w:r>
          </w:p>
        </w:tc>
        <w:tc>
          <w:tcPr>
            <w:tcW w:w="1262" w:type="dxa"/>
            <w:tcBorders>
              <w:top w:val="single" w:color="auto" w:sz="4" w:space="0"/>
              <w:left w:val="single" w:color="auto" w:sz="4" w:space="0"/>
              <w:righ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实际供水能力</w:t>
            </w:r>
          </w:p>
        </w:tc>
      </w:tr>
      <w:tr>
        <w:tblPrEx>
          <w:tblCellMar>
            <w:top w:w="0" w:type="dxa"/>
            <w:left w:w="10" w:type="dxa"/>
            <w:bottom w:w="0" w:type="dxa"/>
            <w:right w:w="10" w:type="dxa"/>
          </w:tblCellMar>
        </w:tblPrEx>
        <w:trPr>
          <w:trHeight w:val="454" w:hRule="atLeast"/>
          <w:jc w:val="center"/>
        </w:trPr>
        <w:tc>
          <w:tcPr>
            <w:tcW w:w="1771"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凤翎水厂</w:t>
            </w:r>
          </w:p>
        </w:tc>
        <w:tc>
          <w:tcPr>
            <w:tcW w:w="2366"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通川区凤覇关</w:t>
            </w:r>
          </w:p>
        </w:tc>
        <w:tc>
          <w:tcPr>
            <w:tcW w:w="2520"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老城区、西外片区</w:t>
            </w:r>
          </w:p>
        </w:tc>
        <w:tc>
          <w:tcPr>
            <w:tcW w:w="1123"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7.0</w:t>
            </w:r>
          </w:p>
        </w:tc>
        <w:tc>
          <w:tcPr>
            <w:tcW w:w="1262" w:type="dxa"/>
            <w:tcBorders>
              <w:top w:val="single" w:color="auto" w:sz="4" w:space="0"/>
              <w:left w:val="single" w:color="auto" w:sz="4" w:space="0"/>
              <w:righ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5.0</w:t>
            </w:r>
          </w:p>
        </w:tc>
      </w:tr>
      <w:tr>
        <w:tblPrEx>
          <w:tblCellMar>
            <w:top w:w="0" w:type="dxa"/>
            <w:left w:w="10" w:type="dxa"/>
            <w:bottom w:w="0" w:type="dxa"/>
            <w:right w:w="10" w:type="dxa"/>
          </w:tblCellMar>
        </w:tblPrEx>
        <w:trPr>
          <w:trHeight w:val="454" w:hRule="atLeast"/>
          <w:jc w:val="center"/>
        </w:trPr>
        <w:tc>
          <w:tcPr>
            <w:tcW w:w="1771"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吴家沟水厂</w:t>
            </w:r>
          </w:p>
        </w:tc>
        <w:tc>
          <w:tcPr>
            <w:tcW w:w="2366"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通川区肖公庙</w:t>
            </w:r>
          </w:p>
        </w:tc>
        <w:tc>
          <w:tcPr>
            <w:tcW w:w="2520"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老城区、北外片区</w:t>
            </w:r>
          </w:p>
        </w:tc>
        <w:tc>
          <w:tcPr>
            <w:tcW w:w="1123"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5.0</w:t>
            </w:r>
          </w:p>
        </w:tc>
        <w:tc>
          <w:tcPr>
            <w:tcW w:w="1262" w:type="dxa"/>
            <w:tcBorders>
              <w:top w:val="single" w:color="auto" w:sz="4" w:space="0"/>
              <w:left w:val="single" w:color="auto" w:sz="4" w:space="0"/>
              <w:righ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5.0</w:t>
            </w:r>
          </w:p>
        </w:tc>
      </w:tr>
      <w:tr>
        <w:tblPrEx>
          <w:tblCellMar>
            <w:top w:w="0" w:type="dxa"/>
            <w:left w:w="10" w:type="dxa"/>
            <w:bottom w:w="0" w:type="dxa"/>
            <w:right w:w="10" w:type="dxa"/>
          </w:tblCellMar>
        </w:tblPrEx>
        <w:trPr>
          <w:trHeight w:val="454" w:hRule="atLeast"/>
          <w:jc w:val="center"/>
        </w:trPr>
        <w:tc>
          <w:tcPr>
            <w:tcW w:w="1771"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三里坪水厂（达川区）</w:t>
            </w:r>
          </w:p>
        </w:tc>
        <w:tc>
          <w:tcPr>
            <w:tcW w:w="2366"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通川区南外三里坪</w:t>
            </w:r>
          </w:p>
        </w:tc>
        <w:tc>
          <w:tcPr>
            <w:tcW w:w="2520"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南</w:t>
            </w:r>
            <w:r>
              <w:rPr>
                <w:rFonts w:hint="eastAsia"/>
                <w:color w:val="000000" w:themeColor="text1"/>
                <w14:textFill>
                  <w14:solidFill>
                    <w14:schemeClr w14:val="tx1"/>
                  </w14:solidFill>
                </w14:textFill>
              </w:rPr>
              <w:t>外</w:t>
            </w:r>
            <w:r>
              <w:rPr>
                <w:color w:val="000000" w:themeColor="text1"/>
                <w14:textFill>
                  <w14:solidFill>
                    <w14:schemeClr w14:val="tx1"/>
                  </w14:solidFill>
                </w14:textFill>
              </w:rPr>
              <w:t>（通川）片区</w:t>
            </w:r>
          </w:p>
        </w:tc>
        <w:tc>
          <w:tcPr>
            <w:tcW w:w="1123"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10.0</w:t>
            </w:r>
          </w:p>
        </w:tc>
        <w:tc>
          <w:tcPr>
            <w:tcW w:w="1262" w:type="dxa"/>
            <w:tcBorders>
              <w:top w:val="single" w:color="auto" w:sz="4" w:space="0"/>
              <w:left w:val="single" w:color="auto" w:sz="4" w:space="0"/>
              <w:righ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10.0</w:t>
            </w:r>
          </w:p>
        </w:tc>
      </w:tr>
      <w:tr>
        <w:tblPrEx>
          <w:tblCellMar>
            <w:top w:w="0" w:type="dxa"/>
            <w:left w:w="10" w:type="dxa"/>
            <w:bottom w:w="0" w:type="dxa"/>
            <w:right w:w="10" w:type="dxa"/>
          </w:tblCellMar>
        </w:tblPrEx>
        <w:trPr>
          <w:trHeight w:val="454" w:hRule="atLeast"/>
          <w:jc w:val="center"/>
        </w:trPr>
        <w:tc>
          <w:tcPr>
            <w:tcW w:w="1771"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莲湖水厂</w:t>
            </w:r>
          </w:p>
        </w:tc>
        <w:tc>
          <w:tcPr>
            <w:tcW w:w="2366"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通川区西外镇</w:t>
            </w:r>
          </w:p>
        </w:tc>
        <w:tc>
          <w:tcPr>
            <w:tcW w:w="2520"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老城区、西外片区</w:t>
            </w:r>
          </w:p>
        </w:tc>
        <w:tc>
          <w:tcPr>
            <w:tcW w:w="1123" w:type="dxa"/>
            <w:tcBorders>
              <w:top w:val="single" w:color="auto" w:sz="4" w:space="0"/>
              <w:lef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40.0</w:t>
            </w:r>
          </w:p>
        </w:tc>
        <w:tc>
          <w:tcPr>
            <w:tcW w:w="1262" w:type="dxa"/>
            <w:tcBorders>
              <w:top w:val="single" w:color="auto" w:sz="4" w:space="0"/>
              <w:left w:val="single" w:color="auto" w:sz="4" w:space="0"/>
              <w:righ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lang w:eastAsia="en-US"/>
                <w14:textFill>
                  <w14:solidFill>
                    <w14:schemeClr w14:val="tx1"/>
                  </w14:solidFill>
                </w14:textFill>
              </w:rPr>
              <w:t>15.0</w:t>
            </w:r>
          </w:p>
        </w:tc>
      </w:tr>
      <w:tr>
        <w:tblPrEx>
          <w:tblCellMar>
            <w:top w:w="0" w:type="dxa"/>
            <w:left w:w="10" w:type="dxa"/>
            <w:bottom w:w="0" w:type="dxa"/>
            <w:right w:w="10" w:type="dxa"/>
          </w:tblCellMar>
        </w:tblPrEx>
        <w:trPr>
          <w:trHeight w:val="454" w:hRule="atLeast"/>
          <w:jc w:val="center"/>
        </w:trPr>
        <w:tc>
          <w:tcPr>
            <w:tcW w:w="1771" w:type="dxa"/>
            <w:tcBorders>
              <w:top w:val="single" w:color="auto" w:sz="4" w:space="0"/>
              <w:left w:val="single" w:color="auto" w:sz="4" w:space="0"/>
              <w:bottom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2366" w:type="dxa"/>
            <w:tcBorders>
              <w:top w:val="single" w:color="auto" w:sz="4" w:space="0"/>
              <w:left w:val="single" w:color="auto" w:sz="4" w:space="0"/>
              <w:bottom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w:t>
            </w:r>
          </w:p>
        </w:tc>
        <w:tc>
          <w:tcPr>
            <w:tcW w:w="2520" w:type="dxa"/>
            <w:tcBorders>
              <w:top w:val="single" w:color="auto" w:sz="4" w:space="0"/>
              <w:left w:val="single" w:color="auto" w:sz="4" w:space="0"/>
              <w:bottom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w:t>
            </w:r>
          </w:p>
        </w:tc>
        <w:tc>
          <w:tcPr>
            <w:tcW w:w="1123" w:type="dxa"/>
            <w:tcBorders>
              <w:top w:val="single" w:color="auto" w:sz="4" w:space="0"/>
              <w:left w:val="single" w:color="auto" w:sz="4" w:space="0"/>
              <w:bottom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62</w:t>
            </w: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37</w:t>
            </w:r>
          </w:p>
        </w:tc>
      </w:tr>
    </w:tbl>
    <w:p>
      <w:pPr>
        <w:spacing w:line="500" w:lineRule="exact"/>
        <w:ind w:firstLine="560"/>
        <w:rPr>
          <w:color w:val="000000" w:themeColor="text1"/>
          <w14:textFill>
            <w14:solidFill>
              <w14:schemeClr w14:val="tx1"/>
            </w14:solidFill>
          </w14:textFill>
        </w:rPr>
      </w:pPr>
      <w:r>
        <w:rPr>
          <w:color w:val="000000" w:themeColor="text1"/>
          <w:szCs w:val="28"/>
          <w14:textFill>
            <w14:solidFill>
              <w14:schemeClr w14:val="tx1"/>
            </w14:solidFill>
          </w14:textFill>
        </w:rPr>
        <w:t>综上所述，为解决通川区工程性缺水、水质性缺水导致的供需水矛盾，需综合从强化节水、渠系续建配套、中水回用、新建骨干工程以及跨行政区引调水等各个方面来共同努力，来实现2035年通川区水资源合理配置的目标。</w:t>
      </w:r>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174" w:name="_Toc21060"/>
      <w:bookmarkStart w:id="175" w:name="_Toc31410"/>
      <w:bookmarkStart w:id="176" w:name="_Toc4910"/>
      <w:bookmarkStart w:id="177" w:name="_Toc32401"/>
      <w:bookmarkStart w:id="178" w:name="_Toc24395"/>
      <w:r>
        <w:rPr>
          <w:color w:val="000000" w:themeColor="text1"/>
          <w14:textFill>
            <w14:solidFill>
              <w14:schemeClr w14:val="tx1"/>
            </w14:solidFill>
          </w14:textFill>
        </w:rPr>
        <w:t>5  工程布局及二次平衡</w:t>
      </w:r>
      <w:bookmarkEnd w:id="174"/>
      <w:bookmarkEnd w:id="175"/>
      <w:bookmarkEnd w:id="176"/>
      <w:bookmarkEnd w:id="177"/>
      <w:bookmarkEnd w:id="178"/>
    </w:p>
    <w:p>
      <w:pPr>
        <w:pStyle w:val="4"/>
        <w:rPr>
          <w:rFonts w:ascii="Times New Roman" w:hAnsi="Times New Roman" w:cs="Times New Roman"/>
          <w:color w:val="000000" w:themeColor="text1"/>
          <w14:textFill>
            <w14:solidFill>
              <w14:schemeClr w14:val="tx1"/>
            </w14:solidFill>
          </w14:textFill>
        </w:rPr>
      </w:pPr>
      <w:bookmarkStart w:id="179" w:name="_Toc7055"/>
      <w:bookmarkStart w:id="180" w:name="_Toc29214"/>
      <w:bookmarkStart w:id="181" w:name="_Toc26098"/>
      <w:bookmarkStart w:id="182" w:name="_Toc27392"/>
      <w:bookmarkStart w:id="183" w:name="_Toc27460"/>
      <w:r>
        <w:rPr>
          <w:rFonts w:ascii="Times New Roman" w:hAnsi="Times New Roman" w:cs="Times New Roman"/>
          <w:color w:val="000000" w:themeColor="text1"/>
          <w14:textFill>
            <w14:solidFill>
              <w14:schemeClr w14:val="tx1"/>
            </w14:solidFill>
          </w14:textFill>
        </w:rPr>
        <w:t>5.1  水源配置</w:t>
      </w:r>
      <w:bookmarkEnd w:id="179"/>
      <w:bookmarkEnd w:id="180"/>
      <w:bookmarkEnd w:id="181"/>
      <w:r>
        <w:rPr>
          <w:rFonts w:ascii="Times New Roman" w:hAnsi="Times New Roman" w:cs="Times New Roman"/>
          <w:color w:val="000000" w:themeColor="text1"/>
          <w14:textFill>
            <w14:solidFill>
              <w14:schemeClr w14:val="tx1"/>
            </w14:solidFill>
          </w14:textFill>
        </w:rPr>
        <w:t>原则、思路及方针</w:t>
      </w:r>
      <w:bookmarkEnd w:id="182"/>
      <w:bookmarkEnd w:id="183"/>
    </w:p>
    <w:p>
      <w:pPr>
        <w:pStyle w:val="5"/>
        <w:rPr>
          <w:rFonts w:ascii="Times New Roman" w:hAnsi="Times New Roman"/>
          <w:color w:val="000000" w:themeColor="text1"/>
          <w14:textFill>
            <w14:solidFill>
              <w14:schemeClr w14:val="tx1"/>
            </w14:solidFill>
          </w14:textFill>
        </w:rPr>
      </w:pPr>
      <w:bookmarkStart w:id="184" w:name="_Toc12710"/>
      <w:r>
        <w:rPr>
          <w:rFonts w:ascii="Times New Roman" w:hAnsi="Times New Roman"/>
          <w:color w:val="000000" w:themeColor="text1"/>
          <w14:textFill>
            <w14:solidFill>
              <w14:schemeClr w14:val="tx1"/>
            </w14:solidFill>
          </w14:textFill>
        </w:rPr>
        <w:t>5.1.1  配置原则</w:t>
      </w:r>
      <w:bookmarkEnd w:id="184"/>
    </w:p>
    <w:p>
      <w:pPr>
        <w:spacing w:line="520" w:lineRule="exact"/>
        <w:ind w:firstLine="560"/>
        <w:rPr>
          <w:color w:val="000000" w:themeColor="text1"/>
          <w:kern w:val="0"/>
          <w14:textFill>
            <w14:solidFill>
              <w14:schemeClr w14:val="tx1"/>
            </w14:solidFill>
          </w14:textFill>
        </w:rPr>
      </w:pPr>
      <w:bookmarkStart w:id="185" w:name="bookmark157"/>
      <w:r>
        <w:rPr>
          <w:color w:val="000000" w:themeColor="text1"/>
          <w:kern w:val="0"/>
          <w14:textFill>
            <w14:solidFill>
              <w14:schemeClr w14:val="tx1"/>
            </w14:solidFill>
          </w14:textFill>
        </w:rPr>
        <w:t>1</w:t>
      </w:r>
      <w:bookmarkEnd w:id="185"/>
      <w:r>
        <w:rPr>
          <w:color w:val="000000" w:themeColor="text1"/>
          <w:kern w:val="0"/>
          <w14:textFill>
            <w14:solidFill>
              <w14:schemeClr w14:val="tx1"/>
            </w14:solidFill>
          </w14:textFill>
        </w:rPr>
        <w:t>、以人为本，着力解决与人民切身利益密切相关的水问题。</w:t>
      </w:r>
    </w:p>
    <w:p>
      <w:pPr>
        <w:spacing w:line="520" w:lineRule="exact"/>
        <w:ind w:firstLine="560"/>
        <w:rPr>
          <w:color w:val="000000" w:themeColor="text1"/>
          <w:kern w:val="0"/>
          <w14:textFill>
            <w14:solidFill>
              <w14:schemeClr w14:val="tx1"/>
            </w14:solidFill>
          </w14:textFill>
        </w:rPr>
      </w:pPr>
      <w:bookmarkStart w:id="186" w:name="bookmark158"/>
      <w:r>
        <w:rPr>
          <w:color w:val="000000" w:themeColor="text1"/>
          <w:kern w:val="0"/>
          <w14:textFill>
            <w14:solidFill>
              <w14:schemeClr w14:val="tx1"/>
            </w14:solidFill>
          </w14:textFill>
        </w:rPr>
        <w:t>2</w:t>
      </w:r>
      <w:bookmarkEnd w:id="186"/>
      <w:r>
        <w:rPr>
          <w:color w:val="000000" w:themeColor="text1"/>
          <w:kern w:val="0"/>
          <w14:textFill>
            <w14:solidFill>
              <w14:schemeClr w14:val="tx1"/>
            </w14:solidFill>
          </w14:textFill>
        </w:rPr>
        <w:t>、人与自然和谐，开发利用水资源要充分考虑水资源承载能力和水环境承载 能力，切实保护生态环境，建生态文明社会，协调人与自然的相互关系，实现水 资源的可持续利用。</w:t>
      </w:r>
    </w:p>
    <w:p>
      <w:pPr>
        <w:spacing w:line="520" w:lineRule="exact"/>
        <w:ind w:firstLine="560"/>
        <w:rPr>
          <w:color w:val="000000" w:themeColor="text1"/>
          <w:kern w:val="0"/>
          <w14:textFill>
            <w14:solidFill>
              <w14:schemeClr w14:val="tx1"/>
            </w14:solidFill>
          </w14:textFill>
        </w:rPr>
      </w:pPr>
      <w:bookmarkStart w:id="187" w:name="bookmark159"/>
      <w:r>
        <w:rPr>
          <w:color w:val="000000" w:themeColor="text1"/>
          <w:kern w:val="0"/>
          <w14:textFill>
            <w14:solidFill>
              <w14:schemeClr w14:val="tx1"/>
            </w14:solidFill>
          </w14:textFill>
        </w:rPr>
        <w:t>3</w:t>
      </w:r>
      <w:bookmarkEnd w:id="187"/>
      <w:r>
        <w:rPr>
          <w:color w:val="000000" w:themeColor="text1"/>
          <w:kern w:val="0"/>
          <w14:textFill>
            <w14:solidFill>
              <w14:schemeClr w14:val="tx1"/>
            </w14:solidFill>
          </w14:textFill>
        </w:rPr>
        <w:t>、必须坚持与经济社会可持续发展、人民生活水平不断提高紧密结合，在水 资源的配置规划工作中应充分体现与经济社会发展的相容性、科学性和前瞻性。</w:t>
      </w:r>
    </w:p>
    <w:p>
      <w:pPr>
        <w:spacing w:line="520" w:lineRule="exact"/>
        <w:ind w:firstLine="560"/>
        <w:rPr>
          <w:color w:val="000000" w:themeColor="text1"/>
          <w:kern w:val="0"/>
          <w14:textFill>
            <w14:solidFill>
              <w14:schemeClr w14:val="tx1"/>
            </w14:solidFill>
          </w14:textFill>
        </w:rPr>
      </w:pPr>
      <w:bookmarkStart w:id="188" w:name="bookmark160"/>
      <w:r>
        <w:rPr>
          <w:color w:val="000000" w:themeColor="text1"/>
          <w:kern w:val="0"/>
          <w14:textFill>
            <w14:solidFill>
              <w14:schemeClr w14:val="tx1"/>
            </w14:solidFill>
          </w14:textFill>
        </w:rPr>
        <w:t>4</w:t>
      </w:r>
      <w:bookmarkEnd w:id="188"/>
      <w:r>
        <w:rPr>
          <w:color w:val="000000" w:themeColor="text1"/>
          <w:kern w:val="0"/>
          <w14:textFill>
            <w14:solidFill>
              <w14:schemeClr w14:val="tx1"/>
            </w14:solidFill>
          </w14:textFill>
        </w:rPr>
        <w:t>、坚持开源节流并重，用水总量控制，水利建设与经济结构调整相结合，采 取行政、法律、经济等手段，努力建设节水型社会。</w:t>
      </w:r>
    </w:p>
    <w:p>
      <w:pPr>
        <w:spacing w:line="520" w:lineRule="exact"/>
        <w:ind w:firstLine="560"/>
        <w:rPr>
          <w:color w:val="000000" w:themeColor="text1"/>
          <w:kern w:val="0"/>
          <w14:textFill>
            <w14:solidFill>
              <w14:schemeClr w14:val="tx1"/>
            </w14:solidFill>
          </w14:textFill>
        </w:rPr>
      </w:pPr>
      <w:bookmarkStart w:id="189" w:name="bookmark161"/>
      <w:r>
        <w:rPr>
          <w:color w:val="000000" w:themeColor="text1"/>
          <w:kern w:val="0"/>
          <w14:textFill>
            <w14:solidFill>
              <w14:schemeClr w14:val="tx1"/>
            </w14:solidFill>
          </w14:textFill>
        </w:rPr>
        <w:t>5</w:t>
      </w:r>
      <w:bookmarkEnd w:id="189"/>
      <w:r>
        <w:rPr>
          <w:color w:val="000000" w:themeColor="text1"/>
          <w:kern w:val="0"/>
          <w14:textFill>
            <w14:solidFill>
              <w14:schemeClr w14:val="tx1"/>
            </w14:solidFill>
          </w14:textFill>
        </w:rPr>
        <w:t>、因地制宜、突</w:t>
      </w:r>
      <w:r>
        <w:rPr>
          <w:rFonts w:hint="eastAsia"/>
          <w:color w:val="000000" w:themeColor="text1"/>
          <w:kern w:val="0"/>
          <w14:textFill>
            <w14:solidFill>
              <w14:schemeClr w14:val="tx1"/>
            </w14:solidFill>
          </w14:textFill>
        </w:rPr>
        <w:t>出</w:t>
      </w:r>
      <w:r>
        <w:rPr>
          <w:color w:val="000000" w:themeColor="text1"/>
          <w:kern w:val="0"/>
          <w14:textFill>
            <w14:solidFill>
              <w14:schemeClr w14:val="tx1"/>
            </w14:solidFill>
          </w14:textFill>
        </w:rPr>
        <w:t>重点，统筹协调好流域和区域、城镇与农村水资源配置、各行业对水资源的需求，发挥市场在水资源配置中的导向作用，合理配置</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三生</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用水。</w:t>
      </w:r>
    </w:p>
    <w:p>
      <w:pPr>
        <w:spacing w:line="520" w:lineRule="exact"/>
        <w:ind w:firstLine="560"/>
        <w:rPr>
          <w:color w:val="000000" w:themeColor="text1"/>
          <w:kern w:val="0"/>
          <w14:textFill>
            <w14:solidFill>
              <w14:schemeClr w14:val="tx1"/>
            </w14:solidFill>
          </w14:textFill>
        </w:rPr>
      </w:pPr>
      <w:bookmarkStart w:id="190" w:name="bookmark162"/>
      <w:r>
        <w:rPr>
          <w:color w:val="000000" w:themeColor="text1"/>
          <w:kern w:val="0"/>
          <w14:textFill>
            <w14:solidFill>
              <w14:schemeClr w14:val="tx1"/>
            </w14:solidFill>
          </w14:textFill>
        </w:rPr>
        <w:t>6</w:t>
      </w:r>
      <w:bookmarkEnd w:id="190"/>
      <w:r>
        <w:rPr>
          <w:color w:val="000000" w:themeColor="text1"/>
          <w:kern w:val="0"/>
          <w14:textFill>
            <w14:solidFill>
              <w14:schemeClr w14:val="tx1"/>
            </w14:solidFill>
          </w14:textFill>
        </w:rPr>
        <w:t>、公平、高效和可持续利用水资源，通过合理抑制需求和有效增加供给，</w:t>
      </w:r>
      <w:r>
        <w:rPr>
          <w:rFonts w:hint="eastAsia"/>
          <w:color w:val="000000" w:themeColor="text1"/>
          <w:kern w:val="0"/>
          <w14:textFill>
            <w14:solidFill>
              <w14:schemeClr w14:val="tx1"/>
            </w14:solidFill>
          </w14:textFill>
        </w:rPr>
        <w:t>采</w:t>
      </w:r>
      <w:r>
        <w:rPr>
          <w:color w:val="000000" w:themeColor="text1"/>
          <w:kern w:val="0"/>
          <w14:textFill>
            <w14:solidFill>
              <w14:schemeClr w14:val="tx1"/>
            </w14:solidFill>
          </w14:textFill>
        </w:rPr>
        <w:t>取工程和非工程措施，统筹上游与下游、地表水与地下水、经济用水与生态用水、本地用水与利用过境水、水量与水质，提出水资源合理配置方案。</w:t>
      </w:r>
    </w:p>
    <w:p>
      <w:pPr>
        <w:pStyle w:val="5"/>
        <w:rPr>
          <w:rFonts w:ascii="Times New Roman" w:hAnsi="Times New Roman"/>
          <w:color w:val="000000" w:themeColor="text1"/>
          <w14:textFill>
            <w14:solidFill>
              <w14:schemeClr w14:val="tx1"/>
            </w14:solidFill>
          </w14:textFill>
        </w:rPr>
      </w:pPr>
      <w:bookmarkStart w:id="191" w:name="_Toc15868"/>
      <w:r>
        <w:rPr>
          <w:rFonts w:ascii="Times New Roman" w:hAnsi="Times New Roman"/>
          <w:color w:val="000000" w:themeColor="text1"/>
          <w14:textFill>
            <w14:solidFill>
              <w14:schemeClr w14:val="tx1"/>
            </w14:solidFill>
          </w14:textFill>
        </w:rPr>
        <w:t>5.1.2  配置思路</w:t>
      </w:r>
      <w:bookmarkEnd w:id="191"/>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在水资源配置原则的指导下，妥善处理好经济发展与水资源水环境承载能力的关系。充分利用通川区水资源的优势，保障城乡饮水安全，保障经济社会发展用水，合理开发利用和保护水资源，改善水环境。</w:t>
      </w:r>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随着通川区经济的增长，用水急剧增加。在现有工程的挖潜、配套、改造的 基础上，加大节水力度，还应增加必要的骨干工程措施，加大水资源的开发力度，在此基础上，适时建设引提水工程，保障城乡供水安全，保障粮食生产安全，同时中部片区应当强化水环境治理，加大再生水回用力度，减少排污，减轻州河的污染物负荷。</w:t>
      </w:r>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通川区水资源时空分布不均现象，由于缺乏骨干水资源调蓄工程，调蓄能力不强，供水能力较低，供水保证率不高，在干旱年份常出现缺水现象，属于工程性缺水地区。水资源配置的重点应放在加大蓄水工程特别是控制性骨干工程的建设上，要在现有工程的挖潜、配套、改造的基础上，加大节水和水资源保护力度，加强人畜饮水工程的建设，保障城镇供水、农村人畜饮水和农田灌溉需水要求。对水资源问题较突出的地区，可根据实际情况进行区域引水来解决。同时，应根据通川区不同地区水资源及其开发利用特点和经济社会发展的需要以及水资源开发利用存在的不同问题，在水资源配置时采取不同的配置方向和措施。</w:t>
      </w:r>
    </w:p>
    <w:p>
      <w:pPr>
        <w:pStyle w:val="5"/>
        <w:rPr>
          <w:rFonts w:ascii="Times New Roman" w:hAnsi="Times New Roman"/>
          <w:color w:val="000000" w:themeColor="text1"/>
          <w14:textFill>
            <w14:solidFill>
              <w14:schemeClr w14:val="tx1"/>
            </w14:solidFill>
          </w14:textFill>
        </w:rPr>
      </w:pPr>
      <w:bookmarkStart w:id="192" w:name="_Toc11195"/>
      <w:r>
        <w:rPr>
          <w:rFonts w:ascii="Times New Roman" w:hAnsi="Times New Roman"/>
          <w:color w:val="000000" w:themeColor="text1"/>
          <w14:textFill>
            <w14:solidFill>
              <w14:schemeClr w14:val="tx1"/>
            </w14:solidFill>
          </w14:textFill>
        </w:rPr>
        <w:t>5.1.3  总体方针</w:t>
      </w:r>
      <w:bookmarkEnd w:id="192"/>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在水资源配置原则的指导下，以</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实现水资源可持续利用，促进人水和谐</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为基本理念，妥善处理好经济发展与水资源水环境承载能力的关系。根据不同供水区水资源及其开发利用特点和社会经济发展的需要以及水资源开发利用存在的不同问题，在配置时采取不同的配置方向和措施。</w:t>
      </w:r>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水资源配置的总体方针是：</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 充分利用丘陵区的建库条件，建设必要的骨干水源工程和修建小、微型水利工程，拦蓄当地径流，提高对区域当地径流的利用率。</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2大力建设引调水工程，作为城区第二水源为城市及周边乡镇提供生产生活用水，补充当地径流不足部分。</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3 严格控制地下水的开采量，原则在不增加地下水的开采量情况下，适当减少超采地区地下水开采，在保护生态环境的前提下，为城乡供水提供更多的辅助水量。</w:t>
      </w:r>
    </w:p>
    <w:p>
      <w:pPr>
        <w:spacing w:line="520" w:lineRule="exact"/>
        <w:ind w:firstLine="560"/>
        <w:rPr>
          <w:color w:val="000000" w:themeColor="text1"/>
          <w:kern w:val="0"/>
          <w14:textFill>
            <w14:solidFill>
              <w14:schemeClr w14:val="tx1"/>
            </w14:solidFill>
          </w14:textFill>
        </w:rPr>
      </w:pPr>
      <w:r>
        <w:rPr>
          <w:color w:val="000000" w:themeColor="text1"/>
          <w14:textFill>
            <w14:solidFill>
              <w14:schemeClr w14:val="tx1"/>
            </w14:solidFill>
          </w14:textFill>
        </w:rPr>
        <w:t>4 加大节水、治污力度，保护水质，改善区内中小河流水污染现状。</w:t>
      </w:r>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通川区的水资源配置首先要考虑对现有工程进行挖潜增供，即加强对灌区进行配套、扩建更新改造，提高供水的利用率，减少农业总用水量；其次，要加大节水力度，提高用水效率，一方面彻底解决供水缺口，同时有效地降低废物水排放量，减少污染；鉴于通川区骨干中型调蓄工程数量较少，区域缺少调蓄能力较大的水利设施，工程性缺水严重，根据通川区的实际情况，因地制宜地增加利用当地径流的中、小型水利工程；同时，通川区已存在水污染现象，必须加大废污水处理和再生水回用力度，加强水污染治理和保护。</w:t>
      </w:r>
    </w:p>
    <w:p>
      <w:pPr>
        <w:spacing w:line="520" w:lineRule="exact"/>
        <w:ind w:firstLine="560"/>
        <w:rPr>
          <w:color w:val="000000" w:themeColor="text1"/>
          <w:kern w:val="0"/>
          <w14:textFill>
            <w14:solidFill>
              <w14:schemeClr w14:val="tx1"/>
            </w14:solidFill>
          </w14:textFill>
        </w:rPr>
      </w:pPr>
      <w:r>
        <w:rPr>
          <w:color w:val="000000" w:themeColor="text1"/>
          <w:kern w:val="0"/>
          <w14:textFill>
            <w14:solidFill>
              <w14:schemeClr w14:val="tx1"/>
            </w14:solidFill>
          </w14:textFill>
        </w:rPr>
        <w:t>通川区水利工程建设滞后，但作为达州市主城区，通川区规划水平年城区人口及工农业增速巨大，对区域水资源开发与管理提出了巨大需求，要解决通川区的用水需求，一方面必须考虑兴建必要的水利工程，另一方面主要还必须依赖跨流域引调水，结合。</w:t>
      </w:r>
    </w:p>
    <w:p>
      <w:pPr>
        <w:pStyle w:val="4"/>
        <w:rPr>
          <w:rFonts w:ascii="Times New Roman" w:hAnsi="Times New Roman" w:cs="Times New Roman"/>
          <w:color w:val="000000" w:themeColor="text1"/>
          <w14:textFill>
            <w14:solidFill>
              <w14:schemeClr w14:val="tx1"/>
            </w14:solidFill>
          </w14:textFill>
        </w:rPr>
      </w:pPr>
      <w:bookmarkStart w:id="193" w:name="_Toc7558"/>
      <w:bookmarkStart w:id="194" w:name="_Toc4675"/>
      <w:bookmarkStart w:id="195" w:name="_Toc9009"/>
      <w:bookmarkStart w:id="196" w:name="_Toc22188"/>
      <w:bookmarkStart w:id="197" w:name="_Toc16501"/>
      <w:bookmarkStart w:id="198" w:name="_Toc12566"/>
      <w:bookmarkStart w:id="199" w:name="_Toc10091"/>
      <w:bookmarkStart w:id="200" w:name="_Toc8587"/>
      <w:r>
        <w:rPr>
          <w:rFonts w:ascii="Times New Roman" w:hAnsi="Times New Roman" w:cs="Times New Roman"/>
          <w:color w:val="000000" w:themeColor="text1"/>
          <w14:textFill>
            <w14:solidFill>
              <w14:schemeClr w14:val="tx1"/>
            </w14:solidFill>
          </w14:textFill>
        </w:rPr>
        <w:t>5.</w:t>
      </w:r>
      <w:bookmarkEnd w:id="193"/>
      <w:bookmarkEnd w:id="194"/>
      <w:bookmarkEnd w:id="195"/>
      <w:r>
        <w:rPr>
          <w:rFonts w:ascii="Times New Roman" w:hAnsi="Times New Roman" w:cs="Times New Roman"/>
          <w:color w:val="000000" w:themeColor="text1"/>
          <w14:textFill>
            <w14:solidFill>
              <w14:schemeClr w14:val="tx1"/>
            </w14:solidFill>
          </w14:textFill>
        </w:rPr>
        <w:t>2  水利工程布局方案</w:t>
      </w:r>
      <w:bookmarkEnd w:id="196"/>
      <w:bookmarkEnd w:id="197"/>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对通川区的供水现状、水资源总量和分布情况进行分析，规划水平年可供水量是在供需分析和方案比选过程中，充分考虑现有供水工程的供水潜力，考虑因工程性缺水而增加规划工程后所能提供的最大的供水量。因此，通川区规划可供水量，主要考虑跨行政区引调水工程、新建当地骨干蓄水工程、引水工程和灌区节水改造及续建配套工程。</w:t>
      </w:r>
    </w:p>
    <w:p>
      <w:pPr>
        <w:spacing w:line="540" w:lineRule="exact"/>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w:t>
      </w:r>
      <w:r>
        <w:rPr>
          <w:color w:val="000000" w:themeColor="text1"/>
          <w:szCs w:val="28"/>
          <w14:textFill>
            <w14:solidFill>
              <w14:schemeClr w14:val="tx1"/>
            </w14:solidFill>
          </w14:textFill>
        </w:rPr>
        <w:t>《达州市水资源综合规划报告》</w:t>
      </w:r>
      <w:r>
        <w:rPr>
          <w:rFonts w:hint="eastAsia"/>
          <w:color w:val="000000" w:themeColor="text1"/>
          <w:szCs w:val="28"/>
          <w14:textFill>
            <w14:solidFill>
              <w14:schemeClr w14:val="tx1"/>
            </w14:solidFill>
          </w14:textFill>
        </w:rPr>
        <w:t>，在通川区安云镇规划建设长滩湖水库，在宣汉县庆云乡规划建设长滩河水库。</w:t>
      </w:r>
    </w:p>
    <w:p>
      <w:pPr>
        <w:spacing w:line="540" w:lineRule="exact"/>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本次规划中，相应水库分别进行了名称调整，通川区安云镇规划建设安云水库，宣汉县庆云乡规划建设长滩湖水库。</w:t>
      </w:r>
    </w:p>
    <w:p>
      <w:pPr>
        <w:pStyle w:val="5"/>
        <w:rPr>
          <w:rFonts w:ascii="Times New Roman" w:hAnsi="Times New Roman"/>
          <w:color w:val="000000" w:themeColor="text1"/>
          <w14:textFill>
            <w14:solidFill>
              <w14:schemeClr w14:val="tx1"/>
            </w14:solidFill>
          </w14:textFill>
        </w:rPr>
      </w:pPr>
      <w:bookmarkStart w:id="201" w:name="_Toc13310"/>
      <w:r>
        <w:rPr>
          <w:rFonts w:hint="eastAsia" w:ascii="Times New Roman" w:hAnsi="Times New Roman"/>
          <w:color w:val="000000" w:themeColor="text1"/>
          <w14:textFill>
            <w14:solidFill>
              <w14:schemeClr w14:val="tx1"/>
            </w14:solidFill>
          </w14:textFill>
        </w:rPr>
        <w:t xml:space="preserve">5.2.1  </w:t>
      </w:r>
      <w:r>
        <w:rPr>
          <w:rFonts w:ascii="Times New Roman" w:hAnsi="Times New Roman"/>
          <w:color w:val="000000" w:themeColor="text1"/>
          <w14:textFill>
            <w14:solidFill>
              <w14:schemeClr w14:val="tx1"/>
            </w14:solidFill>
          </w14:textFill>
        </w:rPr>
        <w:t>跨行政区引调水工程</w:t>
      </w:r>
      <w:bookmarkEnd w:id="201"/>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宣汉县</w:t>
      </w:r>
      <w:r>
        <w:rPr>
          <w:rFonts w:hint="eastAsia"/>
          <w:color w:val="000000" w:themeColor="text1"/>
          <w14:textFill>
            <w14:solidFill>
              <w14:schemeClr w14:val="tx1"/>
            </w14:solidFill>
          </w14:textFill>
        </w:rPr>
        <w:t>长滩湖</w:t>
      </w:r>
      <w:r>
        <w:rPr>
          <w:color w:val="000000" w:themeColor="text1"/>
          <w14:textFill>
            <w14:solidFill>
              <w14:schemeClr w14:val="tx1"/>
            </w14:solidFill>
          </w14:textFill>
        </w:rPr>
        <w:t>水库位于巴河一级支流长滩河上游的鲁班河河段友谊电站处，距离宣汉县庆云乡场镇约4.0km，水库集雨面积402.0k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，水库的正常蓄水位可为415.00m。水库开发任务是为达州市城区和宣汉县提供生产生活用水，同时兼顾灌溉、旅游景观及生态用水。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大坝的最大坝高约85.0m，调节库容约8000万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 xml:space="preserve">，引用流量5.2 </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水库库区移民安置较少，移民人口约380人。为保证水质不被污染，水库到城区引水工程建筑物主要由隧洞、渡槽、暗渠组成，引水线路长度约40.0km，其间的控制性工程为罗家岩隧洞（连接安云镇与蒲家镇），初步估算总投资约10.0亿元。</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该工程不但可解决达州城区的生活饮用水问题，同时也解决了引水沿线庆云乡、青宁镇、碑庙镇、蒲家镇、魏家镇、东岳镇、罗江镇、双龙镇、复兴镇共10个乡镇的生活饮用水问题。</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根据通川区2035年水资源配置需求，宣汉县</w:t>
      </w:r>
      <w:r>
        <w:rPr>
          <w:rFonts w:hint="eastAsia"/>
          <w:color w:val="000000" w:themeColor="text1"/>
          <w14:textFill>
            <w14:solidFill>
              <w14:schemeClr w14:val="tx1"/>
            </w14:solidFill>
          </w14:textFill>
        </w:rPr>
        <w:t>长滩湖</w:t>
      </w:r>
      <w:r>
        <w:rPr>
          <w:color w:val="000000" w:themeColor="text1"/>
          <w14:textFill>
            <w14:solidFill>
              <w14:schemeClr w14:val="tx1"/>
            </w14:solidFill>
          </w14:textFill>
        </w:rPr>
        <w:t>水库可为通川区区及双龙河区北部片提供5000万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的生产生活供水，并为河道提供生态补水水量。</w:t>
      </w:r>
    </w:p>
    <w:p>
      <w:pPr>
        <w:spacing w:line="52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szCs w:val="28"/>
          <w14:textFill>
            <w14:solidFill>
              <w14:schemeClr w14:val="tx1"/>
            </w14:solidFill>
          </w14:textFill>
        </w:rPr>
        <w:t>《达州市水资源综合规划报告》</w:t>
      </w:r>
      <w:r>
        <w:rPr>
          <w:rFonts w:hint="eastAsia"/>
          <w:color w:val="000000" w:themeColor="text1"/>
          <w:szCs w:val="28"/>
          <w14:textFill>
            <w14:solidFill>
              <w14:schemeClr w14:val="tx1"/>
            </w14:solidFill>
          </w14:textFill>
        </w:rPr>
        <w:t>中，宣汉县长滩湖水库原名为长滩河水库工程，建设地点位于宣汉县庆云乡，规划总库容4000万m³，兴利库容2520万m³，该水库具有充足的规划依据。</w:t>
      </w:r>
    </w:p>
    <w:p>
      <w:pPr>
        <w:pStyle w:val="5"/>
        <w:rPr>
          <w:rFonts w:ascii="Times New Roman" w:hAnsi="Times New Roman"/>
          <w:color w:val="000000" w:themeColor="text1"/>
          <w14:textFill>
            <w14:solidFill>
              <w14:schemeClr w14:val="tx1"/>
            </w14:solidFill>
          </w14:textFill>
        </w:rPr>
      </w:pPr>
      <w:bookmarkStart w:id="202" w:name="_Toc4493"/>
      <w:r>
        <w:rPr>
          <w:rFonts w:hint="eastAsia" w:ascii="Times New Roman" w:hAnsi="Times New Roman"/>
          <w:color w:val="000000" w:themeColor="text1"/>
          <w14:textFill>
            <w14:solidFill>
              <w14:schemeClr w14:val="tx1"/>
            </w14:solidFill>
          </w14:textFill>
        </w:rPr>
        <w:t>5.2.2  当地骨干中型水库建设</w:t>
      </w:r>
      <w:bookmarkEnd w:id="202"/>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通过对通川区地形地质条件初步筛查，结合地方提供的资料，目前区域内具备建库条件的中型水库共计4座，分别为安云水库、车家河水库、老王沟水库、长滩河水库工程。</w:t>
      </w:r>
    </w:p>
    <w:p>
      <w:pPr>
        <w:numPr>
          <w:ilvl w:val="0"/>
          <w:numId w:val="5"/>
        </w:num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安云水库</w:t>
      </w:r>
    </w:p>
    <w:p>
      <w:pPr>
        <w:spacing w:line="520" w:lineRule="exact"/>
        <w:ind w:firstLine="560"/>
        <w:rPr>
          <w:color w:val="000000" w:themeColor="text1"/>
          <w14:textFill>
            <w14:solidFill>
              <w14:schemeClr w14:val="tx1"/>
            </w14:solidFill>
          </w14:textFill>
        </w:rPr>
      </w:pPr>
      <w:r>
        <w:rPr>
          <w:color w:val="000000" w:themeColor="text1"/>
          <w:szCs w:val="28"/>
          <w14:textFill>
            <w14:solidFill>
              <w14:schemeClr w14:val="tx1"/>
            </w14:solidFill>
          </w14:textFill>
        </w:rPr>
        <w:t>安云水库位于长滩河上游左岸</w:t>
      </w:r>
      <w:r>
        <w:rPr>
          <w:rFonts w:hint="eastAsia"/>
          <w:color w:val="000000" w:themeColor="text1"/>
          <w:szCs w:val="28"/>
          <w14:textFill>
            <w14:solidFill>
              <w14:schemeClr w14:val="tx1"/>
            </w14:solidFill>
          </w14:textFill>
        </w:rPr>
        <w:t>支流关门河</w:t>
      </w:r>
      <w:r>
        <w:rPr>
          <w:color w:val="000000" w:themeColor="text1"/>
          <w:szCs w:val="28"/>
          <w14:textFill>
            <w14:solidFill>
              <w14:schemeClr w14:val="tx1"/>
            </w14:solidFill>
          </w14:textFill>
        </w:rPr>
        <w:t>上</w:t>
      </w:r>
      <w:r>
        <w:rPr>
          <w:rFonts w:hint="eastAsia"/>
          <w:color w:val="000000" w:themeColor="text1"/>
          <w:szCs w:val="28"/>
          <w14:textFill>
            <w14:solidFill>
              <w14:schemeClr w14:val="tx1"/>
            </w14:solidFill>
          </w14:textFill>
        </w:rPr>
        <w:t>的</w:t>
      </w:r>
      <w:r>
        <w:rPr>
          <w:iCs/>
          <w:color w:val="000000" w:themeColor="text1"/>
          <w:szCs w:val="28"/>
          <w14:textFill>
            <w14:solidFill>
              <w14:schemeClr w14:val="tx1"/>
            </w14:solidFill>
          </w14:textFill>
        </w:rPr>
        <w:t>安云乡田家河坝</w:t>
      </w:r>
      <w:r>
        <w:rPr>
          <w:color w:val="000000" w:themeColor="text1"/>
          <w14:textFill>
            <w14:solidFill>
              <w14:schemeClr w14:val="tx1"/>
            </w14:solidFill>
          </w14:textFill>
        </w:rPr>
        <w:t>，坝址（东经107°29'41.53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，北纬31°28'01.97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）下距安云乡场镇约2.0km。</w:t>
      </w:r>
      <w:r>
        <w:rPr>
          <w:rFonts w:hint="eastAsia"/>
          <w:color w:val="000000" w:themeColor="text1"/>
          <w14:textFill>
            <w14:solidFill>
              <w14:schemeClr w14:val="tx1"/>
            </w14:solidFill>
          </w14:textFill>
        </w:rPr>
        <w:t>关门河</w:t>
      </w:r>
      <w:r>
        <w:rPr>
          <w:color w:val="000000" w:themeColor="text1"/>
          <w14:textFill>
            <w14:solidFill>
              <w14:schemeClr w14:val="tx1"/>
            </w14:solidFill>
          </w14:textFill>
        </w:rPr>
        <w:t>南起安云乡落花村，北至碑庙镇万福村汇入长滩河，由上至下流经安云乡、青宁镇、碑庙镇。全流域面积110k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，全长25km，河口流量1.45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安云水库开发任务是</w:t>
      </w:r>
      <w:r>
        <w:rPr>
          <w:rFonts w:hint="eastAsia"/>
          <w:color w:val="000000" w:themeColor="text1"/>
          <w:lang w:val="en-US" w:eastAsia="zh-CN"/>
          <w14:textFill>
            <w14:solidFill>
              <w14:schemeClr w14:val="tx1"/>
            </w14:solidFill>
          </w14:textFill>
        </w:rPr>
        <w:t>防洪、</w:t>
      </w:r>
      <w:r>
        <w:rPr>
          <w:color w:val="000000" w:themeColor="text1"/>
          <w14:textFill>
            <w14:solidFill>
              <w14:schemeClr w14:val="tx1"/>
            </w14:solidFill>
          </w14:textFill>
        </w:rPr>
        <w:t>灌溉、乡镇供水，兼顾改善环境等综合利用。建成后将解决引水沿线安云乡、青宁镇、碑庙镇、金石镇共4个乡镇的生活饮用水问题，设计灌面约5.8万亩。</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安云水库坝址河底高程375m，水库集雨面积44.8k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，坝址流量0.71</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/s，总库容2200万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，对应水位434.00m</w:t>
      </w:r>
      <w:r>
        <w:rPr>
          <w:rFonts w:hint="eastAsia"/>
          <w:color w:val="000000" w:themeColor="text1"/>
          <w14:textFill>
            <w14:solidFill>
              <w14:schemeClr w14:val="tx1"/>
            </w14:solidFill>
          </w14:textFill>
        </w:rPr>
        <w:t>；</w:t>
      </w:r>
      <w:r>
        <w:rPr>
          <w:iCs/>
          <w:color w:val="000000" w:themeColor="text1"/>
          <w:szCs w:val="28"/>
          <w14:textFill>
            <w14:solidFill>
              <w14:schemeClr w14:val="tx1"/>
            </w14:solidFill>
          </w14:textFill>
        </w:rPr>
        <w:t>死水位为385m，相应库容149万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正常蓄水位为430m，对应库容1807万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，调节库容1658万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r>
        <w:rPr>
          <w:color w:val="000000" w:themeColor="text1"/>
          <w14:textFill>
            <w14:solidFill>
              <w14:schemeClr w14:val="tx1"/>
            </w14:solidFill>
          </w14:textFill>
        </w:rPr>
        <w:t>年供水量约1625万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《达州市水资源综合规划报告》</w:t>
      </w:r>
      <w:r>
        <w:rPr>
          <w:rFonts w:hint="eastAsia"/>
          <w:color w:val="000000" w:themeColor="text1"/>
          <w14:textFill>
            <w14:solidFill>
              <w14:schemeClr w14:val="tx1"/>
            </w14:solidFill>
          </w14:textFill>
        </w:rPr>
        <w:t>中，通川区安云水库原名为长滩湖水库工程，</w:t>
      </w:r>
      <w:r>
        <w:rPr>
          <w:rFonts w:hint="eastAsia"/>
          <w:color w:val="000000" w:themeColor="text1"/>
          <w:szCs w:val="28"/>
          <w14:textFill>
            <w14:solidFill>
              <w14:schemeClr w14:val="tx1"/>
            </w14:solidFill>
          </w14:textFill>
        </w:rPr>
        <w:t>建设地点位于通川区安云乡，规划总库容2200万m³，兴利库容1720万m³，该水库具有充足的规划依据。</w:t>
      </w:r>
    </w:p>
    <w:p>
      <w:pPr>
        <w:numPr>
          <w:ilvl w:val="0"/>
          <w:numId w:val="5"/>
        </w:num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车家河水库</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车家河水库位于巴河一级支流长滩河右岸梓桐河支流当门河上，坝址（东经107°21'54.18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，北纬31°30'31.31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）下距当门河汇口约0.5km。当门河发源于平昌县泥龙镇小山村，于梓潼镇两河村汇入梓桐河（又名小杨河），全长15.4km，河口流量0.44</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/s，年径流量约1400万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车家河水库开发任务是以灌溉、乡镇供水为主，兼顾改善环境等综合利用。建成后将主要解决引水沿线梓桐镇、碑庙镇等乡镇的生活饮用水及灌溉用水问题，供水人口约3.6万人，设计灌面约3.4万亩。</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车家河水库坝址河底高程329m，水库集雨面积33k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，坝址流量0.44</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/s，总库容1300万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，对应水位367.00m。死库容134万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，有效库容985万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，年供水量约910万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numPr>
          <w:ilvl w:val="0"/>
          <w:numId w:val="5"/>
        </w:num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老王沟水库</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老王沟水库位于渠江一级支流洞滩河上，坝址（东经107°19'30.49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，北纬31°29'42.53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）下距江陵镇场镇约16km，至北山乡场镇直线距离约3km。洞滩河北起平昌县邱家镇万兴村，南至通川区江陵镇场镇入渠江，全流域面积147k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，全长31km，河口流量2.63</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/s。其中，洞滩河通川区段干流全长13km，流域内通川区主要支流2条，分别为龙滩河、大沟河。洞滩河干流通川区段北起北山镇，南至江陵镇汇入渠江，由上至下流经北山镇、江陵镇。</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老王沟水库开发任务是以灌溉、乡镇供水为主，兼顾改善环境等综合利用。建成后将主要解决引水沿线北山镇的生活饮用水及灌溉用水问题，供水人口约3.78万人，设计灌面约4.2万亩。</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老王沟水库坝址河底高程385m，水库集雨面积36k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，坝址流量0.6</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/s，总库容1600万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，对应水位468.00m</w:t>
      </w:r>
      <w:r>
        <w:rPr>
          <w:rFonts w:hint="eastAsia"/>
          <w:color w:val="000000" w:themeColor="text1"/>
          <w14:textFill>
            <w14:solidFill>
              <w14:schemeClr w14:val="tx1"/>
            </w14:solidFill>
          </w14:textFill>
        </w:rPr>
        <w:t>；</w:t>
      </w:r>
      <w:r>
        <w:rPr>
          <w:iCs/>
          <w:color w:val="000000" w:themeColor="text1"/>
          <w:szCs w:val="28"/>
          <w14:textFill>
            <w14:solidFill>
              <w14:schemeClr w14:val="tx1"/>
            </w14:solidFill>
          </w14:textFill>
        </w:rPr>
        <w:t>死水位为415m，相应库容104万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正常蓄水位为465m，对应库容1445万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，调节库容1342万</w:t>
      </w:r>
      <w:r>
        <w:rPr>
          <w:rFonts w:hint="eastAsia"/>
          <w:iCs/>
          <w:color w:val="000000" w:themeColor="text1"/>
          <w:szCs w:val="28"/>
          <w14:textFill>
            <w14:solidFill>
              <w14:schemeClr w14:val="tx1"/>
            </w14:solidFill>
          </w14:textFill>
        </w:rPr>
        <w:t>m³；</w:t>
      </w:r>
      <w:r>
        <w:rPr>
          <w:color w:val="000000" w:themeColor="text1"/>
          <w14:textFill>
            <w14:solidFill>
              <w14:schemeClr w14:val="tx1"/>
            </w14:solidFill>
          </w14:textFill>
        </w:rPr>
        <w:t>年供水量约1205万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numPr>
          <w:ilvl w:val="0"/>
          <w:numId w:val="5"/>
        </w:num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长滩河水库</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长滩河水库位于巴河一级支流长滩河江陵镇，坝址（东经107°14'44.38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，北纬31°23'10.69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下距撮箕口电站仅350m，距河口亦仅3.8km，对外交通较为方便，其周围无自然保护区。长滩河为巴河流域支流，发源于通川区西北红峰乡的四方山，南流折西南流经沿山、马渡(左纳花池河)，右纳平昌县的笔山，南流鲁班河，折南流经庆云(左纳关门河)，入达县境至碑庙上游(左纳梅家沟河)，下游(右纳大滩沟)，继续西南流经高坪、新溪乡，于新溪乡吴家沟注入巴河。控制流域面积913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，河流长度80km，平均坡降3.03‰，河口流量12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长滩河水库开发任务是以灌溉、乡镇供水及防洪为主，兼顾改善环境等综合利用。建成后将主要解决江陵镇、碑庙镇3万亩农田灌溉和2万人的饮水问题，同时有效缓解下游的防洪压力，新增蓄引提水能力6600万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长滩河水库坝址河底高程275m，水库集雨面积908k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，坝址流量11.9</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/s，总库容6600万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，对应最高水位310.00m。死库容1300万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，有效库容4000万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，防洪库容5500万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pStyle w:val="2"/>
        <w:ind w:firstLine="560"/>
        <w:rPr>
          <w:color w:val="000000" w:themeColor="text1"/>
          <w14:textFill>
            <w14:solidFill>
              <w14:schemeClr w14:val="tx1"/>
            </w14:solidFill>
          </w14:textFill>
        </w:rPr>
        <w:sectPr>
          <w:headerReference r:id="rId16" w:type="default"/>
          <w:pgSz w:w="11906" w:h="16838"/>
          <w:pgMar w:top="1440" w:right="1531" w:bottom="1440" w:left="1531" w:header="851" w:footer="737" w:gutter="0"/>
          <w:cols w:space="720" w:num="1"/>
          <w:docGrid w:linePitch="381" w:charSpace="0"/>
        </w:sectPr>
      </w:pP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iCs/>
          <w:color w:val="000000" w:themeColor="text1"/>
          <w14:textFill>
            <w14:solidFill>
              <w14:schemeClr w14:val="tx1"/>
            </w14:solidFill>
          </w14:textFill>
        </w:rPr>
      </w:pPr>
      <w:r>
        <w:rPr>
          <w:rFonts w:ascii="Times New Roman" w:hAnsi="Times New Roman"/>
          <w:b/>
          <w:bCs/>
          <w:i w:val="0"/>
          <w:iCs/>
          <w:color w:val="000000" w:themeColor="text1"/>
          <w14:textFill>
            <w14:solidFill>
              <w14:schemeClr w14:val="tx1"/>
            </w14:solidFill>
          </w14:textFill>
        </w:rPr>
        <w:t>表5.2.1  通川区规划中型水库统计表</w:t>
      </w:r>
    </w:p>
    <w:tbl>
      <w:tblPr>
        <w:tblStyle w:val="4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4"/>
        <w:gridCol w:w="534"/>
        <w:gridCol w:w="535"/>
        <w:gridCol w:w="535"/>
        <w:gridCol w:w="535"/>
        <w:gridCol w:w="535"/>
        <w:gridCol w:w="945"/>
        <w:gridCol w:w="1213"/>
        <w:gridCol w:w="897"/>
        <w:gridCol w:w="766"/>
        <w:gridCol w:w="536"/>
        <w:gridCol w:w="53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blHeader/>
        </w:trPr>
        <w:tc>
          <w:tcPr>
            <w:tcW w:w="30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序号</w:t>
            </w:r>
          </w:p>
        </w:tc>
        <w:tc>
          <w:tcPr>
            <w:tcW w:w="30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项目名称</w:t>
            </w:r>
          </w:p>
        </w:tc>
        <w:tc>
          <w:tcPr>
            <w:tcW w:w="30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拟建时间</w:t>
            </w:r>
          </w:p>
        </w:tc>
        <w:tc>
          <w:tcPr>
            <w:tcW w:w="30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类型</w:t>
            </w:r>
          </w:p>
        </w:tc>
        <w:tc>
          <w:tcPr>
            <w:tcW w:w="30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县</w:t>
            </w:r>
          </w:p>
        </w:tc>
        <w:tc>
          <w:tcPr>
            <w:tcW w:w="30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乡镇</w:t>
            </w:r>
          </w:p>
        </w:tc>
        <w:tc>
          <w:tcPr>
            <w:tcW w:w="532"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河流水系</w:t>
            </w:r>
          </w:p>
        </w:tc>
        <w:tc>
          <w:tcPr>
            <w:tcW w:w="683"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开发任务</w:t>
            </w:r>
          </w:p>
        </w:tc>
        <w:tc>
          <w:tcPr>
            <w:tcW w:w="505"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集水面积（k</w:t>
            </w:r>
            <w:r>
              <w:rPr>
                <w:rFonts w:hint="eastAsia" w:eastAsia="宋体"/>
                <w:color w:val="000000" w:themeColor="text1"/>
                <w:kern w:val="0"/>
                <w:sz w:val="21"/>
                <w:szCs w:val="21"/>
                <w:lang w:bidi="ar"/>
                <w14:textFill>
                  <w14:solidFill>
                    <w14:schemeClr w14:val="tx1"/>
                  </w14:solidFill>
                </w14:textFill>
              </w:rPr>
              <w:t>m²</w:t>
            </w:r>
            <w:r>
              <w:rPr>
                <w:rFonts w:eastAsia="宋体"/>
                <w:color w:val="000000" w:themeColor="text1"/>
                <w:kern w:val="0"/>
                <w:sz w:val="21"/>
                <w:szCs w:val="21"/>
                <w:lang w:bidi="ar"/>
                <w14:textFill>
                  <w14:solidFill>
                    <w14:schemeClr w14:val="tx1"/>
                  </w14:solidFill>
                </w14:textFill>
              </w:rPr>
              <w:t>）</w:t>
            </w:r>
          </w:p>
        </w:tc>
        <w:tc>
          <w:tcPr>
            <w:tcW w:w="43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总库容（万</w:t>
            </w:r>
            <w:r>
              <w:rPr>
                <w:rFonts w:hint="eastAsia" w:eastAsia="宋体"/>
                <w:color w:val="000000" w:themeColor="text1"/>
                <w:kern w:val="0"/>
                <w:sz w:val="21"/>
                <w:szCs w:val="21"/>
                <w:lang w:bidi="ar"/>
                <w14:textFill>
                  <w14:solidFill>
                    <w14:schemeClr w14:val="tx1"/>
                  </w14:solidFill>
                </w14:textFill>
              </w:rPr>
              <w:t>m³</w:t>
            </w:r>
            <w:r>
              <w:rPr>
                <w:rFonts w:eastAsia="宋体"/>
                <w:color w:val="000000" w:themeColor="text1"/>
                <w:kern w:val="0"/>
                <w:sz w:val="21"/>
                <w:szCs w:val="21"/>
                <w:lang w:bidi="ar"/>
                <w14:textFill>
                  <w14:solidFill>
                    <w14:schemeClr w14:val="tx1"/>
                  </w14:solidFill>
                </w14:textFill>
              </w:rPr>
              <w:t>）</w:t>
            </w:r>
          </w:p>
        </w:tc>
        <w:tc>
          <w:tcPr>
            <w:tcW w:w="302"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兴利库容（万</w:t>
            </w:r>
            <w:r>
              <w:rPr>
                <w:rFonts w:hint="eastAsia" w:eastAsia="宋体"/>
                <w:color w:val="000000" w:themeColor="text1"/>
                <w:kern w:val="0"/>
                <w:sz w:val="21"/>
                <w:szCs w:val="21"/>
                <w:lang w:bidi="ar"/>
                <w14:textFill>
                  <w14:solidFill>
                    <w14:schemeClr w14:val="tx1"/>
                  </w14:solidFill>
                </w14:textFill>
              </w:rPr>
              <w:t>m³</w:t>
            </w:r>
            <w:r>
              <w:rPr>
                <w:rFonts w:eastAsia="宋体"/>
                <w:color w:val="000000" w:themeColor="text1"/>
                <w:kern w:val="0"/>
                <w:sz w:val="21"/>
                <w:szCs w:val="21"/>
                <w:lang w:bidi="ar"/>
                <w14:textFill>
                  <w14:solidFill>
                    <w14:schemeClr w14:val="tx1"/>
                  </w14:solidFill>
                </w14:textFill>
              </w:rPr>
              <w:t>）</w:t>
            </w:r>
          </w:p>
        </w:tc>
        <w:tc>
          <w:tcPr>
            <w:tcW w:w="302"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设计灌面（万亩）</w:t>
            </w:r>
          </w:p>
        </w:tc>
        <w:tc>
          <w:tcPr>
            <w:tcW w:w="431" w:type="pct"/>
            <w:vMerge w:val="restar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供水量（万</w:t>
            </w:r>
            <w:r>
              <w:rPr>
                <w:rFonts w:hint="eastAsia" w:eastAsia="宋体"/>
                <w:color w:val="000000" w:themeColor="text1"/>
                <w:kern w:val="0"/>
                <w:sz w:val="21"/>
                <w:szCs w:val="21"/>
                <w:lang w:bidi="ar"/>
                <w14:textFill>
                  <w14:solidFill>
                    <w14:schemeClr w14:val="tx1"/>
                  </w14:solidFill>
                </w14:textFill>
              </w:rPr>
              <w:t>m³</w:t>
            </w:r>
            <w:r>
              <w:rPr>
                <w:rFonts w:eastAsia="宋体"/>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blHeader/>
        </w:trPr>
        <w:tc>
          <w:tcPr>
            <w:tcW w:w="30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532"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683"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505"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43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2"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02"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431" w:type="pct"/>
            <w:vMerge w:val="continue"/>
            <w:tcMar>
              <w:top w:w="15" w:type="dxa"/>
              <w:left w:w="15" w:type="dxa"/>
              <w:right w:w="15" w:type="dxa"/>
            </w:tcMar>
            <w:vAlign w:val="center"/>
          </w:tcPr>
          <w:p>
            <w:pPr>
              <w:spacing w:line="240" w:lineRule="auto"/>
              <w:ind w:firstLine="0" w:firstLineChars="0"/>
              <w:jc w:val="center"/>
              <w:rPr>
                <w:rFonts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安云水库</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中型</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通川区</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安云乡</w:t>
            </w:r>
          </w:p>
        </w:tc>
        <w:tc>
          <w:tcPr>
            <w:tcW w:w="53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渠江.巴河.长滩河.施家河</w:t>
            </w:r>
          </w:p>
        </w:tc>
        <w:tc>
          <w:tcPr>
            <w:tcW w:w="683"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kern w:val="0"/>
                <w:sz w:val="21"/>
                <w:szCs w:val="21"/>
                <w:lang w:val="en-US" w:eastAsia="zh-CN" w:bidi="ar"/>
                <w14:textFill>
                  <w14:solidFill>
                    <w14:schemeClr w14:val="tx1"/>
                  </w14:solidFill>
                </w14:textFill>
              </w:rPr>
              <w:t>防洪、</w:t>
            </w:r>
            <w:r>
              <w:rPr>
                <w:rFonts w:eastAsia="宋体"/>
                <w:color w:val="000000" w:themeColor="text1"/>
                <w:kern w:val="0"/>
                <w:sz w:val="21"/>
                <w:szCs w:val="21"/>
                <w:lang w:bidi="ar"/>
                <w14:textFill>
                  <w14:solidFill>
                    <w14:schemeClr w14:val="tx1"/>
                  </w14:solidFill>
                </w14:textFill>
              </w:rPr>
              <w:t>灌溉、乡镇供水，兼顾改善环境等综合利用</w:t>
            </w:r>
          </w:p>
        </w:tc>
        <w:tc>
          <w:tcPr>
            <w:tcW w:w="505"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44.8</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2200</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1658</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5.18</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车家河水库</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中型</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通川区</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梓桐镇</w:t>
            </w:r>
          </w:p>
        </w:tc>
        <w:tc>
          <w:tcPr>
            <w:tcW w:w="53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渠江.巴河.长滩河.梓桐河</w:t>
            </w:r>
          </w:p>
        </w:tc>
        <w:tc>
          <w:tcPr>
            <w:tcW w:w="683"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以灌溉、乡镇供水为主，兼顾改善环境等综合利用</w:t>
            </w:r>
          </w:p>
        </w:tc>
        <w:tc>
          <w:tcPr>
            <w:tcW w:w="505"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33</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1300</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985</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3.4</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老王沟水库</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中型</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通川区</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江陵镇</w:t>
            </w:r>
          </w:p>
        </w:tc>
        <w:tc>
          <w:tcPr>
            <w:tcW w:w="53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渠江.洞滩河</w:t>
            </w:r>
          </w:p>
        </w:tc>
        <w:tc>
          <w:tcPr>
            <w:tcW w:w="683"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以灌溉、乡镇供水为主，兼顾改善环境等综合利用</w:t>
            </w:r>
          </w:p>
        </w:tc>
        <w:tc>
          <w:tcPr>
            <w:tcW w:w="505"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36</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1600</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1342</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4.2</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长滩河水库</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中型</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通川区</w:t>
            </w:r>
          </w:p>
        </w:tc>
        <w:tc>
          <w:tcPr>
            <w:tcW w:w="30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江陵镇</w:t>
            </w:r>
          </w:p>
        </w:tc>
        <w:tc>
          <w:tcPr>
            <w:tcW w:w="53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渠江.巴河.长滩河</w:t>
            </w:r>
          </w:p>
        </w:tc>
        <w:tc>
          <w:tcPr>
            <w:tcW w:w="683"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以灌溉、乡镇供水及防洪为主，兼顾改善环境等综合利用</w:t>
            </w:r>
          </w:p>
        </w:tc>
        <w:tc>
          <w:tcPr>
            <w:tcW w:w="505"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908</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6600</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4000</w:t>
            </w:r>
          </w:p>
        </w:tc>
        <w:tc>
          <w:tcPr>
            <w:tcW w:w="302"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w:t>
            </w:r>
          </w:p>
        </w:tc>
        <w:tc>
          <w:tcPr>
            <w:tcW w:w="431" w:type="pct"/>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6600</w:t>
            </w:r>
          </w:p>
        </w:tc>
      </w:tr>
    </w:tbl>
    <w:p>
      <w:pPr>
        <w:spacing w:line="520" w:lineRule="exact"/>
        <w:ind w:firstLine="560"/>
        <w:rPr>
          <w:color w:val="000000" w:themeColor="text1"/>
          <w14:textFill>
            <w14:solidFill>
              <w14:schemeClr w14:val="tx1"/>
            </w14:solidFill>
          </w14:textFill>
        </w:rPr>
        <w:sectPr>
          <w:pgSz w:w="11906" w:h="16838"/>
          <w:pgMar w:top="1440" w:right="1531" w:bottom="1440" w:left="1531" w:header="851" w:footer="737" w:gutter="0"/>
          <w:cols w:space="720" w:num="1"/>
          <w:docGrid w:linePitch="381" w:charSpace="0"/>
        </w:sectPr>
      </w:pPr>
      <w:bookmarkStart w:id="203" w:name="_Toc10363"/>
    </w:p>
    <w:p>
      <w:pPr>
        <w:pStyle w:val="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5.2.3  小型水库建设</w:t>
      </w:r>
      <w:bookmarkEnd w:id="203"/>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2021～2035年规划建设27座小型水库，其中小（1）型水库6座，小（2）型水库21座，合计兴利库容1443万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通川区规划小型水库见表5.2.2。</w:t>
      </w:r>
    </w:p>
    <w:p>
      <w:pPr>
        <w:spacing w:line="520" w:lineRule="exact"/>
        <w:ind w:firstLine="0" w:firstLineChars="0"/>
        <w:jc w:val="center"/>
        <w:rPr>
          <w:b/>
          <w:bCs/>
          <w:iCs/>
          <w:color w:val="000000" w:themeColor="text1"/>
          <w14:textFill>
            <w14:solidFill>
              <w14:schemeClr w14:val="tx1"/>
            </w14:solidFill>
          </w14:textFill>
        </w:rPr>
      </w:pPr>
      <w:r>
        <w:rPr>
          <w:b/>
          <w:bCs/>
          <w:iCs/>
          <w:color w:val="000000" w:themeColor="text1"/>
          <w14:textFill>
            <w14:solidFill>
              <w14:schemeClr w14:val="tx1"/>
            </w14:solidFill>
          </w14:textFill>
        </w:rPr>
        <w:t>表5.2.2  通川区规划小型水库统计表</w:t>
      </w:r>
    </w:p>
    <w:tbl>
      <w:tblPr>
        <w:tblStyle w:val="40"/>
        <w:tblW w:w="0" w:type="auto"/>
        <w:tblInd w:w="91" w:type="dxa"/>
        <w:tblLayout w:type="fixed"/>
        <w:tblCellMar>
          <w:top w:w="0" w:type="dxa"/>
          <w:left w:w="108" w:type="dxa"/>
          <w:bottom w:w="0" w:type="dxa"/>
          <w:right w:w="108" w:type="dxa"/>
        </w:tblCellMar>
      </w:tblPr>
      <w:tblGrid>
        <w:gridCol w:w="426"/>
        <w:gridCol w:w="1440"/>
        <w:gridCol w:w="1165"/>
        <w:gridCol w:w="990"/>
        <w:gridCol w:w="1035"/>
        <w:gridCol w:w="900"/>
        <w:gridCol w:w="746"/>
        <w:gridCol w:w="1056"/>
        <w:gridCol w:w="1110"/>
      </w:tblGrid>
      <w:tr>
        <w:tblPrEx>
          <w:tblCellMar>
            <w:top w:w="0" w:type="dxa"/>
            <w:left w:w="108" w:type="dxa"/>
            <w:bottom w:w="0" w:type="dxa"/>
            <w:right w:w="108" w:type="dxa"/>
          </w:tblCellMar>
        </w:tblPrEx>
        <w:trPr>
          <w:trHeight w:val="637" w:hRule="atLeast"/>
          <w:tblHeader/>
        </w:trPr>
        <w:tc>
          <w:tcPr>
            <w:tcW w:w="42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序号</w:t>
            </w:r>
          </w:p>
        </w:tc>
        <w:tc>
          <w:tcPr>
            <w:tcW w:w="1440"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水库名称</w:t>
            </w:r>
          </w:p>
        </w:tc>
        <w:tc>
          <w:tcPr>
            <w:tcW w:w="1165"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水库级别</w:t>
            </w:r>
          </w:p>
        </w:tc>
        <w:tc>
          <w:tcPr>
            <w:tcW w:w="990"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所在乡镇</w:t>
            </w:r>
          </w:p>
        </w:tc>
        <w:tc>
          <w:tcPr>
            <w:tcW w:w="1035"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总库容（万</w:t>
            </w:r>
            <w:r>
              <w:rPr>
                <w:rFonts w:hint="eastAsia" w:eastAsia="宋体"/>
                <w:color w:val="000000" w:themeColor="text1"/>
                <w:kern w:val="0"/>
                <w:sz w:val="21"/>
                <w:szCs w:val="21"/>
                <w:lang w:bidi="ar"/>
                <w14:textFill>
                  <w14:solidFill>
                    <w14:schemeClr w14:val="tx1"/>
                  </w14:solidFill>
                </w14:textFill>
              </w:rPr>
              <w:t>m³</w:t>
            </w:r>
            <w:r>
              <w:rPr>
                <w:rFonts w:eastAsia="宋体"/>
                <w:color w:val="000000" w:themeColor="text1"/>
                <w:kern w:val="0"/>
                <w:sz w:val="21"/>
                <w:szCs w:val="21"/>
                <w:lang w:bidi="ar"/>
                <w14:textFill>
                  <w14:solidFill>
                    <w14:schemeClr w14:val="tx1"/>
                  </w14:solidFill>
                </w14:textFill>
              </w:rPr>
              <w:t>）</w:t>
            </w:r>
          </w:p>
        </w:tc>
        <w:tc>
          <w:tcPr>
            <w:tcW w:w="900"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兴利库容（万</w:t>
            </w:r>
            <w:r>
              <w:rPr>
                <w:rFonts w:hint="eastAsia" w:eastAsia="宋体"/>
                <w:color w:val="000000" w:themeColor="text1"/>
                <w:kern w:val="0"/>
                <w:sz w:val="21"/>
                <w:szCs w:val="21"/>
                <w:lang w:bidi="ar"/>
                <w14:textFill>
                  <w14:solidFill>
                    <w14:schemeClr w14:val="tx1"/>
                  </w14:solidFill>
                </w14:textFill>
              </w:rPr>
              <w:t>m³</w:t>
            </w:r>
            <w:r>
              <w:rPr>
                <w:rFonts w:eastAsia="宋体"/>
                <w:color w:val="000000" w:themeColor="text1"/>
                <w:kern w:val="0"/>
                <w:sz w:val="21"/>
                <w:szCs w:val="21"/>
                <w:lang w:bidi="ar"/>
                <w14:textFill>
                  <w14:solidFill>
                    <w14:schemeClr w14:val="tx1"/>
                  </w14:solidFill>
                </w14:textFill>
              </w:rPr>
              <w:t>）</w:t>
            </w:r>
          </w:p>
        </w:tc>
        <w:tc>
          <w:tcPr>
            <w:tcW w:w="746"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设计灌面（亩）</w:t>
            </w:r>
          </w:p>
        </w:tc>
        <w:tc>
          <w:tcPr>
            <w:tcW w:w="1056"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开发任务</w:t>
            </w:r>
          </w:p>
        </w:tc>
        <w:tc>
          <w:tcPr>
            <w:tcW w:w="1110" w:type="dxa"/>
            <w:vMerge w:val="restart"/>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建设时序</w:t>
            </w:r>
          </w:p>
        </w:tc>
      </w:tr>
      <w:tr>
        <w:tblPrEx>
          <w:tblCellMar>
            <w:top w:w="0" w:type="dxa"/>
            <w:left w:w="108" w:type="dxa"/>
            <w:bottom w:w="0" w:type="dxa"/>
            <w:right w:w="108" w:type="dxa"/>
          </w:tblCellMar>
        </w:tblPrEx>
        <w:trPr>
          <w:trHeight w:val="362" w:hRule="atLeast"/>
        </w:trPr>
        <w:tc>
          <w:tcPr>
            <w:tcW w:w="42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1440"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1165"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990"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1035"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900"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746"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1056"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c>
          <w:tcPr>
            <w:tcW w:w="1110" w:type="dxa"/>
            <w:vMerge w:val="continue"/>
            <w:tcBorders>
              <w:top w:val="single" w:color="000000" w:sz="8" w:space="0"/>
              <w:left w:val="nil"/>
              <w:bottom w:val="single" w:color="000000" w:sz="8" w:space="0"/>
              <w:right w:val="single" w:color="000000" w:sz="8" w:space="0"/>
            </w:tcBorders>
            <w:shd w:val="clear" w:color="auto" w:fill="FFFFFF"/>
            <w:vAlign w:val="center"/>
          </w:tcPr>
          <w:p>
            <w:pPr>
              <w:ind w:firstLine="0" w:firstLineChars="0"/>
              <w:jc w:val="center"/>
              <w:rPr>
                <w:rFonts w:eastAsia="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旱田湾水库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小（一）型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罗江镇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160</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1800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kern w:val="0"/>
                <w:sz w:val="21"/>
                <w:szCs w:val="21"/>
                <w:lang w:val="en-US" w:eastAsia="zh-CN" w:bidi="ar"/>
                <w14:textFill>
                  <w14:solidFill>
                    <w14:schemeClr w14:val="tx1"/>
                  </w14:solidFill>
                </w14:textFill>
              </w:rPr>
              <w:t>防洪、</w:t>
            </w:r>
            <w:r>
              <w:rPr>
                <w:rFonts w:eastAsia="宋体"/>
                <w:color w:val="000000" w:themeColor="text1"/>
                <w:kern w:val="0"/>
                <w:sz w:val="21"/>
                <w:szCs w:val="21"/>
                <w:lang w:bidi="ar"/>
                <w14:textFill>
                  <w14:solidFill>
                    <w14:schemeClr w14:val="tx1"/>
                  </w14:solidFill>
                </w14:textFill>
              </w:rPr>
              <w:t>灌溉</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石伏沟水库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小（一）型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102</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80</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kern w:val="0"/>
                <w:sz w:val="21"/>
                <w:szCs w:val="21"/>
                <w:lang w:val="en-US" w:eastAsia="zh-CN" w:bidi="ar"/>
                <w14:textFill>
                  <w14:solidFill>
                    <w14:schemeClr w14:val="tx1"/>
                  </w14:solidFill>
                </w14:textFill>
              </w:rPr>
              <w:t>防洪、</w:t>
            </w:r>
            <w:r>
              <w:rPr>
                <w:rFonts w:eastAsia="宋体"/>
                <w:color w:val="000000" w:themeColor="text1"/>
                <w:kern w:val="0"/>
                <w:sz w:val="21"/>
                <w:szCs w:val="21"/>
                <w:lang w:bidi="ar"/>
                <w14:textFill>
                  <w14:solidFill>
                    <w14:schemeClr w14:val="tx1"/>
                  </w14:solidFill>
                </w14:textFill>
              </w:rPr>
              <w:t>灌溉</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蟠龙湖水库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磐石镇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108</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850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中坪水库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碑庙镇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41</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kern w:val="0"/>
                <w:sz w:val="21"/>
                <w:szCs w:val="21"/>
                <w:lang w:bidi="ar"/>
                <w14:textFill>
                  <w14:solidFill>
                    <w14:schemeClr w14:val="tx1"/>
                  </w14:solidFill>
                </w14:textFill>
              </w:rPr>
              <w:t>石盘沟水库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金石镇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1600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易家沟水库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青宁镇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22</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15</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7</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诸仙湖水库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罗江镇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57</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44</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王家沟水库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金石镇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32</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挖断山水库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86</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76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1700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万家沟水库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小（一）型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青宁镇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120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67</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1700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11</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碑桥水库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小（一）型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蒲家镇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120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12</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天观桥水库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小（一）型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磐石镇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120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100</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13</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元盘水库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小（一）型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江陵镇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300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240</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2500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14</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邓家河水库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35</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15</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盐井沟水库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22</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15</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16</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潘家沟水库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13</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17</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老沟河水库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金石镇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13</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18</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宝泉河水库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梓桐镇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15</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11</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19</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天生水库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梓桐镇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61</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49</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560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大堰河水库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金石镇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24</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17</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520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21</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李家河水库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宝石村</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32</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22</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660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22</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罐子沟水库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北山镇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25</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18</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550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23</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杨家沟水库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罗江镇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57</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46</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880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24</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毛家沟水库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35</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28</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25</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宝石水库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蒲家镇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48</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700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26</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三角湾水库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蒲家镇</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35</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25</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680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r>
        <w:tblPrEx>
          <w:tblCellMar>
            <w:top w:w="0" w:type="dxa"/>
            <w:left w:w="108" w:type="dxa"/>
            <w:bottom w:w="0" w:type="dxa"/>
            <w:right w:w="108" w:type="dxa"/>
          </w:tblCellMar>
        </w:tblPrEx>
        <w:trPr>
          <w:trHeight w:val="340"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27</w:t>
            </w:r>
          </w:p>
        </w:tc>
        <w:tc>
          <w:tcPr>
            <w:tcW w:w="144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水洞子水库</w:t>
            </w:r>
          </w:p>
        </w:tc>
        <w:tc>
          <w:tcPr>
            <w:tcW w:w="116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小（二）型</w:t>
            </w:r>
          </w:p>
        </w:tc>
        <w:tc>
          <w:tcPr>
            <w:tcW w:w="990"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安云乡</w:t>
            </w:r>
          </w:p>
        </w:tc>
        <w:tc>
          <w:tcPr>
            <w:tcW w:w="1035" w:type="dxa"/>
            <w:tcBorders>
              <w:top w:val="single" w:color="000000" w:sz="8" w:space="0"/>
              <w:left w:val="nil"/>
              <w:bottom w:val="single" w:color="000000" w:sz="8" w:space="0"/>
              <w:right w:val="single" w:color="000000" w:sz="8"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40</w:t>
            </w:r>
          </w:p>
        </w:tc>
        <w:tc>
          <w:tcPr>
            <w:tcW w:w="900"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28</w:t>
            </w:r>
          </w:p>
        </w:tc>
        <w:tc>
          <w:tcPr>
            <w:tcW w:w="74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660</w:t>
            </w:r>
          </w:p>
        </w:tc>
        <w:tc>
          <w:tcPr>
            <w:tcW w:w="1056" w:type="dxa"/>
            <w:tcBorders>
              <w:top w:val="single" w:color="000000" w:sz="8" w:space="0"/>
              <w:left w:val="nil"/>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灌溉为主</w:t>
            </w:r>
          </w:p>
        </w:tc>
        <w:tc>
          <w:tcPr>
            <w:tcW w:w="1110" w:type="dxa"/>
            <w:tcBorders>
              <w:top w:val="single" w:color="000000" w:sz="8" w:space="0"/>
              <w:left w:val="nil"/>
              <w:bottom w:val="single" w:color="000000" w:sz="8" w:space="0"/>
              <w:right w:val="single" w:color="000000" w:sz="8" w:space="0"/>
            </w:tcBorders>
            <w:noWrap/>
            <w:vAlign w:val="center"/>
          </w:tcPr>
          <w:p>
            <w:pPr>
              <w:widowControl/>
              <w:spacing w:line="240" w:lineRule="auto"/>
              <w:ind w:firstLine="0" w:firstLineChars="0"/>
              <w:jc w:val="left"/>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2035年前</w:t>
            </w:r>
          </w:p>
        </w:tc>
      </w:tr>
    </w:tbl>
    <w:p>
      <w:pPr>
        <w:pStyle w:val="5"/>
        <w:rPr>
          <w:rFonts w:ascii="Times New Roman" w:hAnsi="Times New Roman"/>
          <w:color w:val="000000" w:themeColor="text1"/>
          <w14:textFill>
            <w14:solidFill>
              <w14:schemeClr w14:val="tx1"/>
            </w14:solidFill>
          </w14:textFill>
        </w:rPr>
      </w:pPr>
      <w:bookmarkStart w:id="204" w:name="_Toc25674"/>
      <w:r>
        <w:rPr>
          <w:rFonts w:hint="eastAsia" w:ascii="Times New Roman" w:hAnsi="Times New Roman"/>
          <w:color w:val="000000" w:themeColor="text1"/>
          <w14:textFill>
            <w14:solidFill>
              <w14:schemeClr w14:val="tx1"/>
            </w14:solidFill>
          </w14:textFill>
        </w:rPr>
        <w:t>5.2.4  灌区节水改造</w:t>
      </w:r>
      <w:bookmarkEnd w:id="204"/>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灌区节水改造工程的主要任务是在灌区新建、整治支渠和斗渠，衬砌现有渠系，进行节水改造，改善灌区的灌溉条件，提高灌区供水的保证率。至2025年，通川区灌溉水利用系数从0.491调高到0.55；至2030年，通川区灌溉水利用系数从0.55调高到0.60；至2035年，通川区灌溉水利用系数从0.55调高到0.63。</w:t>
      </w:r>
    </w:p>
    <w:p>
      <w:pPr>
        <w:pStyle w:val="5"/>
        <w:rPr>
          <w:rFonts w:ascii="Times New Roman" w:hAnsi="Times New Roman"/>
          <w:color w:val="000000" w:themeColor="text1"/>
          <w14:textFill>
            <w14:solidFill>
              <w14:schemeClr w14:val="tx1"/>
            </w14:solidFill>
          </w14:textFill>
        </w:rPr>
      </w:pPr>
      <w:bookmarkStart w:id="205" w:name="_Toc16581"/>
      <w:r>
        <w:rPr>
          <w:rFonts w:hint="eastAsia" w:ascii="Times New Roman" w:hAnsi="Times New Roman"/>
          <w:color w:val="000000" w:themeColor="text1"/>
          <w14:textFill>
            <w14:solidFill>
              <w14:schemeClr w14:val="tx1"/>
            </w14:solidFill>
          </w14:textFill>
        </w:rPr>
        <w:t>5.2.5  小微型水利工程建设</w:t>
      </w:r>
      <w:bookmarkEnd w:id="205"/>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在通川区盆地边缘区和丘陵区耕地和人口较分散，海拔较高，地形地貌复杂多变，建设小微型水利工程，即塘坝、水池、水窖、泵站和水渠工程。通川区规划小微型水利工程见表5.2.3。</w:t>
      </w: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iCs/>
          <w:color w:val="000000" w:themeColor="text1"/>
          <w14:textFill>
            <w14:solidFill>
              <w14:schemeClr w14:val="tx1"/>
            </w14:solidFill>
          </w14:textFill>
        </w:rPr>
      </w:pPr>
      <w:r>
        <w:rPr>
          <w:rFonts w:ascii="Times New Roman" w:hAnsi="Times New Roman"/>
          <w:b/>
          <w:bCs/>
          <w:i w:val="0"/>
          <w:iCs/>
          <w:color w:val="000000" w:themeColor="text1"/>
          <w14:textFill>
            <w14:solidFill>
              <w14:schemeClr w14:val="tx1"/>
            </w14:solidFill>
          </w14:textFill>
        </w:rPr>
        <w:t>表5.2.3  通川区规划小微型水利工程统计表</w:t>
      </w:r>
    </w:p>
    <w:tbl>
      <w:tblPr>
        <w:tblStyle w:val="40"/>
        <w:tblW w:w="4998" w:type="pct"/>
        <w:tblInd w:w="0" w:type="dxa"/>
        <w:tblLayout w:type="autofit"/>
        <w:tblCellMar>
          <w:top w:w="15" w:type="dxa"/>
          <w:left w:w="15" w:type="dxa"/>
          <w:bottom w:w="15" w:type="dxa"/>
          <w:right w:w="15" w:type="dxa"/>
        </w:tblCellMar>
      </w:tblPr>
      <w:tblGrid>
        <w:gridCol w:w="1476"/>
        <w:gridCol w:w="1476"/>
        <w:gridCol w:w="1483"/>
        <w:gridCol w:w="1476"/>
        <w:gridCol w:w="1476"/>
        <w:gridCol w:w="1483"/>
      </w:tblGrid>
      <w:tr>
        <w:tblPrEx>
          <w:tblCellMar>
            <w:top w:w="15" w:type="dxa"/>
            <w:left w:w="15" w:type="dxa"/>
            <w:bottom w:w="15" w:type="dxa"/>
            <w:right w:w="15" w:type="dxa"/>
          </w:tblCellMar>
        </w:tblPrEx>
        <w:trPr>
          <w:trHeight w:val="397" w:hRule="atLeast"/>
        </w:trPr>
        <w:tc>
          <w:tcPr>
            <w:tcW w:w="25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山坪塘</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窖池</w:t>
            </w:r>
          </w:p>
        </w:tc>
      </w:tr>
      <w:tr>
        <w:tblPrEx>
          <w:tblCellMar>
            <w:top w:w="15" w:type="dxa"/>
            <w:left w:w="15" w:type="dxa"/>
            <w:bottom w:w="15" w:type="dxa"/>
            <w:right w:w="15" w:type="dxa"/>
          </w:tblCellMar>
        </w:tblPrEx>
        <w:trPr>
          <w:trHeight w:val="400" w:hRule="atLeast"/>
        </w:trPr>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个数</w:t>
            </w:r>
          </w:p>
        </w:tc>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容积</w:t>
            </w:r>
          </w:p>
        </w:tc>
        <w:tc>
          <w:tcPr>
            <w:tcW w:w="8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实际灌面</w:t>
            </w:r>
          </w:p>
        </w:tc>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个数</w:t>
            </w:r>
          </w:p>
        </w:tc>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容积</w:t>
            </w:r>
          </w:p>
        </w:tc>
        <w:tc>
          <w:tcPr>
            <w:tcW w:w="834"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实际灌面</w:t>
            </w:r>
          </w:p>
        </w:tc>
      </w:tr>
      <w:tr>
        <w:tblPrEx>
          <w:tblCellMar>
            <w:top w:w="15" w:type="dxa"/>
            <w:left w:w="15" w:type="dxa"/>
            <w:bottom w:w="15" w:type="dxa"/>
            <w:right w:w="15" w:type="dxa"/>
          </w:tblCellMar>
        </w:tblPrEx>
        <w:trPr>
          <w:trHeight w:val="397" w:hRule="atLeast"/>
        </w:trPr>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610</w:t>
            </w:r>
          </w:p>
        </w:tc>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488</w:t>
            </w:r>
          </w:p>
        </w:tc>
        <w:tc>
          <w:tcPr>
            <w:tcW w:w="8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2.87 </w:t>
            </w:r>
          </w:p>
        </w:tc>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1150</w:t>
            </w:r>
          </w:p>
        </w:tc>
        <w:tc>
          <w:tcPr>
            <w:tcW w:w="83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w:t>
            </w:r>
          </w:p>
        </w:tc>
        <w:tc>
          <w:tcPr>
            <w:tcW w:w="834"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0.85</w:t>
            </w:r>
          </w:p>
        </w:tc>
      </w:tr>
    </w:tbl>
    <w:p>
      <w:pPr>
        <w:pStyle w:val="5"/>
        <w:rPr>
          <w:rFonts w:ascii="Times New Roman" w:hAnsi="Times New Roman"/>
          <w:color w:val="000000" w:themeColor="text1"/>
          <w14:textFill>
            <w14:solidFill>
              <w14:schemeClr w14:val="tx1"/>
            </w14:solidFill>
          </w14:textFill>
        </w:rPr>
      </w:pPr>
      <w:bookmarkStart w:id="206" w:name="_Toc1682"/>
      <w:r>
        <w:rPr>
          <w:rFonts w:hint="eastAsia" w:ascii="Times New Roman" w:hAnsi="Times New Roman"/>
          <w:color w:val="000000" w:themeColor="text1"/>
          <w14:textFill>
            <w14:solidFill>
              <w14:schemeClr w14:val="tx1"/>
            </w14:solidFill>
          </w14:textFill>
        </w:rPr>
        <w:t>5.2.6   地下水工程</w:t>
      </w:r>
      <w:bookmarkEnd w:id="206"/>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针对通川区地下水现状开发利用情况，以及全区对地下水水资源开发利用总量的控制，本次规划将不再增加对地下水开采利用量，在规划期内对地下水应以保护为重，使地下水位和水质逐步恢复。</w:t>
      </w:r>
    </w:p>
    <w:bookmarkEnd w:id="198"/>
    <w:bookmarkEnd w:id="199"/>
    <w:bookmarkEnd w:id="200"/>
    <w:p>
      <w:pPr>
        <w:pStyle w:val="4"/>
        <w:rPr>
          <w:rFonts w:ascii="Times New Roman" w:hAnsi="Times New Roman" w:cs="Times New Roman"/>
          <w:color w:val="000000" w:themeColor="text1"/>
          <w14:textFill>
            <w14:solidFill>
              <w14:schemeClr w14:val="tx1"/>
            </w14:solidFill>
          </w14:textFill>
        </w:rPr>
      </w:pPr>
      <w:bookmarkStart w:id="207" w:name="_Toc30687"/>
      <w:bookmarkStart w:id="208" w:name="_Toc3144"/>
      <w:bookmarkStart w:id="209" w:name="_Toc17055"/>
      <w:bookmarkStart w:id="210" w:name="_Toc26138"/>
      <w:bookmarkStart w:id="211" w:name="_Toc22815"/>
      <w:r>
        <w:rPr>
          <w:rFonts w:ascii="Times New Roman" w:hAnsi="Times New Roman" w:cs="Times New Roman"/>
          <w:color w:val="000000" w:themeColor="text1"/>
          <w14:textFill>
            <w14:solidFill>
              <w14:schemeClr w14:val="tx1"/>
            </w14:solidFill>
          </w14:textFill>
        </w:rPr>
        <w:t>5.3  规划年可供水量预测</w:t>
      </w:r>
      <w:bookmarkEnd w:id="207"/>
      <w:bookmarkEnd w:id="208"/>
      <w:bookmarkEnd w:id="209"/>
      <w:bookmarkEnd w:id="210"/>
      <w:bookmarkEnd w:id="211"/>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从供水预测可知，通川区2025年多年平均供水量17138万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，P=75%典型年供水量为18146万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，P=95%典型年供水量为1099万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；2030年多年平均供水量23995万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，P=75%典型年供水量为25116万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，P=95%典型年供水量为27723万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；2035年多年平均供水量26080万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，P=75%典型年供水量为27290万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，P=95%典型年供水量为29763万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w:t>
      </w:r>
    </w:p>
    <w:p>
      <w:pPr>
        <w:spacing w:line="520" w:lineRule="exact"/>
        <w:ind w:firstLine="560"/>
        <w:rPr>
          <w:color w:val="000000" w:themeColor="text1"/>
          <w:szCs w:val="28"/>
          <w14:textFill>
            <w14:solidFill>
              <w14:schemeClr w14:val="tx1"/>
            </w14:solidFill>
          </w14:textFill>
        </w:rPr>
        <w:sectPr>
          <w:pgSz w:w="11906" w:h="16838"/>
          <w:pgMar w:top="1440" w:right="1531" w:bottom="1440" w:left="1531" w:header="851" w:footer="737" w:gutter="0"/>
          <w:cols w:space="720" w:num="1"/>
          <w:docGrid w:linePitch="381" w:charSpace="0"/>
        </w:sectPr>
      </w:pPr>
      <w:r>
        <w:rPr>
          <w:color w:val="000000" w:themeColor="text1"/>
          <w:szCs w:val="28"/>
          <w14:textFill>
            <w14:solidFill>
              <w14:schemeClr w14:val="tx1"/>
            </w14:solidFill>
          </w14:textFill>
        </w:rPr>
        <w:t>通川区供水量预测成果见表5.3.1。</w:t>
      </w: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iCs/>
          <w:color w:val="000000" w:themeColor="text1"/>
          <w14:textFill>
            <w14:solidFill>
              <w14:schemeClr w14:val="tx1"/>
            </w14:solidFill>
          </w14:textFill>
        </w:rPr>
      </w:pPr>
      <w:r>
        <w:rPr>
          <w:rFonts w:ascii="Times New Roman" w:hAnsi="Times New Roman"/>
          <w:b/>
          <w:bCs/>
          <w:i w:val="0"/>
          <w:iCs/>
          <w:color w:val="000000" w:themeColor="text1"/>
          <w14:textFill>
            <w14:solidFill>
              <w14:schemeClr w14:val="tx1"/>
            </w14:solidFill>
          </w14:textFill>
        </w:rPr>
        <w:t>表5.3.1  通川区供水量预测成果</w:t>
      </w:r>
    </w:p>
    <w:p>
      <w:pPr>
        <w:spacing w:line="240" w:lineRule="exact"/>
        <w:ind w:firstLine="0" w:firstLineChars="0"/>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0" w:type="auto"/>
        <w:jc w:val="center"/>
        <w:tblLayout w:type="autofit"/>
        <w:tblCellMar>
          <w:top w:w="0" w:type="dxa"/>
          <w:left w:w="108" w:type="dxa"/>
          <w:bottom w:w="0" w:type="dxa"/>
          <w:right w:w="108" w:type="dxa"/>
        </w:tblCellMar>
      </w:tblPr>
      <w:tblGrid>
        <w:gridCol w:w="866"/>
        <w:gridCol w:w="1016"/>
        <w:gridCol w:w="1016"/>
        <w:gridCol w:w="1016"/>
        <w:gridCol w:w="2416"/>
        <w:gridCol w:w="816"/>
        <w:gridCol w:w="1416"/>
        <w:gridCol w:w="1016"/>
        <w:gridCol w:w="1216"/>
        <w:gridCol w:w="1216"/>
        <w:gridCol w:w="1016"/>
        <w:gridCol w:w="816"/>
      </w:tblGrid>
      <w:tr>
        <w:tblPrEx>
          <w:tblCellMar>
            <w:top w:w="0" w:type="dxa"/>
            <w:left w:w="108" w:type="dxa"/>
            <w:bottom w:w="0" w:type="dxa"/>
            <w:right w:w="108" w:type="dxa"/>
          </w:tblCellMar>
        </w:tblPrEx>
        <w:trPr>
          <w:trHeight w:val="285" w:hRule="atLeast"/>
          <w:tblHeader/>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水平年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年型</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供水分类</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r>
      <w:tr>
        <w:tblPrEx>
          <w:tblCellMar>
            <w:top w:w="0" w:type="dxa"/>
            <w:left w:w="108" w:type="dxa"/>
            <w:bottom w:w="0" w:type="dxa"/>
            <w:right w:w="108" w:type="dxa"/>
          </w:tblCellMar>
        </w:tblPrEx>
        <w:trPr>
          <w:trHeight w:val="720" w:hRule="atLeast"/>
          <w:tblHeader/>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28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2025年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671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1484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6576</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8398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187</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8540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1163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1493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477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15162</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1029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947</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9598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1937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1579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17138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962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1672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7485</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8474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211</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1683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528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16170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1029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947</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9699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1889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1770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18146</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395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8070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8760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293</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8314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17123</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1029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947</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9371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1941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2866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454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19099</w:t>
            </w:r>
          </w:p>
        </w:tc>
      </w:tr>
      <w:tr>
        <w:tblPrEx>
          <w:tblCellMar>
            <w:top w:w="0" w:type="dxa"/>
            <w:left w:w="108" w:type="dxa"/>
            <w:bottom w:w="0" w:type="dxa"/>
            <w:right w:w="108" w:type="dxa"/>
          </w:tblCellMar>
        </w:tblPrEx>
        <w:trPr>
          <w:trHeight w:val="28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2030年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1244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2780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2153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684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13215</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7078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7648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802</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11707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3011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21666</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1072</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1258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13075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2167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1977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3162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2361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23995</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1584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1357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467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3107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2445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14172</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7078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328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7716</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899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11726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2089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1691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3366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22787</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1071</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1258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13094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2296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3517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2668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25116</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3245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683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16155</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7078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463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7978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1260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11787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1904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4516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3438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745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25394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1072</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1258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13155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2733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2339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4668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3524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27723</w:t>
            </w:r>
          </w:p>
        </w:tc>
      </w:tr>
      <w:tr>
        <w:tblPrEx>
          <w:tblCellMar>
            <w:top w:w="0" w:type="dxa"/>
            <w:left w:w="108" w:type="dxa"/>
            <w:bottom w:w="0" w:type="dxa"/>
            <w:right w:w="108" w:type="dxa"/>
          </w:tblCellMar>
        </w:tblPrEx>
        <w:trPr>
          <w:trHeight w:val="28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2035年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4698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2605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13361</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8278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8821</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1315</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13129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2095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1643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2970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781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23497</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1119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1464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1464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14703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533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3120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2489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26080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4765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1598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768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14349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8278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8886</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1474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13215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609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3316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2677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24708</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1119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1464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1464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14789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2447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2283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664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3467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2763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877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27290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蓄水工程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1831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388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3863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3209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15974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引水工程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8278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9135</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提水工程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454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12927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2737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2018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568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4438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3563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27180</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地下水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1119</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中水回用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1464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1464</w:t>
            </w:r>
          </w:p>
        </w:tc>
      </w:tr>
      <w:tr>
        <w:tblPrEx>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00"/>
              <w:jc w:val="center"/>
              <w:rPr>
                <w:rFonts w:eastAsia="宋体"/>
                <w:color w:val="000000" w:themeColor="text1"/>
                <w:sz w:val="20"/>
                <w:szCs w:val="20"/>
                <w14:textFill>
                  <w14:solidFill>
                    <w14:schemeClr w14:val="tx1"/>
                  </w14:solidFill>
                </w14:textFill>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14501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2944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2499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623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4589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3649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957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29763</w:t>
            </w:r>
          </w:p>
        </w:tc>
      </w:tr>
    </w:tbl>
    <w:p>
      <w:pPr>
        <w:spacing w:line="240" w:lineRule="exact"/>
        <w:ind w:firstLine="480"/>
        <w:jc w:val="right"/>
        <w:rPr>
          <w:rFonts w:eastAsia="宋体"/>
          <w:color w:val="000000" w:themeColor="text1"/>
          <w:sz w:val="24"/>
          <w14:textFill>
            <w14:solidFill>
              <w14:schemeClr w14:val="tx1"/>
            </w14:solidFill>
          </w14:textFill>
        </w:rPr>
        <w:sectPr>
          <w:pgSz w:w="16838" w:h="11906" w:orient="landscape"/>
          <w:pgMar w:top="1531" w:right="1440" w:bottom="1531" w:left="1440" w:header="851" w:footer="992" w:gutter="0"/>
          <w:cols w:space="720" w:num="1"/>
          <w:docGrid w:linePitch="312" w:charSpace="0"/>
        </w:sectPr>
      </w:pPr>
    </w:p>
    <w:p>
      <w:pPr>
        <w:pStyle w:val="4"/>
        <w:rPr>
          <w:rFonts w:ascii="Times New Roman" w:hAnsi="Times New Roman" w:cs="Times New Roman"/>
          <w:color w:val="000000" w:themeColor="text1"/>
          <w14:textFill>
            <w14:solidFill>
              <w14:schemeClr w14:val="tx1"/>
            </w14:solidFill>
          </w14:textFill>
        </w:rPr>
      </w:pPr>
      <w:bookmarkStart w:id="212" w:name="_Toc28364"/>
      <w:bookmarkStart w:id="213" w:name="_Toc25194"/>
      <w:bookmarkStart w:id="214" w:name="_Toc1254"/>
      <w:bookmarkStart w:id="215" w:name="_Toc28578"/>
      <w:bookmarkStart w:id="216" w:name="_Toc18568"/>
      <w:r>
        <w:rPr>
          <w:rFonts w:ascii="Times New Roman" w:hAnsi="Times New Roman" w:cs="Times New Roman"/>
          <w:color w:val="000000" w:themeColor="text1"/>
          <w14:textFill>
            <w14:solidFill>
              <w14:schemeClr w14:val="tx1"/>
            </w14:solidFill>
          </w14:textFill>
        </w:rPr>
        <w:t>5.4  水资源二次供需平衡</w:t>
      </w:r>
      <w:bookmarkEnd w:id="212"/>
      <w:bookmarkEnd w:id="213"/>
      <w:bookmarkEnd w:id="214"/>
      <w:bookmarkEnd w:id="215"/>
      <w:bookmarkEnd w:id="216"/>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按照解决缺水问题的途径，分析不同分区存在的供需矛盾问题，根据区域的社会、经济、生态、环境等方面具体情况及水资源开发条件，针对性地因地制宜选取增大供水、加强节水的各种组合措施，在进行节流与开源并举提出通川区的二次供需平衡分析结果如表5.4.1。</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从水资源二次供需平衡来看：</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2025水平年，通川区多年平均需水量为18146万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，水利设施或其他水资源利用合计可供水总量为17138万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，缺水量1008万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，缺水率为5.6％，基本可实现供水平衡。75%典型年需水量为18828万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，水利设施或其他水资源利用合计可供水总量为18146万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，缺水量678万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，缺水率为3.6％。</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2030水平年，通川区多年平均需水量为24873万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，水利设施或其他水资源利用合计可供水总量为23995万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，缺水量879万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，缺水率为3.5％，基本可实现供水平衡。75%典型年需水量为25964万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，水利设施或其他水资源利用合计可供水总量为25116万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，缺水量848万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，缺水率为3.3％。</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2035水平年，通川区多年平均需水量为27389万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，水利设施或其他水资源利用合计可供水总量为26080万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，缺水量1310万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，缺水率为4.8％，基本可实现供水平衡。75%典型年需水量为28518万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，水利设施或其他水资源利用合计可供水总量为27290万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，缺水量1228万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，缺水率为4.3％。</w:t>
      </w:r>
    </w:p>
    <w:p>
      <w:pPr>
        <w:spacing w:line="520" w:lineRule="exact"/>
        <w:ind w:firstLine="560"/>
        <w:rPr>
          <w:iCs/>
          <w:color w:val="000000" w:themeColor="text1"/>
          <w:szCs w:val="28"/>
          <w14:textFill>
            <w14:solidFill>
              <w14:schemeClr w14:val="tx1"/>
            </w14:solidFill>
          </w14:textFill>
        </w:rPr>
        <w:sectPr>
          <w:pgSz w:w="11906" w:h="16838"/>
          <w:pgMar w:top="1440" w:right="1531" w:bottom="1440" w:left="1531" w:header="851" w:footer="737" w:gutter="0"/>
          <w:cols w:space="720" w:num="1"/>
          <w:docGrid w:linePitch="381" w:charSpace="0"/>
        </w:sectPr>
      </w:pPr>
      <w:r>
        <w:rPr>
          <w:iCs/>
          <w:color w:val="000000" w:themeColor="text1"/>
          <w:szCs w:val="28"/>
          <w14:textFill>
            <w14:solidFill>
              <w14:schemeClr w14:val="tx1"/>
            </w14:solidFill>
          </w14:textFill>
        </w:rPr>
        <w:t>从二次供需平衡成果可以看到，通过实施建设跨行政区引调水工程，并新建一批当地径流骨干水库加强对当地水资源的开发利用，可基本缓解通川区未来经济社会的快速发展与水资源短缺的供需矛盾，实现了水资源与社会经济和生态环境保护的协调发展、人与自然环境和谐相处。</w:t>
      </w: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color w:val="000000" w:themeColor="text1"/>
          <w14:textFill>
            <w14:solidFill>
              <w14:schemeClr w14:val="tx1"/>
            </w14:solidFill>
          </w14:textFill>
        </w:rPr>
      </w:pPr>
      <w:r>
        <w:rPr>
          <w:rFonts w:ascii="Times New Roman" w:hAnsi="Times New Roman"/>
          <w:b/>
          <w:bCs/>
          <w:i w:val="0"/>
          <w:color w:val="000000" w:themeColor="text1"/>
          <w14:textFill>
            <w14:solidFill>
              <w14:schemeClr w14:val="tx1"/>
            </w14:solidFill>
          </w14:textFill>
        </w:rPr>
        <w:t>表5.4.1  通川区水资源二次供需平衡分析成果表</w:t>
      </w:r>
    </w:p>
    <w:p>
      <w:pPr>
        <w:ind w:firstLine="0" w:firstLineChars="0"/>
        <w:jc w:val="right"/>
        <w:rPr>
          <w:color w:val="000000" w:themeColor="text1"/>
          <w14:textFill>
            <w14:solidFill>
              <w14:schemeClr w14:val="tx1"/>
            </w14:solidFill>
          </w14:textFill>
        </w:rPr>
      </w:pPr>
      <w:r>
        <w:rPr>
          <w:color w:val="000000" w:themeColor="text1"/>
          <w14:textFill>
            <w14:solidFill>
              <w14:schemeClr w14:val="tx1"/>
            </w14:solidFill>
          </w14:textFill>
        </w:rPr>
        <w:t>水量：万</w:t>
      </w:r>
      <w:r>
        <w:rPr>
          <w:rFonts w:hint="eastAsia"/>
          <w:color w:val="000000" w:themeColor="text1"/>
          <w14:textFill>
            <w14:solidFill>
              <w14:schemeClr w14:val="tx1"/>
            </w14:solidFill>
          </w14:textFill>
        </w:rPr>
        <w:t>m³</w:t>
      </w:r>
    </w:p>
    <w:tbl>
      <w:tblPr>
        <w:tblStyle w:val="40"/>
        <w:tblW w:w="4998" w:type="pct"/>
        <w:tblInd w:w="0" w:type="dxa"/>
        <w:tblLayout w:type="autofit"/>
        <w:tblCellMar>
          <w:top w:w="0" w:type="dxa"/>
          <w:left w:w="108" w:type="dxa"/>
          <w:bottom w:w="0" w:type="dxa"/>
          <w:right w:w="108" w:type="dxa"/>
        </w:tblCellMar>
      </w:tblPr>
      <w:tblGrid>
        <w:gridCol w:w="1070"/>
        <w:gridCol w:w="1184"/>
        <w:gridCol w:w="1184"/>
        <w:gridCol w:w="2416"/>
        <w:gridCol w:w="880"/>
        <w:gridCol w:w="880"/>
        <w:gridCol w:w="880"/>
        <w:gridCol w:w="957"/>
        <w:gridCol w:w="881"/>
        <w:gridCol w:w="963"/>
        <w:gridCol w:w="958"/>
        <w:gridCol w:w="881"/>
        <w:gridCol w:w="1034"/>
      </w:tblGrid>
      <w:tr>
        <w:tblPrEx>
          <w:tblCellMar>
            <w:top w:w="0" w:type="dxa"/>
            <w:left w:w="108" w:type="dxa"/>
            <w:bottom w:w="0" w:type="dxa"/>
            <w:right w:w="108" w:type="dxa"/>
          </w:tblCellMar>
        </w:tblPrEx>
        <w:trPr>
          <w:trHeight w:val="340" w:hRule="exact"/>
          <w:tblHeader/>
        </w:trPr>
        <w:tc>
          <w:tcPr>
            <w:tcW w:w="38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水平年</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水平年</w:t>
            </w:r>
          </w:p>
        </w:tc>
        <w:tc>
          <w:tcPr>
            <w:tcW w:w="1221" w:type="pct"/>
            <w:gridSpan w:val="2"/>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分片</w:t>
            </w:r>
          </w:p>
        </w:tc>
        <w:tc>
          <w:tcPr>
            <w:tcW w:w="1946" w:type="pct"/>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需水</w:t>
            </w:r>
          </w:p>
        </w:tc>
        <w:tc>
          <w:tcPr>
            <w:tcW w:w="34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供水</w:t>
            </w:r>
          </w:p>
        </w:tc>
        <w:tc>
          <w:tcPr>
            <w:tcW w:w="315"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缺水率</w:t>
            </w:r>
          </w:p>
        </w:tc>
      </w:tr>
      <w:tr>
        <w:tblPrEx>
          <w:tblCellMar>
            <w:top w:w="0" w:type="dxa"/>
            <w:left w:w="108" w:type="dxa"/>
            <w:bottom w:w="0" w:type="dxa"/>
            <w:right w:w="108" w:type="dxa"/>
          </w:tblCellMar>
        </w:tblPrEx>
        <w:trPr>
          <w:trHeight w:val="690" w:hRule="exact"/>
          <w:tblHeader/>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3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城镇生活</w:t>
            </w:r>
          </w:p>
        </w:tc>
        <w:tc>
          <w:tcPr>
            <w:tcW w:w="3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农村生活</w:t>
            </w:r>
          </w:p>
        </w:tc>
        <w:tc>
          <w:tcPr>
            <w:tcW w:w="3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二三产用水</w:t>
            </w:r>
          </w:p>
        </w:tc>
        <w:tc>
          <w:tcPr>
            <w:tcW w:w="342"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农业用水</w:t>
            </w:r>
          </w:p>
        </w:tc>
        <w:tc>
          <w:tcPr>
            <w:tcW w:w="3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生态用水</w:t>
            </w:r>
          </w:p>
        </w:tc>
        <w:tc>
          <w:tcPr>
            <w:tcW w:w="342"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小计</w:t>
            </w:r>
          </w:p>
        </w:tc>
        <w:tc>
          <w:tcPr>
            <w:tcW w:w="34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315"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340" w:hRule="exact"/>
        </w:trPr>
        <w:tc>
          <w:tcPr>
            <w:tcW w:w="38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2025年</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4219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4388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9885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9598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287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1909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1642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267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1568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1555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0.8%</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323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115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26.2%</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1757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2117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1937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8.5%</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1285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1607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1579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119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19.2%</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5119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5367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18146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17138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1008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4219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4388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9897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9699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1097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1889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143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1627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1626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0.1%</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75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1979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2339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2207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1447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1770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1770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541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683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554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129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18.9%</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5119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6045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18824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18146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678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4219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4388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9934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9371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563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1501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2435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1941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494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731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1824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1805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469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360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40.1%</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3066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2866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6.5%</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1979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2302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2302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740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454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429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4803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5119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8268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21046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19099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1948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r>
      <w:tr>
        <w:tblPrEx>
          <w:tblCellMar>
            <w:top w:w="0" w:type="dxa"/>
            <w:left w:w="108" w:type="dxa"/>
            <w:bottom w:w="0" w:type="dxa"/>
            <w:right w:w="108" w:type="dxa"/>
          </w:tblCellMar>
        </w:tblPrEx>
        <w:trPr>
          <w:trHeight w:val="340" w:hRule="exact"/>
        </w:trPr>
        <w:tc>
          <w:tcPr>
            <w:tcW w:w="38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2030年</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13076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13075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1568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2579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2167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412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763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2050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1977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74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632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502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3206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3162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44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2067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2407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2361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751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173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5083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8635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24873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23995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879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13094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13094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1766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2777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2296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481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860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2147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2125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552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693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613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11.5%</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3563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3517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2668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2668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870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1021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21.5%</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5083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9726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25964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25116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848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6758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1460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13155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13155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2415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3426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2733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693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20.2%</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1176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2463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2339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124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896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532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365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40.7%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4354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4734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4668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66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3184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3524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3524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1190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1341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772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569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42.4%</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1960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5083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13301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1661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29540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27723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1817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6.2%</w:t>
            </w:r>
          </w:p>
        </w:tc>
      </w:tr>
      <w:tr>
        <w:tblPrEx>
          <w:tblCellMar>
            <w:top w:w="0" w:type="dxa"/>
            <w:left w:w="108" w:type="dxa"/>
            <w:bottom w:w="0" w:type="dxa"/>
            <w:right w:w="108" w:type="dxa"/>
          </w:tblCellMar>
        </w:tblPrEx>
        <w:trPr>
          <w:trHeight w:val="340" w:hRule="exact"/>
        </w:trPr>
        <w:tc>
          <w:tcPr>
            <w:tcW w:w="38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2035年</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多年平均</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379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3572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2244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15170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14703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467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2617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2302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315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2185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2125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507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651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533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18.1%</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2926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3321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3120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2139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2493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2489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0.2%</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800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808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145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15.2%</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9701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2071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4166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8938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2513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27389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26080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1310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379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3572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172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2244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15190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14789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401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1828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2822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2447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375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890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2284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2283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572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715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664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51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7.1%</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3691</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3467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224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6.1%</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2410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2763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2763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901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1054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877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177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16.8%</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9701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2071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4166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10067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2513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28518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27290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1228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8823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379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3572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2244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15253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14501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752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310</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2499</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3494</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2944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550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15.7%</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527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1217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140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2612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2499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925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623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302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337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4507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4902</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4589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313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00"/>
              <w:jc w:val="center"/>
              <w:rPr>
                <w:rFonts w:eastAsia="宋体"/>
                <w:color w:val="000000" w:themeColor="text1"/>
                <w:sz w:val="20"/>
                <w:szCs w:val="20"/>
                <w14:textFill>
                  <w14:solidFill>
                    <w14:schemeClr w14:val="tx1"/>
                  </w14:solidFill>
                </w14:textFill>
              </w:rPr>
            </w:pP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294</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3296</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3649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3649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0.0%</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7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23</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107</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1232</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1385</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957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428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30.9%</w:t>
            </w:r>
          </w:p>
        </w:tc>
      </w:tr>
      <w:tr>
        <w:tblPrEx>
          <w:tblCellMar>
            <w:top w:w="0" w:type="dxa"/>
            <w:left w:w="108" w:type="dxa"/>
            <w:bottom w:w="0" w:type="dxa"/>
            <w:right w:w="108" w:type="dxa"/>
          </w:tblCellMar>
        </w:tblPrEx>
        <w:trPr>
          <w:trHeight w:val="340" w:hRule="exact"/>
        </w:trPr>
        <w:tc>
          <w:tcPr>
            <w:tcW w:w="38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ind w:firstLine="400"/>
              <w:jc w:val="center"/>
              <w:rPr>
                <w:rFonts w:eastAsia="宋体"/>
                <w:color w:val="000000" w:themeColor="text1"/>
                <w:sz w:val="20"/>
                <w:szCs w:val="20"/>
                <w14:textFill>
                  <w14:solidFill>
                    <w14:schemeClr w14:val="tx1"/>
                  </w14:solidFill>
                </w14:textFill>
              </w:rPr>
            </w:pPr>
          </w:p>
        </w:tc>
        <w:tc>
          <w:tcPr>
            <w:tcW w:w="122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9701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2071</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4166</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13768</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2513</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32219</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29763 </w:t>
            </w:r>
          </w:p>
        </w:tc>
        <w:tc>
          <w:tcPr>
            <w:tcW w:w="3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2456 </w:t>
            </w:r>
          </w:p>
        </w:tc>
        <w:tc>
          <w:tcPr>
            <w:tcW w:w="3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7.6%</w:t>
            </w:r>
          </w:p>
        </w:tc>
      </w:tr>
    </w:tbl>
    <w:p>
      <w:pPr>
        <w:pStyle w:val="51"/>
        <w:ind w:firstLine="528"/>
        <w:rPr>
          <w:rFonts w:cs="Times New Roman"/>
          <w:color w:val="000000" w:themeColor="text1"/>
          <w14:textFill>
            <w14:solidFill>
              <w14:schemeClr w14:val="tx1"/>
            </w14:solidFill>
          </w14:textFill>
        </w:rPr>
        <w:sectPr>
          <w:pgSz w:w="16838" w:h="11906" w:orient="landscape"/>
          <w:pgMar w:top="1531" w:right="1440" w:bottom="1531" w:left="1440" w:header="851" w:footer="992" w:gutter="0"/>
          <w:cols w:space="720" w:num="1"/>
          <w:docGrid w:linePitch="312" w:charSpace="0"/>
        </w:sectPr>
      </w:pPr>
    </w:p>
    <w:p>
      <w:pPr>
        <w:pStyle w:val="4"/>
        <w:rPr>
          <w:rFonts w:ascii="Times New Roman" w:hAnsi="Times New Roman" w:cs="Times New Roman"/>
          <w:color w:val="000000" w:themeColor="text1"/>
          <w14:textFill>
            <w14:solidFill>
              <w14:schemeClr w14:val="tx1"/>
            </w14:solidFill>
          </w14:textFill>
        </w:rPr>
      </w:pPr>
      <w:bookmarkStart w:id="217" w:name="_Toc6309"/>
      <w:bookmarkStart w:id="218" w:name="_Toc8530"/>
      <w:r>
        <w:rPr>
          <w:rFonts w:ascii="Times New Roman" w:hAnsi="Times New Roman" w:cs="Times New Roman"/>
          <w:color w:val="000000" w:themeColor="text1"/>
          <w14:textFill>
            <w14:solidFill>
              <w14:schemeClr w14:val="tx1"/>
            </w14:solidFill>
          </w14:textFill>
        </w:rPr>
        <w:t>5.5  水资源配置方案</w:t>
      </w:r>
      <w:bookmarkEnd w:id="217"/>
      <w:bookmarkEnd w:id="218"/>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依据市场经济规律和资源配置准则，遵循高效、公平和可持续的原则，通过合理抑制需求、有效增加供水、积极保护生态环境等各种工程与非工程措施，对多种可利用的水源在区域间和各用水部门间进行水资源合理配置。</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根据通川区水资源分布特点和用水需求，按照</w:t>
      </w:r>
      <w:r>
        <w:rPr>
          <w:rFonts w:hint="eastAsia"/>
          <w:iCs/>
          <w:color w:val="000000" w:themeColor="text1"/>
          <w:szCs w:val="28"/>
          <w:lang w:val="zh-CN"/>
          <w14:textFill>
            <w14:solidFill>
              <w14:schemeClr w14:val="tx1"/>
            </w14:solidFill>
          </w14:textFill>
        </w:rPr>
        <w:t>“</w:t>
      </w:r>
      <w:r>
        <w:rPr>
          <w:iCs/>
          <w:color w:val="000000" w:themeColor="text1"/>
          <w:szCs w:val="28"/>
          <w:lang w:val="zh-CN"/>
          <w14:textFill>
            <w14:solidFill>
              <w14:schemeClr w14:val="tx1"/>
            </w14:solidFill>
          </w14:textFill>
        </w:rPr>
        <w:t>优水</w:t>
      </w:r>
      <w:r>
        <w:rPr>
          <w:iCs/>
          <w:color w:val="000000" w:themeColor="text1"/>
          <w:szCs w:val="28"/>
          <w14:textFill>
            <w14:solidFill>
              <w14:schemeClr w14:val="tx1"/>
            </w14:solidFill>
          </w14:textFill>
        </w:rPr>
        <w:t>优用</w:t>
      </w:r>
      <w:r>
        <w:rPr>
          <w:rFonts w:hint="eastAsia"/>
          <w:iCs/>
          <w:color w:val="000000" w:themeColor="text1"/>
          <w:szCs w:val="28"/>
          <w14:textFill>
            <w14:solidFill>
              <w14:schemeClr w14:val="tx1"/>
            </w14:solidFill>
          </w14:textFill>
        </w:rPr>
        <w:t>”</w:t>
      </w:r>
      <w:r>
        <w:rPr>
          <w:iCs/>
          <w:color w:val="000000" w:themeColor="text1"/>
          <w:szCs w:val="28"/>
          <w14:textFill>
            <w14:solidFill>
              <w14:schemeClr w14:val="tx1"/>
            </w14:solidFill>
          </w14:textFill>
        </w:rPr>
        <w:t>的原则，结合达州市水资源综合规划，构建通川区水资源配置格局。</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发挥好正在建设的中型水库水质优良、库容大的优势，实施引水工程，以解决资源性缺水和水质性缺水的问题。盘活各类水源工程的资源存量，补齐影响水资源供应能力的短板，使现有水资源配置更趋合理。根据实际情况恢复部分工程原设计的农田灌溉和生态补水功能，内源污染严重的水库逐步退出对城乡的生活、生产供水。</w:t>
      </w:r>
    </w:p>
    <w:p>
      <w:pPr>
        <w:pStyle w:val="5"/>
        <w:rPr>
          <w:rFonts w:ascii="Times New Roman" w:hAnsi="Times New Roman"/>
          <w:color w:val="000000" w:themeColor="text1"/>
          <w14:textFill>
            <w14:solidFill>
              <w14:schemeClr w14:val="tx1"/>
            </w14:solidFill>
          </w14:textFill>
        </w:rPr>
      </w:pPr>
      <w:bookmarkStart w:id="219" w:name="_Toc19798"/>
      <w:r>
        <w:rPr>
          <w:rFonts w:ascii="Times New Roman" w:hAnsi="Times New Roman"/>
          <w:color w:val="000000" w:themeColor="text1"/>
          <w14:textFill>
            <w14:solidFill>
              <w14:schemeClr w14:val="tx1"/>
            </w14:solidFill>
          </w14:textFill>
        </w:rPr>
        <w:t>5.5.1  区域配置方案</w:t>
      </w:r>
      <w:bookmarkEnd w:id="219"/>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通川区多年平均水资源总量为51708万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，现状供用水量为11749万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，扣除过境水利用水量后配置水量7471万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，水资源开发利用率为14.4%；2025 年通川区多年平均配置水量17138万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，扣除过境水利用水量后配置水量8849万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，水资源开发利用率为39.3%；2030年通川区多年平均配置水量23995万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，扣除过境水利用水量后配置水量15706万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，水资源开发利用率为30.7%；2035年通川区多年平均配置水量26080万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，其中利用本地水资源量17990万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，水资源开发利用率为34.8%。</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现状通川区各类蓄水工程的总调节库容为7922万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，占水资源总量的15.5%。随着一批水库等蓄水工程的修建，到2025年，通川区蓄水工程的调节库容增加至11183万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，径流调节率上升为21.9%左右；到2035年，蓄水工程调节库容将达到17420万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，径流调节率达34.10%左右。未来通川区的水资源开发利用程度和对水资源的调节能力都将提升，为经济社会的可持续发展提供保障。</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从总体配置而言，近期通川区用水主要立足于当地水资源，远期由规划的水利工程协同解决区域用水问题，保障供水安全。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根据通川区一次平衡、二次平衡成果，通川区现状水利设施供水能力15648万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，区域2035年将缺水11741万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，缺水率高达42.9%；通过利用过境水量（</w:t>
      </w:r>
      <w:r>
        <w:rPr>
          <w:rFonts w:hint="eastAsia"/>
          <w:iCs/>
          <w:color w:val="000000" w:themeColor="text1"/>
          <w:szCs w:val="28"/>
          <w14:textFill>
            <w14:solidFill>
              <w14:schemeClr w14:val="tx1"/>
            </w14:solidFill>
          </w14:textFill>
        </w:rPr>
        <w:t>长滩湖</w:t>
      </w:r>
      <w:r>
        <w:rPr>
          <w:iCs/>
          <w:color w:val="000000" w:themeColor="text1"/>
          <w:szCs w:val="28"/>
          <w14:textFill>
            <w14:solidFill>
              <w14:schemeClr w14:val="tx1"/>
            </w14:solidFill>
          </w14:textFill>
        </w:rPr>
        <w:t>水库等）、建设中型水库（安云、老王沟、车家河、长滩河），并建设27座小型水库，以及一批引提水工程和小微型水利设施，规划年通川区可新增供水能力10431万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，平衡后缺水1310万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，缺水率仅有4.8%。</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其中，城区片现状水利设施供水能力10230万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，2035年缺水4940万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w:t>
      </w:r>
      <w:r>
        <w:rPr>
          <w:rFonts w:hint="eastAsia"/>
          <w:iCs/>
          <w:color w:val="000000" w:themeColor="text1"/>
          <w:szCs w:val="28"/>
          <w14:textFill>
            <w14:solidFill>
              <w14:schemeClr w14:val="tx1"/>
            </w14:solidFill>
          </w14:textFill>
        </w:rPr>
        <w:t>长滩湖</w:t>
      </w:r>
      <w:r>
        <w:rPr>
          <w:iCs/>
          <w:color w:val="000000" w:themeColor="text1"/>
          <w:szCs w:val="28"/>
          <w14:textFill>
            <w14:solidFill>
              <w14:schemeClr w14:val="tx1"/>
            </w14:solidFill>
          </w14:textFill>
        </w:rPr>
        <w:t>水库、引提水工程结合小微型水利设施，供水能力增加4473万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2035年供水能力达到14703万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，缺水量减少至467万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，基本实现水量平衡。</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北部片现状水利设施供水能力1488万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，2035年缺水1129万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，通过新增小型水库9座，并利用过境水引提水工程、小微型水利设施补水，供水能力增加814万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2035年供水能力达到2302万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，缺水量减少至315万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双河口水库片现状水利设施供水能力1893万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，2035年缺水292万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，通过新增小型水库3座，并利用过境水引提水工程、小微型水利设施补水，供水能力增加232万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2035年供水能力达到2125万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，缺水量减少至60万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，基本实现水量平衡。</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明月江片现状水利设施供水能力191万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，2035年缺水460万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，通过新增小型水库2座，并利用过境水引提水工程、小微型水利设施补水，供水能力增加342万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2035年供水能力达到533万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，缺水量减少至118万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安云水库片现状水利设施供水能力723万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，2035年缺水2598万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，通过建设安云水库、长滩河水库，新增小型水库5座，并利用过境水引提水工程、小微型水利设施补水，供水能力增加2398万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2035年供水能力达到3120万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，缺水量减少至201万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，基本实现水量平衡。长滩河西片现状水利设施供水能力891万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，2035年缺水1602万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，通过建设老王沟水库、车家河水库，新增小型水库5座，并利用过境水引提水工程、小微型水利设施，供水能力增加1598万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2035年供水能力达到2489万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，基本实现水量平衡。</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固家河区片现状水利设施供水能力232万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，2035年缺水720万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，通过新增小型水库3座，并利用过境水引提水工程、小微型水利设施，供水能力增加575万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2035年供水能力达到808万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，缺水量减少至145万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pStyle w:val="2"/>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通川区各片规划水平年新增供水能力统计表见下表。</w:t>
      </w:r>
    </w:p>
    <w:p>
      <w:pPr>
        <w:pStyle w:val="2"/>
        <w:ind w:firstLine="560"/>
        <w:rPr>
          <w:iCs/>
          <w:color w:val="000000" w:themeColor="text1"/>
          <w:szCs w:val="28"/>
          <w14:textFill>
            <w14:solidFill>
              <w14:schemeClr w14:val="tx1"/>
            </w14:solidFill>
          </w14:textFill>
        </w:rPr>
        <w:sectPr>
          <w:headerReference r:id="rId17" w:type="default"/>
          <w:pgSz w:w="11906" w:h="16838"/>
          <w:pgMar w:top="1440" w:right="1531" w:bottom="1440" w:left="1531" w:header="851" w:footer="737" w:gutter="0"/>
          <w:cols w:space="720" w:num="1"/>
          <w:docGrid w:linePitch="381" w:charSpace="0"/>
        </w:sectPr>
      </w:pP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color w:val="000000" w:themeColor="text1"/>
          <w14:textFill>
            <w14:solidFill>
              <w14:schemeClr w14:val="tx1"/>
            </w14:solidFill>
          </w14:textFill>
        </w:rPr>
      </w:pPr>
      <w:r>
        <w:rPr>
          <w:rFonts w:ascii="Times New Roman" w:hAnsi="Times New Roman"/>
          <w:b/>
          <w:bCs/>
          <w:i w:val="0"/>
          <w:color w:val="000000" w:themeColor="text1"/>
          <w14:textFill>
            <w14:solidFill>
              <w14:schemeClr w14:val="tx1"/>
            </w14:solidFill>
          </w14:textFill>
        </w:rPr>
        <w:t>表5.5.1  通川区各片规划水平年新增供水能力统计表</w:t>
      </w:r>
    </w:p>
    <w:p>
      <w:pPr>
        <w:spacing w:line="240" w:lineRule="exact"/>
        <w:ind w:firstLine="0" w:firstLineChars="0"/>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5000" w:type="pct"/>
        <w:tblInd w:w="0" w:type="dxa"/>
        <w:tblLayout w:type="fixed"/>
        <w:tblCellMar>
          <w:top w:w="0" w:type="dxa"/>
          <w:left w:w="108" w:type="dxa"/>
          <w:bottom w:w="0" w:type="dxa"/>
          <w:right w:w="108" w:type="dxa"/>
        </w:tblCellMar>
      </w:tblPr>
      <w:tblGrid>
        <w:gridCol w:w="767"/>
        <w:gridCol w:w="1736"/>
        <w:gridCol w:w="914"/>
        <w:gridCol w:w="761"/>
        <w:gridCol w:w="794"/>
        <w:gridCol w:w="879"/>
        <w:gridCol w:w="629"/>
        <w:gridCol w:w="780"/>
        <w:gridCol w:w="890"/>
        <w:gridCol w:w="6024"/>
      </w:tblGrid>
      <w:tr>
        <w:tblPrEx>
          <w:tblCellMar>
            <w:top w:w="0" w:type="dxa"/>
            <w:left w:w="108" w:type="dxa"/>
            <w:bottom w:w="0" w:type="dxa"/>
            <w:right w:w="108" w:type="dxa"/>
          </w:tblCellMar>
        </w:tblPrEx>
        <w:trPr>
          <w:trHeight w:val="454" w:hRule="atLeast"/>
        </w:trPr>
        <w:tc>
          <w:tcPr>
            <w:tcW w:w="882" w:type="pct"/>
            <w:gridSpan w:val="2"/>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分片</w:t>
            </w:r>
          </w:p>
        </w:tc>
        <w:tc>
          <w:tcPr>
            <w:tcW w:w="322"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现状供水能力</w:t>
            </w:r>
          </w:p>
        </w:tc>
        <w:tc>
          <w:tcPr>
            <w:tcW w:w="268"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缺水量</w:t>
            </w:r>
          </w:p>
        </w:tc>
        <w:tc>
          <w:tcPr>
            <w:tcW w:w="280"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缺水率</w:t>
            </w:r>
          </w:p>
        </w:tc>
        <w:tc>
          <w:tcPr>
            <w:tcW w:w="310"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规划供水能力</w:t>
            </w:r>
          </w:p>
        </w:tc>
        <w:tc>
          <w:tcPr>
            <w:tcW w:w="222"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缺水量</w:t>
            </w:r>
          </w:p>
        </w:tc>
        <w:tc>
          <w:tcPr>
            <w:tcW w:w="275"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缺水率</w:t>
            </w:r>
          </w:p>
        </w:tc>
        <w:tc>
          <w:tcPr>
            <w:tcW w:w="314"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新增供水能力</w:t>
            </w:r>
          </w:p>
        </w:tc>
        <w:tc>
          <w:tcPr>
            <w:tcW w:w="2123" w:type="pct"/>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供水增量对应工程</w:t>
            </w:r>
          </w:p>
        </w:tc>
      </w:tr>
      <w:tr>
        <w:tblPrEx>
          <w:tblCellMar>
            <w:top w:w="0" w:type="dxa"/>
            <w:left w:w="108" w:type="dxa"/>
            <w:bottom w:w="0" w:type="dxa"/>
            <w:right w:w="108" w:type="dxa"/>
          </w:tblCellMar>
        </w:tblPrEx>
        <w:trPr>
          <w:trHeight w:val="454" w:hRule="atLeast"/>
        </w:trPr>
        <w:tc>
          <w:tcPr>
            <w:tcW w:w="882" w:type="pct"/>
            <w:gridSpan w:val="2"/>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322"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268"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280"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310"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222"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275"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314"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2123" w:type="pct"/>
            <w:vMerge w:val="continue"/>
            <w:tcBorders>
              <w:top w:val="single" w:color="000000" w:sz="8" w:space="0"/>
              <w:left w:val="single" w:color="000000" w:sz="8" w:space="0"/>
              <w:bottom w:val="single" w:color="000000" w:sz="8" w:space="0"/>
              <w:right w:val="single" w:color="000000" w:sz="8" w:space="0"/>
            </w:tcBorders>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27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双龙河区</w:t>
            </w: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城区片（石莲花水库片）</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10230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4940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32.6%</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14703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467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3.1%</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4473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hint="eastAsia" w:eastAsia="宋体"/>
                <w:color w:val="000000" w:themeColor="text1"/>
                <w:kern w:val="0"/>
                <w:sz w:val="20"/>
                <w:szCs w:val="20"/>
                <w:lang w:bidi="ar"/>
                <w14:textFill>
                  <w14:solidFill>
                    <w14:schemeClr w14:val="tx1"/>
                  </w14:solidFill>
                </w14:textFill>
              </w:rPr>
              <w:t>长滩湖</w:t>
            </w:r>
            <w:r>
              <w:rPr>
                <w:rFonts w:eastAsia="宋体"/>
                <w:color w:val="000000" w:themeColor="text1"/>
                <w:kern w:val="0"/>
                <w:sz w:val="20"/>
                <w:szCs w:val="20"/>
                <w:lang w:bidi="ar"/>
                <w14:textFill>
                  <w14:solidFill>
                    <w14:schemeClr w14:val="tx1"/>
                  </w14:solidFill>
                </w14:textFill>
              </w:rPr>
              <w:t>水库，并利用过境水引提水工程、小微型水利设施补水</w:t>
            </w:r>
          </w:p>
        </w:tc>
      </w:tr>
      <w:tr>
        <w:tblPrEx>
          <w:tblCellMar>
            <w:top w:w="0" w:type="dxa"/>
            <w:left w:w="108" w:type="dxa"/>
            <w:bottom w:w="0" w:type="dxa"/>
            <w:right w:w="108" w:type="dxa"/>
          </w:tblCellMar>
        </w:tblPrEx>
        <w:trPr>
          <w:trHeight w:val="454" w:hRule="atLeast"/>
        </w:trPr>
        <w:tc>
          <w:tcPr>
            <w:tcW w:w="27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北部片</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1488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1129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43.1%</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2302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315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12.0%</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814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新增小型水库9座，并利用过境水引提水工程、小微型水利设施补水</w:t>
            </w:r>
          </w:p>
        </w:tc>
      </w:tr>
      <w:tr>
        <w:tblPrEx>
          <w:tblCellMar>
            <w:top w:w="0" w:type="dxa"/>
            <w:left w:w="108" w:type="dxa"/>
            <w:bottom w:w="0" w:type="dxa"/>
            <w:right w:w="108" w:type="dxa"/>
          </w:tblCellMar>
        </w:tblPrEx>
        <w:trPr>
          <w:trHeight w:val="454" w:hRule="atLeast"/>
        </w:trPr>
        <w:tc>
          <w:tcPr>
            <w:tcW w:w="2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魏家河区</w:t>
            </w: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双河口水库片</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1893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292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13.4%</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2125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60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2.7%</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232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新增小型水库3座，并利用过境水引提水工程、小微型水利设施补水</w:t>
            </w:r>
          </w:p>
        </w:tc>
      </w:tr>
      <w:tr>
        <w:tblPrEx>
          <w:tblCellMar>
            <w:top w:w="0" w:type="dxa"/>
            <w:left w:w="108" w:type="dxa"/>
            <w:bottom w:w="0" w:type="dxa"/>
            <w:right w:w="108" w:type="dxa"/>
          </w:tblCellMar>
        </w:tblPrEx>
        <w:trPr>
          <w:trHeight w:val="454" w:hRule="atLeast"/>
        </w:trPr>
        <w:tc>
          <w:tcPr>
            <w:tcW w:w="2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明月江区</w:t>
            </w: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明月江片</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191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460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70.6%</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533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118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18.1%</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342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新增小型水库2座，并利用过境水引提水工程、小微型水利设施</w:t>
            </w:r>
          </w:p>
        </w:tc>
      </w:tr>
      <w:tr>
        <w:tblPrEx>
          <w:tblCellMar>
            <w:top w:w="0" w:type="dxa"/>
            <w:left w:w="108" w:type="dxa"/>
            <w:bottom w:w="0" w:type="dxa"/>
            <w:right w:w="108" w:type="dxa"/>
          </w:tblCellMar>
        </w:tblPrEx>
        <w:trPr>
          <w:trHeight w:val="454" w:hRule="atLeast"/>
        </w:trPr>
        <w:tc>
          <w:tcPr>
            <w:tcW w:w="27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长滩河区</w:t>
            </w: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安云水库片</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723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2598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78.2%</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3120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201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6.0%</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2398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建设安云水库、长滩河水库，新增小型水库5座，并利用过境水引提水工程、小微型水利设施</w:t>
            </w:r>
          </w:p>
        </w:tc>
      </w:tr>
      <w:tr>
        <w:tblPrEx>
          <w:tblCellMar>
            <w:top w:w="0" w:type="dxa"/>
            <w:left w:w="108" w:type="dxa"/>
            <w:bottom w:w="0" w:type="dxa"/>
            <w:right w:w="108" w:type="dxa"/>
          </w:tblCellMar>
        </w:tblPrEx>
        <w:trPr>
          <w:trHeight w:val="454" w:hRule="atLeast"/>
        </w:trPr>
        <w:tc>
          <w:tcPr>
            <w:tcW w:w="27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长滩河西片</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891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1602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64.3%</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2489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4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0.2%</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1598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建设老王沟水库、车家河水库，新增小型水库5座，并利用过境水引提水工程、小微型水利设施</w:t>
            </w:r>
          </w:p>
        </w:tc>
      </w:tr>
      <w:tr>
        <w:tblPrEx>
          <w:tblCellMar>
            <w:top w:w="0" w:type="dxa"/>
            <w:left w:w="108" w:type="dxa"/>
            <w:bottom w:w="0" w:type="dxa"/>
            <w:right w:w="108" w:type="dxa"/>
          </w:tblCellMar>
        </w:tblPrEx>
        <w:trPr>
          <w:trHeight w:val="454" w:hRule="atLeast"/>
        </w:trPr>
        <w:tc>
          <w:tcPr>
            <w:tcW w:w="2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6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固家河区</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232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720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75.6%</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808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145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15.2%</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575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新增小型水库3座，并利用过境水引提水工程、小微型水利设施</w:t>
            </w:r>
          </w:p>
        </w:tc>
      </w:tr>
      <w:tr>
        <w:tblPrEx>
          <w:tblCellMar>
            <w:top w:w="0" w:type="dxa"/>
            <w:left w:w="108" w:type="dxa"/>
            <w:bottom w:w="0" w:type="dxa"/>
            <w:right w:w="108" w:type="dxa"/>
          </w:tblCellMar>
        </w:tblPrEx>
        <w:trPr>
          <w:trHeight w:val="454" w:hRule="atLeast"/>
        </w:trPr>
        <w:tc>
          <w:tcPr>
            <w:tcW w:w="88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合计</w:t>
            </w:r>
          </w:p>
        </w:tc>
        <w:tc>
          <w:tcPr>
            <w:tcW w:w="3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15648 </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11741 </w:t>
            </w:r>
          </w:p>
        </w:tc>
        <w:tc>
          <w:tcPr>
            <w:tcW w:w="28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42.9%</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26080 </w:t>
            </w:r>
          </w:p>
        </w:tc>
        <w:tc>
          <w:tcPr>
            <w:tcW w:w="2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1310 </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4.8%</w:t>
            </w:r>
          </w:p>
        </w:tc>
        <w:tc>
          <w:tcPr>
            <w:tcW w:w="3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0"/>
                <w:szCs w:val="20"/>
                <w14:textFill>
                  <w14:solidFill>
                    <w14:schemeClr w14:val="tx1"/>
                  </w14:solidFill>
                </w14:textFill>
              </w:rPr>
            </w:pPr>
            <w:r>
              <w:rPr>
                <w:rFonts w:eastAsia="宋体"/>
                <w:color w:val="000000" w:themeColor="text1"/>
                <w:kern w:val="0"/>
                <w:sz w:val="20"/>
                <w:szCs w:val="20"/>
                <w:lang w:bidi="ar"/>
                <w14:textFill>
                  <w14:solidFill>
                    <w14:schemeClr w14:val="tx1"/>
                  </w14:solidFill>
                </w14:textFill>
              </w:rPr>
              <w:t xml:space="preserve">10431 </w:t>
            </w:r>
          </w:p>
        </w:tc>
        <w:tc>
          <w:tcPr>
            <w:tcW w:w="21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240" w:lineRule="auto"/>
              <w:ind w:firstLine="0" w:firstLineChars="0"/>
              <w:jc w:val="center"/>
              <w:rPr>
                <w:rFonts w:eastAsia="宋体"/>
                <w:color w:val="000000" w:themeColor="text1"/>
                <w:sz w:val="20"/>
                <w:szCs w:val="20"/>
                <w14:textFill>
                  <w14:solidFill>
                    <w14:schemeClr w14:val="tx1"/>
                  </w14:solidFill>
                </w14:textFill>
              </w:rPr>
            </w:pPr>
          </w:p>
        </w:tc>
      </w:tr>
    </w:tbl>
    <w:p>
      <w:pPr>
        <w:pStyle w:val="2"/>
        <w:ind w:firstLine="0" w:firstLineChars="0"/>
        <w:rPr>
          <w:color w:val="000000" w:themeColor="text1"/>
          <w14:textFill>
            <w14:solidFill>
              <w14:schemeClr w14:val="tx1"/>
            </w14:solidFill>
          </w14:textFill>
        </w:rPr>
        <w:sectPr>
          <w:headerReference r:id="rId18" w:type="default"/>
          <w:pgSz w:w="16838" w:h="11906" w:orient="landscape"/>
          <w:pgMar w:top="1531" w:right="1440" w:bottom="1531" w:left="1440" w:header="851" w:footer="992" w:gutter="0"/>
          <w:cols w:space="720" w:num="1"/>
          <w:docGrid w:linePitch="312" w:charSpace="0"/>
        </w:sectPr>
      </w:pPr>
    </w:p>
    <w:p>
      <w:pPr>
        <w:pStyle w:val="5"/>
        <w:rPr>
          <w:rFonts w:ascii="Times New Roman" w:hAnsi="Times New Roman"/>
          <w:color w:val="000000" w:themeColor="text1"/>
          <w14:textFill>
            <w14:solidFill>
              <w14:schemeClr w14:val="tx1"/>
            </w14:solidFill>
          </w14:textFill>
        </w:rPr>
      </w:pPr>
      <w:bookmarkStart w:id="220" w:name="_Toc1107"/>
      <w:r>
        <w:rPr>
          <w:rFonts w:ascii="Times New Roman" w:hAnsi="Times New Roman"/>
          <w:color w:val="000000" w:themeColor="text1"/>
          <w14:textFill>
            <w14:solidFill>
              <w14:schemeClr w14:val="tx1"/>
            </w14:solidFill>
          </w14:textFill>
        </w:rPr>
        <w:t>5.5.2  供水水源配置</w:t>
      </w:r>
      <w:bookmarkEnd w:id="220"/>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供水水源配置是在供需平衡推荐方案的前提下，根据流域水资源条件和开发利用水平，合理调配地表水、地下水与其他水源，以保障流域和区域经济社会的可持续</w:t>
      </w:r>
      <w:r>
        <w:rPr>
          <w:iCs/>
          <w:color w:val="000000" w:themeColor="text1"/>
          <w:szCs w:val="28"/>
          <w:lang w:val="zh-CN"/>
          <w14:textFill>
            <w14:solidFill>
              <w14:schemeClr w14:val="tx1"/>
            </w14:solidFill>
          </w14:textFill>
        </w:rPr>
        <w:t>发展。</w:t>
      </w:r>
    </w:p>
    <w:p>
      <w:pPr>
        <w:pStyle w:val="113"/>
        <w:spacing w:line="520" w:lineRule="exact"/>
        <w:ind w:firstLine="56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2025年，通川区多年平均配置水量</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17138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其中地表水</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15162</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地下水</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1029</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其他水源</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947</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分别占配置总水量的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88.5</w:t>
      </w:r>
      <w:r>
        <w:rPr>
          <w:rFonts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6.0</w:t>
      </w:r>
      <w:r>
        <w:rPr>
          <w:rFonts w:ascii="Times New Roman" w:hAnsi="Times New Roman" w:eastAsia="仿宋_GB2312" w:cs="Times New Roman"/>
          <w:iCs/>
          <w:color w:val="000000" w:themeColor="text1"/>
          <w:sz w:val="28"/>
          <w:szCs w:val="28"/>
          <w14:textFill>
            <w14:solidFill>
              <w14:schemeClr w14:val="tx1"/>
            </w14:solidFill>
          </w14:textFill>
        </w:rPr>
        <w:t>% 和</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5.5</w:t>
      </w:r>
      <w:r>
        <w:rPr>
          <w:rFonts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30</w:t>
      </w:r>
      <w:r>
        <w:rPr>
          <w:rFonts w:ascii="Times New Roman" w:hAnsi="Times New Roman" w:eastAsia="仿宋_GB2312" w:cs="Times New Roman"/>
          <w:iCs/>
          <w:color w:val="000000" w:themeColor="text1"/>
          <w:sz w:val="28"/>
          <w:szCs w:val="28"/>
          <w14:textFill>
            <w14:solidFill>
              <w14:schemeClr w14:val="tx1"/>
            </w14:solidFill>
          </w14:textFill>
        </w:rPr>
        <w:t>年，通川区多年平均配置水量</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23995</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其中地表水</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17138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地下水</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107</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其他水源</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125</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分别占配置总水量的9</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0.3</w:t>
      </w:r>
      <w:r>
        <w:rPr>
          <w:rFonts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4.5</w:t>
      </w:r>
      <w:r>
        <w:rPr>
          <w:rFonts w:ascii="Times New Roman" w:hAnsi="Times New Roman" w:eastAsia="仿宋_GB2312" w:cs="Times New Roman"/>
          <w:iCs/>
          <w:color w:val="000000" w:themeColor="text1"/>
          <w:sz w:val="28"/>
          <w:szCs w:val="28"/>
          <w14:textFill>
            <w14:solidFill>
              <w14:schemeClr w14:val="tx1"/>
            </w14:solidFill>
          </w14:textFill>
        </w:rPr>
        <w:t>% 和</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5.2</w:t>
      </w:r>
      <w:r>
        <w:rPr>
          <w:rFonts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35</w:t>
      </w:r>
      <w:r>
        <w:rPr>
          <w:rFonts w:ascii="Times New Roman" w:hAnsi="Times New Roman" w:eastAsia="仿宋_GB2312" w:cs="Times New Roman"/>
          <w:iCs/>
          <w:color w:val="000000" w:themeColor="text1"/>
          <w:sz w:val="28"/>
          <w:szCs w:val="28"/>
          <w14:textFill>
            <w14:solidFill>
              <w14:schemeClr w14:val="tx1"/>
            </w14:solidFill>
          </w14:textFill>
        </w:rPr>
        <w:t>年，通川区多年平均配置水量</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26080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其中地表水</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23497</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地下水</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1119</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其他水源</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1464</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分别占配置</w:t>
      </w:r>
      <w:r>
        <w:rPr>
          <w:rFonts w:ascii="Times New Roman" w:hAnsi="Times New Roman" w:eastAsia="仿宋_GB2312" w:cs="Times New Roman"/>
          <w:iCs/>
          <w:color w:val="000000" w:themeColor="text1"/>
          <w:sz w:val="28"/>
          <w:szCs w:val="28"/>
          <w:lang w:val="en-US" w:eastAsia="zh-CN" w:bidi="ar-SA"/>
          <w14:textFill>
            <w14:solidFill>
              <w14:schemeClr w14:val="tx1"/>
            </w14:solidFill>
          </w14:textFill>
        </w:rPr>
        <w:t>总水量的90.1%、4.3%和5.6%。随着通川区水资源的开发利用，作为主要供水水源，地表水供水量占总供水量维持在90%以上，其他水源尤其是污水处理再利用所占比例上升。</w:t>
      </w: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color w:val="000000" w:themeColor="text1"/>
          <w14:textFill>
            <w14:solidFill>
              <w14:schemeClr w14:val="tx1"/>
            </w14:solidFill>
          </w14:textFill>
        </w:rPr>
      </w:pPr>
      <w:r>
        <w:rPr>
          <w:rFonts w:ascii="Times New Roman" w:hAnsi="Times New Roman"/>
          <w:b/>
          <w:bCs/>
          <w:i w:val="0"/>
          <w:color w:val="000000" w:themeColor="text1"/>
          <w14:textFill>
            <w14:solidFill>
              <w14:schemeClr w14:val="tx1"/>
            </w14:solidFill>
          </w14:textFill>
        </w:rPr>
        <w:t>表5.5.2  通川区各片规划水平年水源配置成果表</w:t>
      </w:r>
    </w:p>
    <w:p>
      <w:pPr>
        <w:spacing w:line="240" w:lineRule="exact"/>
        <w:ind w:firstLine="0" w:firstLineChars="0"/>
        <w:jc w:val="right"/>
        <w:rPr>
          <w:color w:val="000000" w:themeColor="text1"/>
          <w:sz w:val="24"/>
          <w:vertAlign w:val="superscript"/>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5000" w:type="pct"/>
        <w:tblInd w:w="0" w:type="dxa"/>
        <w:tblLayout w:type="autofit"/>
        <w:tblCellMar>
          <w:top w:w="0" w:type="dxa"/>
          <w:left w:w="108" w:type="dxa"/>
          <w:bottom w:w="0" w:type="dxa"/>
          <w:right w:w="108" w:type="dxa"/>
        </w:tblCellMar>
      </w:tblPr>
      <w:tblGrid>
        <w:gridCol w:w="801"/>
        <w:gridCol w:w="1493"/>
        <w:gridCol w:w="737"/>
        <w:gridCol w:w="739"/>
        <w:gridCol w:w="738"/>
        <w:gridCol w:w="738"/>
        <w:gridCol w:w="738"/>
        <w:gridCol w:w="739"/>
        <w:gridCol w:w="738"/>
        <w:gridCol w:w="738"/>
        <w:gridCol w:w="861"/>
      </w:tblGrid>
      <w:tr>
        <w:tblPrEx>
          <w:tblCellMar>
            <w:top w:w="0" w:type="dxa"/>
            <w:left w:w="108" w:type="dxa"/>
            <w:bottom w:w="0" w:type="dxa"/>
            <w:right w:w="108" w:type="dxa"/>
          </w:tblCellMar>
        </w:tblPrEx>
        <w:trPr>
          <w:trHeight w:val="285" w:hRule="atLeast"/>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 </w:t>
            </w:r>
          </w:p>
        </w:tc>
        <w:tc>
          <w:tcPr>
            <w:tcW w:w="8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供水水源</w:t>
            </w:r>
          </w:p>
        </w:tc>
        <w:tc>
          <w:tcPr>
            <w:tcW w:w="83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双龙河区</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魏家河区</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明月江区</w:t>
            </w:r>
          </w:p>
        </w:tc>
        <w:tc>
          <w:tcPr>
            <w:tcW w:w="83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长滩河区</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固家河区</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合计</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比例</w:t>
            </w:r>
          </w:p>
        </w:tc>
      </w:tr>
      <w:tr>
        <w:tblPrEx>
          <w:tblCellMar>
            <w:top w:w="0" w:type="dxa"/>
            <w:left w:w="108" w:type="dxa"/>
            <w:bottom w:w="0" w:type="dxa"/>
            <w:right w:w="108" w:type="dxa"/>
          </w:tblCellMar>
        </w:tblPrEx>
        <w:trPr>
          <w:trHeight w:val="720" w:hRule="atLeast"/>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城区片（石莲花水库片）</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北部片</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双河口水库片</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明月江片</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安云水库片</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长滩河西片</w:t>
            </w:r>
          </w:p>
        </w:tc>
        <w:tc>
          <w:tcPr>
            <w:tcW w:w="4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固家河区</w:t>
            </w: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416" w:type="pct"/>
            <w:vMerge w:val="restar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2025年</w:t>
            </w:r>
          </w:p>
        </w:tc>
        <w:tc>
          <w:tcPr>
            <w:tcW w:w="833"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地表水</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8540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1435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1163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267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1786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1493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477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15162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88.47%</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地下水</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111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207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392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56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86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1029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6.01%</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其他水源</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947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947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5.52%</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合计</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9598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1642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1555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323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1937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1579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504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17138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100.00%</w:t>
            </w:r>
          </w:p>
        </w:tc>
      </w:tr>
      <w:tr>
        <w:tblPrEx>
          <w:tblCellMar>
            <w:top w:w="0" w:type="dxa"/>
            <w:left w:w="108" w:type="dxa"/>
            <w:bottom w:w="0" w:type="dxa"/>
            <w:right w:w="108" w:type="dxa"/>
          </w:tblCellMar>
        </w:tblPrEx>
        <w:trPr>
          <w:trHeight w:val="285" w:hRule="atLeast"/>
        </w:trPr>
        <w:tc>
          <w:tcPr>
            <w:tcW w:w="416" w:type="pct"/>
            <w:vMerge w:val="restar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2030年</w:t>
            </w:r>
          </w:p>
        </w:tc>
        <w:tc>
          <w:tcPr>
            <w:tcW w:w="833"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地表水</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11707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1960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1542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446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3011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2275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724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21666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90.29%</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地下水</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111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207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434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56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86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1072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4.47%</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其他水源</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1258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1258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5.24%</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合计</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13075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2167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1977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502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3162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2361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751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23995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100.00%</w:t>
            </w:r>
          </w:p>
        </w:tc>
      </w:tr>
      <w:tr>
        <w:tblPrEx>
          <w:tblCellMar>
            <w:top w:w="0" w:type="dxa"/>
            <w:left w:w="108" w:type="dxa"/>
            <w:bottom w:w="0" w:type="dxa"/>
            <w:right w:w="108" w:type="dxa"/>
          </w:tblCellMar>
        </w:tblPrEx>
        <w:trPr>
          <w:trHeight w:val="285" w:hRule="atLeast"/>
        </w:trPr>
        <w:tc>
          <w:tcPr>
            <w:tcW w:w="416" w:type="pct"/>
            <w:vMerge w:val="restar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2035年</w:t>
            </w:r>
          </w:p>
        </w:tc>
        <w:tc>
          <w:tcPr>
            <w:tcW w:w="833"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地表水</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13129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2095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1643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478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2970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2402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781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23497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90.10%</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地下水</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111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207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482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56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151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86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27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1119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4.29%</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其他水源</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1464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1464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5.61%</w:t>
            </w:r>
          </w:p>
        </w:tc>
      </w:tr>
      <w:tr>
        <w:tblPrEx>
          <w:tblCellMar>
            <w:top w:w="0" w:type="dxa"/>
            <w:left w:w="108" w:type="dxa"/>
            <w:bottom w:w="0" w:type="dxa"/>
            <w:right w:w="108" w:type="dxa"/>
          </w:tblCellMar>
        </w:tblPrEx>
        <w:trPr>
          <w:trHeight w:val="285" w:hRule="atLeast"/>
        </w:trPr>
        <w:tc>
          <w:tcPr>
            <w:tcW w:w="416" w:type="pct"/>
            <w:vMerge w:val="continue"/>
            <w:tcBorders>
              <w:top w:val="nil"/>
              <w:left w:val="single" w:color="000000" w:sz="4" w:space="0"/>
              <w:bottom w:val="single" w:color="000000" w:sz="4" w:space="0"/>
              <w:right w:val="single" w:color="000000" w:sz="4" w:space="0"/>
            </w:tcBorders>
            <w:shd w:val="clear" w:color="auto" w:fill="FFFFFF"/>
            <w:noWrap/>
            <w:vAlign w:val="center"/>
          </w:tcPr>
          <w:p>
            <w:pPr>
              <w:spacing w:line="240" w:lineRule="auto"/>
              <w:ind w:firstLine="360"/>
              <w:jc w:val="center"/>
              <w:rPr>
                <w:rFonts w:eastAsia="宋体"/>
                <w:color w:val="000000" w:themeColor="text1"/>
                <w:sz w:val="18"/>
                <w:szCs w:val="18"/>
                <w14:textFill>
                  <w14:solidFill>
                    <w14:schemeClr w14:val="tx1"/>
                  </w14:solidFill>
                </w14:textFill>
              </w:rPr>
            </w:pP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合计</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14703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2302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2125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533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3120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2489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808 </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 xml:space="preserve">26080 </w:t>
            </w:r>
          </w:p>
        </w:tc>
        <w:tc>
          <w:tcPr>
            <w:tcW w:w="416" w:type="pct"/>
            <w:tcBorders>
              <w:top w:val="nil"/>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18"/>
                <w:szCs w:val="18"/>
                <w14:textFill>
                  <w14:solidFill>
                    <w14:schemeClr w14:val="tx1"/>
                  </w14:solidFill>
                </w14:textFill>
              </w:rPr>
            </w:pPr>
            <w:r>
              <w:rPr>
                <w:rFonts w:eastAsia="宋体"/>
                <w:color w:val="000000" w:themeColor="text1"/>
                <w:kern w:val="0"/>
                <w:sz w:val="18"/>
                <w:szCs w:val="18"/>
                <w:lang w:bidi="ar"/>
                <w14:textFill>
                  <w14:solidFill>
                    <w14:schemeClr w14:val="tx1"/>
                  </w14:solidFill>
                </w14:textFill>
              </w:rPr>
              <w:t>100.00%</w:t>
            </w:r>
          </w:p>
        </w:tc>
      </w:tr>
    </w:tbl>
    <w:p>
      <w:pPr>
        <w:spacing w:line="240" w:lineRule="exact"/>
        <w:ind w:firstLine="480"/>
        <w:jc w:val="right"/>
        <w:rPr>
          <w:rFonts w:eastAsia="宋体"/>
          <w:color w:val="000000" w:themeColor="text1"/>
          <w:sz w:val="24"/>
          <w14:textFill>
            <w14:solidFill>
              <w14:schemeClr w14:val="tx1"/>
            </w14:solidFill>
          </w14:textFill>
        </w:rPr>
      </w:pPr>
    </w:p>
    <w:p>
      <w:pPr>
        <w:pStyle w:val="5"/>
        <w:rPr>
          <w:rFonts w:ascii="Times New Roman" w:hAnsi="Times New Roman"/>
          <w:color w:val="000000" w:themeColor="text1"/>
          <w14:textFill>
            <w14:solidFill>
              <w14:schemeClr w14:val="tx1"/>
            </w14:solidFill>
          </w14:textFill>
        </w:rPr>
      </w:pPr>
      <w:bookmarkStart w:id="221" w:name="_Toc21421"/>
      <w:r>
        <w:rPr>
          <w:rFonts w:ascii="Times New Roman" w:hAnsi="Times New Roman"/>
          <w:color w:val="000000" w:themeColor="text1"/>
          <w14:textFill>
            <w14:solidFill>
              <w14:schemeClr w14:val="tx1"/>
            </w14:solidFill>
          </w14:textFill>
        </w:rPr>
        <w:t>5</w:t>
      </w:r>
      <w:r>
        <w:rPr>
          <w:rFonts w:ascii="Times New Roman" w:hAnsi="Times New Roman"/>
          <w:color w:val="000000" w:themeColor="text1"/>
          <w:lang w:eastAsia="en-US"/>
          <w14:textFill>
            <w14:solidFill>
              <w14:schemeClr w14:val="tx1"/>
            </w14:solidFill>
          </w14:textFill>
        </w:rPr>
        <w:t>.</w:t>
      </w:r>
      <w:r>
        <w:rPr>
          <w:rFonts w:ascii="Times New Roman" w:hAnsi="Times New Roman"/>
          <w:color w:val="000000" w:themeColor="text1"/>
          <w14:textFill>
            <w14:solidFill>
              <w14:schemeClr w14:val="tx1"/>
            </w14:solidFill>
          </w14:textFill>
        </w:rPr>
        <w:t>5</w:t>
      </w:r>
      <w:r>
        <w:rPr>
          <w:rFonts w:ascii="Times New Roman" w:hAnsi="Times New Roman"/>
          <w:color w:val="000000" w:themeColor="text1"/>
          <w:lang w:eastAsia="en-US"/>
          <w14:textFill>
            <w14:solidFill>
              <w14:schemeClr w14:val="tx1"/>
            </w14:solidFill>
          </w14:textFill>
        </w:rPr>
        <w:t>.3</w:t>
      </w:r>
      <w:r>
        <w:rPr>
          <w:rFonts w:ascii="Times New Roman" w:hAnsi="Times New Roman"/>
          <w:color w:val="000000" w:themeColor="text1"/>
          <w14:textFill>
            <w14:solidFill>
              <w14:schemeClr w14:val="tx1"/>
            </w14:solidFill>
          </w14:textFill>
        </w:rPr>
        <w:t xml:space="preserve">  不同行业水量配置</w:t>
      </w:r>
      <w:bookmarkEnd w:id="221"/>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在水资源配置中，既要考虑水资源有效供给以保障经济社会的发展，同时经济社会发展也要适应水资源条件，根据水资源的承载能力确定产业结构与经济布局， 通过水资源的高效利用促进经济增长方式的转变，合理醍置</w:t>
      </w:r>
      <w:r>
        <w:rPr>
          <w:rFonts w:hint="eastAsia" w:ascii="Times New Roman" w:hAnsi="Times New Roman" w:eastAsia="仿宋_GB2312" w:cs="Times New Roman"/>
          <w:iCs/>
          <w:color w:val="000000" w:themeColor="text1"/>
          <w:sz w:val="28"/>
          <w:szCs w:val="28"/>
          <w:lang w:val="zh-CN" w:eastAsia="zh-CN"/>
          <w14:textFill>
            <w14:solidFill>
              <w14:schemeClr w14:val="tx1"/>
            </w14:solidFill>
          </w14:textFill>
        </w:rPr>
        <w:t>“</w:t>
      </w:r>
      <w:r>
        <w:rPr>
          <w:rFonts w:ascii="Times New Roman" w:hAnsi="Times New Roman" w:eastAsia="仿宋_GB2312" w:cs="Times New Roman"/>
          <w:iCs/>
          <w:color w:val="000000" w:themeColor="text1"/>
          <w:sz w:val="28"/>
          <w:szCs w:val="28"/>
          <w:lang w:val="zh-CN" w:eastAsia="zh-CN"/>
          <w14:textFill>
            <w14:solidFill>
              <w14:schemeClr w14:val="tx1"/>
            </w14:solidFill>
          </w14:textFill>
        </w:rPr>
        <w:t>三</w:t>
      </w:r>
      <w:r>
        <w:rPr>
          <w:rFonts w:ascii="Times New Roman" w:hAnsi="Times New Roman" w:eastAsia="仿宋_GB2312" w:cs="Times New Roman"/>
          <w:iCs/>
          <w:color w:val="000000" w:themeColor="text1"/>
          <w:sz w:val="28"/>
          <w:szCs w:val="28"/>
          <w14:textFill>
            <w14:solidFill>
              <w14:schemeClr w14:val="tx1"/>
            </w14:solidFill>
          </w14:textFill>
        </w:rPr>
        <w:t>生</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用水，保障 居民生活水平提高、经济发展和环境改善的用水要求。</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202</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5</w:t>
      </w:r>
      <w:r>
        <w:rPr>
          <w:rFonts w:ascii="Times New Roman" w:hAnsi="Times New Roman" w:eastAsia="仿宋_GB2312" w:cs="Times New Roman"/>
          <w:iCs/>
          <w:color w:val="000000" w:themeColor="text1"/>
          <w:sz w:val="28"/>
          <w:szCs w:val="28"/>
          <w14:textFill>
            <w14:solidFill>
              <w14:schemeClr w14:val="tx1"/>
            </w14:solidFill>
          </w14:textFill>
        </w:rPr>
        <w:t>年通川区多年平均配置水量</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17138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其中城镇生活、农村生活、二产、三产</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农业及</w:t>
      </w:r>
      <w:r>
        <w:rPr>
          <w:rFonts w:ascii="Times New Roman" w:hAnsi="Times New Roman" w:eastAsia="仿宋_GB2312" w:cs="Times New Roman"/>
          <w:iCs/>
          <w:color w:val="000000" w:themeColor="text1"/>
          <w:sz w:val="28"/>
          <w:szCs w:val="28"/>
          <w14:textFill>
            <w14:solidFill>
              <w14:schemeClr w14:val="tx1"/>
            </w14:solidFill>
          </w14:textFill>
        </w:rPr>
        <w:t>生态配置水量分别为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5338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、1754</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、2079</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、1588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、4749</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、1630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相应的用水比例</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为31.1%、10.2%、12.1%、9.3%、27.%、9.5%。其中城区合计用水9598万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hint="eastAsia" w:ascii="Times New Roman" w:hAnsi="Times New Roman" w:cs="Times New Roman"/>
          <w:iCs/>
          <w:color w:val="000000" w:themeColor="text1"/>
          <w:sz w:val="24"/>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占比56%；农业供水各片均有分布。</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20</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30</w:t>
      </w:r>
      <w:r>
        <w:rPr>
          <w:rFonts w:ascii="Times New Roman" w:hAnsi="Times New Roman" w:eastAsia="仿宋_GB2312" w:cs="Times New Roman"/>
          <w:iCs/>
          <w:color w:val="000000" w:themeColor="text1"/>
          <w:sz w:val="28"/>
          <w:szCs w:val="28"/>
          <w14:textFill>
            <w14:solidFill>
              <w14:schemeClr w14:val="tx1"/>
            </w14:solidFill>
          </w14:textFill>
        </w:rPr>
        <w:t>年通川区多年平均配置水量</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239</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9</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5</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其中城镇生活、农村生活、二产、三产</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农业及</w:t>
      </w:r>
      <w:r>
        <w:rPr>
          <w:rFonts w:ascii="Times New Roman" w:hAnsi="Times New Roman" w:eastAsia="仿宋_GB2312" w:cs="Times New Roman"/>
          <w:iCs/>
          <w:color w:val="000000" w:themeColor="text1"/>
          <w:sz w:val="28"/>
          <w:szCs w:val="28"/>
          <w14:textFill>
            <w14:solidFill>
              <w14:schemeClr w14:val="tx1"/>
            </w14:solidFill>
          </w14:textFill>
        </w:rPr>
        <w:t>生态配置水量分别为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7174</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、1948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、2778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、2122</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、7784</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、2190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相应的用水比例</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为29.9%、8.1%、11.6%、8.8%、32.4%、9.1%。其中城区合计用水13075万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hint="eastAsia"/>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占比55%。</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20</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35</w:t>
      </w:r>
      <w:r>
        <w:rPr>
          <w:rFonts w:ascii="Times New Roman" w:hAnsi="Times New Roman" w:eastAsia="仿宋_GB2312" w:cs="Times New Roman"/>
          <w:iCs/>
          <w:color w:val="000000" w:themeColor="text1"/>
          <w:sz w:val="28"/>
          <w:szCs w:val="28"/>
          <w14:textFill>
            <w14:solidFill>
              <w14:schemeClr w14:val="tx1"/>
            </w14:solidFill>
          </w14:textFill>
        </w:rPr>
        <w:t>年通川区多年平均配置水量</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26080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其中城镇生活、农村生活、二产、三产</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农业及</w:t>
      </w:r>
      <w:r>
        <w:rPr>
          <w:rFonts w:ascii="Times New Roman" w:hAnsi="Times New Roman" w:eastAsia="仿宋_GB2312" w:cs="Times New Roman"/>
          <w:iCs/>
          <w:color w:val="000000" w:themeColor="text1"/>
          <w:sz w:val="28"/>
          <w:szCs w:val="28"/>
          <w14:textFill>
            <w14:solidFill>
              <w14:schemeClr w14:val="tx1"/>
            </w14:solidFill>
          </w14:textFill>
        </w:rPr>
        <w:t>生态配置水量分别为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8080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、1933</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、3107</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、2374</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、8118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、2467</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相应的用水比例</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为31.0%、7.4%、11.9%、9.1%、31.1%、9.5%。其中城区合计用水14703万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hint="eastAsia"/>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占比56%。</w:t>
      </w:r>
    </w:p>
    <w:p>
      <w:pPr>
        <w:pStyle w:val="113"/>
        <w:numPr>
          <w:ilvl w:val="0"/>
          <w:numId w:val="6"/>
        </w:numPr>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城镇生活配水</w:t>
      </w:r>
    </w:p>
    <w:p>
      <w:pPr>
        <w:pStyle w:val="113"/>
        <w:spacing w:line="520" w:lineRule="exact"/>
        <w:ind w:firstLine="420" w:firstLineChars="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根据2035年行业配水成果，</w:t>
      </w:r>
      <w:r>
        <w:rPr>
          <w:rFonts w:ascii="Times New Roman" w:hAnsi="Times New Roman" w:eastAsia="仿宋_GB2312" w:cs="Times New Roman"/>
          <w:iCs/>
          <w:color w:val="000000" w:themeColor="text1"/>
          <w:sz w:val="28"/>
          <w:szCs w:val="28"/>
          <w14:textFill>
            <w14:solidFill>
              <w14:schemeClr w14:val="tx1"/>
            </w14:solidFill>
          </w14:textFill>
        </w:rPr>
        <w:t>通川区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城镇生活配置水量8080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，占比31%，其中城区生活配置水量7348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，占全区生活配置水量的91%。城镇生活配水主要采用城镇供水管网结合部分乡镇集中供水站来实现，水量主要取自中型水库以及过境水利用。</w:t>
      </w:r>
    </w:p>
    <w:p>
      <w:pPr>
        <w:pStyle w:val="113"/>
        <w:numPr>
          <w:ilvl w:val="0"/>
          <w:numId w:val="6"/>
        </w:numPr>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工业用水配水</w:t>
      </w:r>
    </w:p>
    <w:p>
      <w:pPr>
        <w:pStyle w:val="113"/>
        <w:spacing w:line="520" w:lineRule="exact"/>
        <w:ind w:firstLine="420" w:firstLineChars="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根据2035年行业配水成果，</w:t>
      </w:r>
      <w:r>
        <w:rPr>
          <w:rFonts w:ascii="Times New Roman" w:hAnsi="Times New Roman" w:eastAsia="仿宋_GB2312" w:cs="Times New Roman"/>
          <w:iCs/>
          <w:color w:val="000000" w:themeColor="text1"/>
          <w:sz w:val="28"/>
          <w:szCs w:val="28"/>
          <w14:textFill>
            <w14:solidFill>
              <w14:schemeClr w14:val="tx1"/>
            </w14:solidFill>
          </w14:textFill>
        </w:rPr>
        <w:t>通川区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工业配置水量3108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，占比12%，其中城区工业配置水量2670</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，占全区生活配置水量的86%。城镇工业配水主要采用集中水厂结合工矿企业沿河取水设施配给，水量主要取自过境水利用。</w:t>
      </w:r>
    </w:p>
    <w:p>
      <w:pPr>
        <w:pStyle w:val="113"/>
        <w:numPr>
          <w:ilvl w:val="0"/>
          <w:numId w:val="6"/>
        </w:numPr>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农村生活配水</w:t>
      </w:r>
    </w:p>
    <w:p>
      <w:pPr>
        <w:pStyle w:val="113"/>
        <w:spacing w:line="520" w:lineRule="exact"/>
        <w:ind w:firstLine="420" w:firstLineChars="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根据2035年行业配水成果，</w:t>
      </w:r>
      <w:r>
        <w:rPr>
          <w:rFonts w:ascii="Times New Roman" w:hAnsi="Times New Roman" w:eastAsia="仿宋_GB2312" w:cs="Times New Roman"/>
          <w:iCs/>
          <w:color w:val="000000" w:themeColor="text1"/>
          <w:sz w:val="28"/>
          <w:szCs w:val="28"/>
          <w14:textFill>
            <w14:solidFill>
              <w14:schemeClr w14:val="tx1"/>
            </w14:solidFill>
          </w14:textFill>
        </w:rPr>
        <w:t>通川区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农村人畜配置水量1933</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，占比7.4%，农村人畜配置水量主要取自乡镇供水站及零星农村集中供水站，水源来自中型水库及小型水库，另外还有少量引提水工程。</w:t>
      </w:r>
    </w:p>
    <w:p>
      <w:pPr>
        <w:pStyle w:val="113"/>
        <w:numPr>
          <w:ilvl w:val="0"/>
          <w:numId w:val="6"/>
        </w:numPr>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灌溉配水</w:t>
      </w:r>
    </w:p>
    <w:p>
      <w:pPr>
        <w:pStyle w:val="113"/>
        <w:spacing w:line="520" w:lineRule="exact"/>
        <w:ind w:firstLine="420" w:firstLineChars="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根据2035年行业配水成果，</w:t>
      </w:r>
      <w:r>
        <w:rPr>
          <w:rFonts w:ascii="Times New Roman" w:hAnsi="Times New Roman" w:eastAsia="仿宋_GB2312" w:cs="Times New Roman"/>
          <w:iCs/>
          <w:color w:val="000000" w:themeColor="text1"/>
          <w:sz w:val="28"/>
          <w:szCs w:val="28"/>
          <w14:textFill>
            <w14:solidFill>
              <w14:schemeClr w14:val="tx1"/>
            </w14:solidFill>
          </w14:textFill>
        </w:rPr>
        <w:t>通川区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农村人畜配置水量8118</w:t>
      </w:r>
      <w:r>
        <w:rPr>
          <w:rFonts w:ascii="Times New Roman" w:hAnsi="Times New Roman" w:eastAsia="仿宋_GB2312" w:cs="Times New Roman"/>
          <w:iCs/>
          <w:color w:val="000000" w:themeColor="text1"/>
          <w:sz w:val="28"/>
          <w:szCs w:val="28"/>
          <w14:textFill>
            <w14:solidFill>
              <w14:schemeClr w14:val="tx1"/>
            </w14:solidFill>
          </w14:textFill>
        </w:rPr>
        <w:t>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，占比31%，农业灌溉水量主要取自水库及引提水工程渠系供给，水源来自中型水库及小型水库，另外还有少量引提水工程。</w:t>
      </w:r>
    </w:p>
    <w:p>
      <w:pPr>
        <w:pStyle w:val="2"/>
        <w:ind w:firstLine="560"/>
        <w:rPr>
          <w:color w:val="000000" w:themeColor="text1"/>
          <w:lang w:bidi="zh-TW"/>
          <w14:textFill>
            <w14:solidFill>
              <w14:schemeClr w14:val="tx1"/>
            </w14:solidFill>
          </w14:textFill>
        </w:rPr>
      </w:pPr>
      <w:r>
        <w:rPr>
          <w:color w:val="000000" w:themeColor="text1"/>
          <w14:textFill>
            <w14:solidFill>
              <w14:schemeClr w14:val="tx1"/>
            </w14:solidFill>
          </w14:textFill>
        </w:rPr>
        <w:br w:type="page"/>
      </w:r>
    </w:p>
    <w:p>
      <w:pPr>
        <w:pStyle w:val="11"/>
        <w:keepNext/>
        <w:keepLines/>
        <w:widowControl w:val="0"/>
        <w:tabs>
          <w:tab w:val="clear" w:pos="510"/>
          <w:tab w:val="clear" w:pos="1021"/>
        </w:tabs>
        <w:adjustRightInd/>
        <w:spacing w:before="120" w:after="120"/>
        <w:jc w:val="center"/>
        <w:textAlignment w:val="auto"/>
        <w:rPr>
          <w:rFonts w:ascii="Times New Roman" w:hAnsi="Times New Roman"/>
          <w:b/>
          <w:bCs/>
          <w:i w:val="0"/>
          <w:color w:val="000000" w:themeColor="text1"/>
          <w14:textFill>
            <w14:solidFill>
              <w14:schemeClr w14:val="tx1"/>
            </w14:solidFill>
          </w14:textFill>
        </w:rPr>
      </w:pPr>
      <w:r>
        <w:rPr>
          <w:rFonts w:ascii="Times New Roman" w:hAnsi="Times New Roman"/>
          <w:b/>
          <w:bCs/>
          <w:i w:val="0"/>
          <w:color w:val="000000" w:themeColor="text1"/>
          <w14:textFill>
            <w14:solidFill>
              <w14:schemeClr w14:val="tx1"/>
            </w14:solidFill>
          </w14:textFill>
        </w:rPr>
        <w:t>表5.5.3  通川区各片规划水平年行业用水配置成果表</w:t>
      </w:r>
    </w:p>
    <w:p>
      <w:pPr>
        <w:spacing w:line="240" w:lineRule="exact"/>
        <w:ind w:firstLine="0" w:firstLineChars="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单位：万</w:t>
      </w:r>
      <w:r>
        <w:rPr>
          <w:rFonts w:hint="eastAsia"/>
          <w:color w:val="000000" w:themeColor="text1"/>
          <w:sz w:val="24"/>
          <w14:textFill>
            <w14:solidFill>
              <w14:schemeClr w14:val="tx1"/>
            </w14:solidFill>
          </w14:textFill>
        </w:rPr>
        <w:t>m³</w:t>
      </w:r>
    </w:p>
    <w:tbl>
      <w:tblPr>
        <w:tblStyle w:val="40"/>
        <w:tblW w:w="0" w:type="auto"/>
        <w:tblInd w:w="93" w:type="dxa"/>
        <w:tblLayout w:type="autofit"/>
        <w:tblCellMar>
          <w:top w:w="0" w:type="dxa"/>
          <w:left w:w="108" w:type="dxa"/>
          <w:bottom w:w="0" w:type="dxa"/>
          <w:right w:w="108" w:type="dxa"/>
        </w:tblCellMar>
      </w:tblPr>
      <w:tblGrid>
        <w:gridCol w:w="636"/>
        <w:gridCol w:w="1056"/>
        <w:gridCol w:w="1164"/>
        <w:gridCol w:w="686"/>
        <w:gridCol w:w="835"/>
        <w:gridCol w:w="655"/>
        <w:gridCol w:w="785"/>
        <w:gridCol w:w="785"/>
        <w:gridCol w:w="655"/>
        <w:gridCol w:w="741"/>
        <w:gridCol w:w="969"/>
      </w:tblGrid>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年型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行业用水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双龙河区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魏家河区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明月江区</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长滩河区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固家河区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合计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百分比</w:t>
            </w:r>
          </w:p>
        </w:tc>
      </w:tr>
      <w:tr>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城区片（石莲花水库片）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北部片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双河口水库片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明月江片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安云水库片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长滩河西片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固家河区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城镇生活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4757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299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5338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31.15%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农村生活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248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428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314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272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1754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10.23%</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二产用水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1728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2079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12.13%</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三产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116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1588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9.27%</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农业用水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780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469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1580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1261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370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4749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27.71%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生态用水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1452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1630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9.51%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9598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1642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1555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323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1937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1579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503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17138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100.00%</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城镇生活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6462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260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366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7174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29.90%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农村生活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352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327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475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325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281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1947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8.11%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二产用水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2348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186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2778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11.58%</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三产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1794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2122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8.84%</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农业用水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1156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696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369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2784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2025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607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7784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32.44%</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生态用水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1973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112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2190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9.13%</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13075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2167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1977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502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3162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2361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751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23995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100.00%</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2035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城镇生活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7348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251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392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8080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30.98%</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农村生活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250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334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527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337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292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1933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7.41%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二产用水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2670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188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198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3107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11.91%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三产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2040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2374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9.10%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农业用水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153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1308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737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396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2726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2137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661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8118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31.13%</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生态用水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2243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77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2467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9.46%</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40" w:lineRule="auto"/>
              <w:ind w:firstLine="420"/>
              <w:jc w:val="center"/>
              <w:rPr>
                <w:rFonts w:eastAsia="宋体"/>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14703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2302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2125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533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3120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2489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808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 xml:space="preserve">26080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40" w:lineRule="auto"/>
              <w:ind w:firstLine="0" w:firstLineChars="0"/>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100.00%</w:t>
            </w:r>
          </w:p>
        </w:tc>
      </w:tr>
    </w:tbl>
    <w:p>
      <w:pPr>
        <w:pStyle w:val="5"/>
        <w:rPr>
          <w:rFonts w:ascii="Times New Roman" w:hAnsi="Times New Roman"/>
          <w:color w:val="000000" w:themeColor="text1"/>
          <w14:textFill>
            <w14:solidFill>
              <w14:schemeClr w14:val="tx1"/>
            </w14:solidFill>
          </w14:textFill>
        </w:rPr>
      </w:pPr>
      <w:bookmarkStart w:id="222" w:name="_Toc22622"/>
      <w:r>
        <w:rPr>
          <w:rFonts w:ascii="Times New Roman" w:hAnsi="Times New Roman"/>
          <w:color w:val="000000" w:themeColor="text1"/>
          <w14:textFill>
            <w14:solidFill>
              <w14:schemeClr w14:val="tx1"/>
            </w14:solidFill>
          </w14:textFill>
        </w:rPr>
        <w:t>5.5.4  区域重点地区供水解决方案</w:t>
      </w:r>
      <w:bookmarkEnd w:id="222"/>
    </w:p>
    <w:p>
      <w:pPr>
        <w:pStyle w:val="6"/>
        <w:rPr>
          <w:color w:val="000000" w:themeColor="text1"/>
          <w14:textFill>
            <w14:solidFill>
              <w14:schemeClr w14:val="tx1"/>
            </w14:solidFill>
          </w14:textFill>
        </w:rPr>
      </w:pPr>
      <w:r>
        <w:rPr>
          <w:color w:val="000000" w:themeColor="text1"/>
          <w14:textFill>
            <w14:solidFill>
              <w14:schemeClr w14:val="tx1"/>
            </w14:solidFill>
          </w14:textFill>
        </w:rPr>
        <w:t>5.5.4.1  城市及工业园供水解决方案</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根据达州市发展定位，同时结合通川区水资源分布特点及其经济社会发展格局，通川区经济发展紧紧围绕2025年经济总量、2035年城市规模的目标任务，大力实施</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“三城三地三片”</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发展战略</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，致力建设</w:t>
      </w:r>
      <w:r>
        <w:rPr>
          <w:rFonts w:ascii="Times New Roman" w:hAnsi="Times New Roman" w:eastAsia="仿宋_GB2312" w:cs="Times New Roman"/>
          <w:color w:val="000000" w:themeColor="text1"/>
          <w:sz w:val="28"/>
          <w:szCs w:val="28"/>
          <w:lang w:val="en-US" w:eastAsia="zh-CN" w:bidi="ar-SA"/>
          <w14:textFill>
            <w14:solidFill>
              <w14:schemeClr w14:val="tx1"/>
            </w14:solidFill>
          </w14:textFill>
        </w:rPr>
        <w:t>实力之城、活力之城、魅力之城，通达开放前沿地、城郊旅游目的地、幸福宜居首选地，都市商贸物流集聚片区、环凤产城一体发展片区、北部农旅融合发展片区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w:t>
      </w:r>
    </w:p>
    <w:p>
      <w:pPr>
        <w:pStyle w:val="113"/>
        <w:numPr>
          <w:ilvl w:val="0"/>
          <w:numId w:val="7"/>
        </w:numPr>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中心城区供水安全</w:t>
      </w:r>
    </w:p>
    <w:p>
      <w:pPr>
        <w:pStyle w:val="113"/>
        <w:spacing w:line="518" w:lineRule="exact"/>
        <w:ind w:firstLine="560"/>
        <w:jc w:val="left"/>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要确保城市供水安全，需要在技术、基础设施、经济、组织模式和结构等方面的创新和发展。实现城市供水安全，将关系到</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全区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人民的福祉，也关系到社会和政治的稳定。可靠和高质量的城市供水服务，是很多政府的一项基本职能。目前，通川区中心城区自来水厂共只有3座：凤翎水厂、吴家沟水厂和莲湖水厂，水源均为州河，设计规模总计52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/d，现状实际供水能力25</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/d。</w:t>
      </w:r>
    </w:p>
    <w:p>
      <w:pPr>
        <w:pStyle w:val="113"/>
        <w:spacing w:line="518" w:lineRule="exact"/>
        <w:ind w:firstLine="560"/>
        <w:jc w:val="left"/>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通川区中心城区规划年用水水源主要包括巴河</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长滩湖</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水库、中型水库石莲花水库以及州河过境水利用，同时利用少量小型水库及微型水利设施。</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表5.5.4</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中心城区水厂供水情况</w:t>
      </w:r>
      <w:r>
        <w:rPr>
          <w:rFonts w:hint="eastAsia"/>
          <w:color w:val="000000" w:themeColor="text1"/>
          <w14:textFill>
            <w14:solidFill>
              <w14:schemeClr w14:val="tx1"/>
            </w14:solidFill>
          </w14:textFill>
        </w:rPr>
        <w:t>统计</w:t>
      </w:r>
      <w:r>
        <w:rPr>
          <w:color w:val="000000" w:themeColor="text1"/>
          <w14:textFill>
            <w14:solidFill>
              <w14:schemeClr w14:val="tx1"/>
            </w14:solidFill>
          </w14:textFill>
        </w:rPr>
        <w:t>表</w:t>
      </w:r>
    </w:p>
    <w:p>
      <w:pPr>
        <w:pStyle w:val="129"/>
        <w:tabs>
          <w:tab w:val="left" w:pos="6346"/>
        </w:tabs>
        <w:spacing w:line="503" w:lineRule="exact"/>
        <w:ind w:firstLine="0" w:firstLineChars="0"/>
        <w:jc w:val="right"/>
        <w:rPr>
          <w:color w:val="000000" w:themeColor="text1"/>
          <w14:textFill>
            <w14:solidFill>
              <w14:schemeClr w14:val="tx1"/>
            </w14:solidFill>
          </w14:textFill>
        </w:rPr>
      </w:pPr>
      <w:r>
        <w:rPr>
          <w:rFonts w:eastAsia="宋体"/>
          <w:color w:val="000000" w:themeColor="text1"/>
          <w:sz w:val="22"/>
          <w:szCs w:val="22"/>
          <w14:textFill>
            <w14:solidFill>
              <w14:schemeClr w14:val="tx1"/>
            </w14:solidFill>
          </w14:textFill>
        </w:rPr>
        <w:t>单位：（万</w:t>
      </w:r>
      <w:r>
        <w:rPr>
          <w:rFonts w:hint="eastAsia" w:eastAsia="宋体"/>
          <w:color w:val="000000" w:themeColor="text1"/>
          <w:sz w:val="24"/>
          <w:lang w:val="en-US" w:eastAsia="zh-CN" w:bidi="en-US"/>
          <w14:textFill>
            <w14:solidFill>
              <w14:schemeClr w14:val="tx1"/>
            </w14:solidFill>
          </w14:textFill>
        </w:rPr>
        <w:t>m³</w:t>
      </w:r>
      <w:r>
        <w:rPr>
          <w:rFonts w:eastAsia="Times New Roman"/>
          <w:color w:val="000000" w:themeColor="text1"/>
          <w:sz w:val="24"/>
          <w:lang w:val="en-US" w:eastAsia="en-US" w:bidi="en-US"/>
          <w14:textFill>
            <w14:solidFill>
              <w14:schemeClr w14:val="tx1"/>
            </w14:solidFill>
          </w14:textFill>
        </w:rPr>
        <w:t>/d</w:t>
      </w:r>
      <w:r>
        <w:rPr>
          <w:rFonts w:hint="eastAsia" w:asciiTheme="minorEastAsia" w:hAnsiTheme="minorEastAsia" w:eastAsiaTheme="minorEastAsia"/>
          <w:color w:val="000000" w:themeColor="text1"/>
          <w:sz w:val="24"/>
          <w:lang w:val="en-US" w:eastAsia="zh-CN" w:bidi="en-US"/>
          <w14:textFill>
            <w14:solidFill>
              <w14:schemeClr w14:val="tx1"/>
            </w14:solidFill>
          </w14:textFill>
        </w:rPr>
        <w:t>）</w:t>
      </w:r>
    </w:p>
    <w:tbl>
      <w:tblPr>
        <w:tblStyle w:val="40"/>
        <w:tblW w:w="0" w:type="auto"/>
        <w:jc w:val="center"/>
        <w:tblLayout w:type="fixed"/>
        <w:tblCellMar>
          <w:top w:w="0" w:type="dxa"/>
          <w:left w:w="10" w:type="dxa"/>
          <w:bottom w:w="0" w:type="dxa"/>
          <w:right w:w="10" w:type="dxa"/>
        </w:tblCellMar>
      </w:tblPr>
      <w:tblGrid>
        <w:gridCol w:w="1771"/>
        <w:gridCol w:w="2366"/>
        <w:gridCol w:w="2520"/>
        <w:gridCol w:w="1123"/>
        <w:gridCol w:w="1262"/>
      </w:tblGrid>
      <w:tr>
        <w:tblPrEx>
          <w:tblCellMar>
            <w:top w:w="0" w:type="dxa"/>
            <w:left w:w="10" w:type="dxa"/>
            <w:bottom w:w="0" w:type="dxa"/>
            <w:right w:w="10" w:type="dxa"/>
          </w:tblCellMar>
        </w:tblPrEx>
        <w:trPr>
          <w:trHeight w:val="566" w:hRule="exact"/>
          <w:jc w:val="center"/>
        </w:trPr>
        <w:tc>
          <w:tcPr>
            <w:tcW w:w="177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水厂名称</w:t>
            </w:r>
          </w:p>
        </w:tc>
        <w:tc>
          <w:tcPr>
            <w:tcW w:w="2366"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地理位置</w:t>
            </w:r>
          </w:p>
        </w:tc>
        <w:tc>
          <w:tcPr>
            <w:tcW w:w="2520"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供水范围</w:t>
            </w:r>
          </w:p>
        </w:tc>
        <w:tc>
          <w:tcPr>
            <w:tcW w:w="1123" w:type="dxa"/>
            <w:tcBorders>
              <w:top w:val="single" w:color="auto" w:sz="4" w:space="0"/>
              <w:left w:val="single" w:color="auto" w:sz="4" w:space="0"/>
            </w:tcBorders>
            <w:shd w:val="clear" w:color="auto" w:fill="FFFFFF"/>
            <w:vAlign w:val="bottom"/>
          </w:tcPr>
          <w:p>
            <w:pPr>
              <w:pStyle w:val="110"/>
              <w:spacing w:after="6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设计规模</w:t>
            </w:r>
          </w:p>
        </w:tc>
        <w:tc>
          <w:tcPr>
            <w:tcW w:w="1262" w:type="dxa"/>
            <w:tcBorders>
              <w:top w:val="single" w:color="auto" w:sz="4" w:space="0"/>
              <w:left w:val="single" w:color="auto" w:sz="4" w:space="0"/>
              <w:right w:val="single" w:color="auto" w:sz="4" w:space="0"/>
            </w:tcBorders>
            <w:shd w:val="clear" w:color="auto" w:fill="FFFFFF"/>
            <w:vAlign w:val="bottom"/>
          </w:tcPr>
          <w:p>
            <w:pPr>
              <w:pStyle w:val="110"/>
              <w:spacing w:line="278" w:lineRule="exact"/>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实际供水能力</w:t>
            </w:r>
          </w:p>
        </w:tc>
      </w:tr>
      <w:tr>
        <w:tblPrEx>
          <w:tblCellMar>
            <w:top w:w="0" w:type="dxa"/>
            <w:left w:w="10" w:type="dxa"/>
            <w:bottom w:w="0" w:type="dxa"/>
            <w:right w:w="10" w:type="dxa"/>
          </w:tblCellMar>
        </w:tblPrEx>
        <w:trPr>
          <w:trHeight w:val="346" w:hRule="exact"/>
          <w:jc w:val="center"/>
        </w:trPr>
        <w:tc>
          <w:tcPr>
            <w:tcW w:w="1771" w:type="dxa"/>
            <w:tcBorders>
              <w:top w:val="single" w:color="auto" w:sz="4" w:space="0"/>
              <w:left w:val="single" w:color="auto" w:sz="4" w:space="0"/>
            </w:tcBorders>
            <w:shd w:val="clear" w:color="auto" w:fill="FFFFFF"/>
            <w:vAlign w:val="bottom"/>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凤翎水厂</w:t>
            </w:r>
          </w:p>
        </w:tc>
        <w:tc>
          <w:tcPr>
            <w:tcW w:w="2366" w:type="dxa"/>
            <w:tcBorders>
              <w:top w:val="single" w:color="auto" w:sz="4" w:space="0"/>
              <w:left w:val="single" w:color="auto" w:sz="4" w:space="0"/>
            </w:tcBorders>
            <w:shd w:val="clear" w:color="auto" w:fill="FFFFFF"/>
            <w:vAlign w:val="bottom"/>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通川区凤覇关</w:t>
            </w:r>
          </w:p>
        </w:tc>
        <w:tc>
          <w:tcPr>
            <w:tcW w:w="2520" w:type="dxa"/>
            <w:tcBorders>
              <w:top w:val="single" w:color="auto" w:sz="4" w:space="0"/>
              <w:left w:val="single" w:color="auto" w:sz="4" w:space="0"/>
            </w:tcBorders>
            <w:shd w:val="clear" w:color="auto" w:fill="FFFFFF"/>
            <w:vAlign w:val="bottom"/>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老城区、西外片区</w:t>
            </w:r>
          </w:p>
        </w:tc>
        <w:tc>
          <w:tcPr>
            <w:tcW w:w="1123" w:type="dxa"/>
            <w:tcBorders>
              <w:top w:val="single" w:color="auto" w:sz="4" w:space="0"/>
              <w:left w:val="single" w:color="auto" w:sz="4" w:space="0"/>
            </w:tcBorders>
            <w:shd w:val="clear" w:color="auto" w:fill="FFFFFF"/>
            <w:vAlign w:val="bottom"/>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7.0</w:t>
            </w:r>
          </w:p>
        </w:tc>
        <w:tc>
          <w:tcPr>
            <w:tcW w:w="1262" w:type="dxa"/>
            <w:tcBorders>
              <w:top w:val="single" w:color="auto" w:sz="4" w:space="0"/>
              <w:left w:val="single" w:color="auto" w:sz="4" w:space="0"/>
              <w:right w:val="single" w:color="auto" w:sz="4" w:space="0"/>
            </w:tcBorders>
            <w:shd w:val="clear" w:color="auto" w:fill="FFFFFF"/>
            <w:vAlign w:val="bottom"/>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5.0</w:t>
            </w:r>
          </w:p>
        </w:tc>
      </w:tr>
      <w:tr>
        <w:tblPrEx>
          <w:tblCellMar>
            <w:top w:w="0" w:type="dxa"/>
            <w:left w:w="10" w:type="dxa"/>
            <w:bottom w:w="0" w:type="dxa"/>
            <w:right w:w="10" w:type="dxa"/>
          </w:tblCellMar>
        </w:tblPrEx>
        <w:trPr>
          <w:trHeight w:val="350" w:hRule="exact"/>
          <w:jc w:val="center"/>
        </w:trPr>
        <w:tc>
          <w:tcPr>
            <w:tcW w:w="1771" w:type="dxa"/>
            <w:tcBorders>
              <w:top w:val="single" w:color="auto" w:sz="4" w:space="0"/>
              <w:left w:val="single" w:color="auto" w:sz="4" w:space="0"/>
            </w:tcBorders>
            <w:shd w:val="clear" w:color="auto" w:fill="FFFFFF"/>
          </w:tcPr>
          <w:p>
            <w:pPr>
              <w:pStyle w:val="110"/>
              <w:spacing w:before="8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吴家沟水厂</w:t>
            </w:r>
          </w:p>
        </w:tc>
        <w:tc>
          <w:tcPr>
            <w:tcW w:w="2366" w:type="dxa"/>
            <w:tcBorders>
              <w:top w:val="single" w:color="auto" w:sz="4" w:space="0"/>
              <w:left w:val="single" w:color="auto" w:sz="4" w:space="0"/>
            </w:tcBorders>
            <w:shd w:val="clear" w:color="auto" w:fill="FFFFFF"/>
          </w:tcPr>
          <w:p>
            <w:pPr>
              <w:pStyle w:val="110"/>
              <w:spacing w:before="8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通川区肖公庙</w:t>
            </w:r>
          </w:p>
        </w:tc>
        <w:tc>
          <w:tcPr>
            <w:tcW w:w="2520" w:type="dxa"/>
            <w:tcBorders>
              <w:top w:val="single" w:color="auto" w:sz="4" w:space="0"/>
              <w:left w:val="single" w:color="auto" w:sz="4" w:space="0"/>
            </w:tcBorders>
            <w:shd w:val="clear" w:color="auto" w:fill="FFFFFF"/>
          </w:tcPr>
          <w:p>
            <w:pPr>
              <w:pStyle w:val="110"/>
              <w:spacing w:before="8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老城区、北外片区</w:t>
            </w:r>
          </w:p>
        </w:tc>
        <w:tc>
          <w:tcPr>
            <w:tcW w:w="1123" w:type="dxa"/>
            <w:tcBorders>
              <w:top w:val="single" w:color="auto" w:sz="4" w:space="0"/>
              <w:left w:val="single" w:color="auto" w:sz="4" w:space="0"/>
            </w:tcBorders>
            <w:shd w:val="clear" w:color="auto" w:fill="FFFFFF"/>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5.0</w:t>
            </w:r>
          </w:p>
        </w:tc>
        <w:tc>
          <w:tcPr>
            <w:tcW w:w="1262" w:type="dxa"/>
            <w:tcBorders>
              <w:top w:val="single" w:color="auto" w:sz="4" w:space="0"/>
              <w:left w:val="single" w:color="auto" w:sz="4" w:space="0"/>
              <w:right w:val="single" w:color="auto" w:sz="4" w:space="0"/>
            </w:tcBorders>
            <w:shd w:val="clear" w:color="auto" w:fill="FFFFFF"/>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5.0</w:t>
            </w:r>
          </w:p>
        </w:tc>
      </w:tr>
      <w:tr>
        <w:tblPrEx>
          <w:tblCellMar>
            <w:top w:w="0" w:type="dxa"/>
            <w:left w:w="10" w:type="dxa"/>
            <w:bottom w:w="0" w:type="dxa"/>
            <w:right w:w="10" w:type="dxa"/>
          </w:tblCellMar>
        </w:tblPrEx>
        <w:trPr>
          <w:trHeight w:val="547" w:hRule="exact"/>
          <w:jc w:val="center"/>
        </w:trPr>
        <w:tc>
          <w:tcPr>
            <w:tcW w:w="1771" w:type="dxa"/>
            <w:tcBorders>
              <w:top w:val="single" w:color="auto" w:sz="4" w:space="0"/>
              <w:left w:val="single" w:color="auto" w:sz="4" w:space="0"/>
            </w:tcBorders>
            <w:shd w:val="clear" w:color="auto" w:fill="FFFFFF"/>
            <w:vAlign w:val="bottom"/>
          </w:tcPr>
          <w:p>
            <w:pPr>
              <w:pStyle w:val="110"/>
              <w:spacing w:line="274" w:lineRule="exact"/>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三里坪水厂 （达川区）</w:t>
            </w:r>
          </w:p>
        </w:tc>
        <w:tc>
          <w:tcPr>
            <w:tcW w:w="2366"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通川区南外三里坪</w:t>
            </w:r>
          </w:p>
        </w:tc>
        <w:tc>
          <w:tcPr>
            <w:tcW w:w="2520"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南夕卜（通川））片区</w:t>
            </w:r>
          </w:p>
        </w:tc>
        <w:tc>
          <w:tcPr>
            <w:tcW w:w="1123"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10.0</w:t>
            </w:r>
          </w:p>
        </w:tc>
        <w:tc>
          <w:tcPr>
            <w:tcW w:w="1262" w:type="dxa"/>
            <w:tcBorders>
              <w:top w:val="single" w:color="auto" w:sz="4" w:space="0"/>
              <w:left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10.0</w:t>
            </w:r>
          </w:p>
        </w:tc>
      </w:tr>
      <w:tr>
        <w:tblPrEx>
          <w:tblCellMar>
            <w:top w:w="0" w:type="dxa"/>
            <w:left w:w="10" w:type="dxa"/>
            <w:bottom w:w="0" w:type="dxa"/>
            <w:right w:w="10" w:type="dxa"/>
          </w:tblCellMar>
        </w:tblPrEx>
        <w:trPr>
          <w:trHeight w:val="355" w:hRule="exact"/>
          <w:jc w:val="center"/>
        </w:trPr>
        <w:tc>
          <w:tcPr>
            <w:tcW w:w="1771" w:type="dxa"/>
            <w:tcBorders>
              <w:top w:val="single" w:color="auto" w:sz="4" w:space="0"/>
              <w:left w:val="single" w:color="auto" w:sz="4" w:space="0"/>
            </w:tcBorders>
            <w:shd w:val="clear" w:color="auto" w:fill="FFFFFF"/>
          </w:tcPr>
          <w:p>
            <w:pPr>
              <w:pStyle w:val="110"/>
              <w:spacing w:before="8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莲湖水厂</w:t>
            </w:r>
          </w:p>
        </w:tc>
        <w:tc>
          <w:tcPr>
            <w:tcW w:w="2366" w:type="dxa"/>
            <w:tcBorders>
              <w:top w:val="single" w:color="auto" w:sz="4" w:space="0"/>
              <w:left w:val="single" w:color="auto" w:sz="4" w:space="0"/>
            </w:tcBorders>
            <w:shd w:val="clear" w:color="auto" w:fill="FFFFFF"/>
          </w:tcPr>
          <w:p>
            <w:pPr>
              <w:pStyle w:val="110"/>
              <w:spacing w:before="8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通川区西外镇</w:t>
            </w:r>
          </w:p>
        </w:tc>
        <w:tc>
          <w:tcPr>
            <w:tcW w:w="2520" w:type="dxa"/>
            <w:tcBorders>
              <w:top w:val="single" w:color="auto" w:sz="4" w:space="0"/>
              <w:left w:val="single" w:color="auto" w:sz="4" w:space="0"/>
            </w:tcBorders>
            <w:shd w:val="clear" w:color="auto" w:fill="FFFFFF"/>
          </w:tcPr>
          <w:p>
            <w:pPr>
              <w:pStyle w:val="110"/>
              <w:spacing w:before="8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老城区、西外片区</w:t>
            </w:r>
          </w:p>
        </w:tc>
        <w:tc>
          <w:tcPr>
            <w:tcW w:w="1123" w:type="dxa"/>
            <w:tcBorders>
              <w:top w:val="single" w:color="auto" w:sz="4" w:space="0"/>
              <w:left w:val="single" w:color="auto" w:sz="4" w:space="0"/>
            </w:tcBorders>
            <w:shd w:val="clear" w:color="auto" w:fill="FFFFFF"/>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40.0</w:t>
            </w:r>
          </w:p>
        </w:tc>
        <w:tc>
          <w:tcPr>
            <w:tcW w:w="1262" w:type="dxa"/>
            <w:tcBorders>
              <w:top w:val="single" w:color="auto" w:sz="4" w:space="0"/>
              <w:left w:val="single" w:color="auto" w:sz="4" w:space="0"/>
              <w:right w:val="single" w:color="auto" w:sz="4" w:space="0"/>
            </w:tcBorders>
            <w:shd w:val="clear" w:color="auto" w:fill="FFFFFF"/>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lang w:val="en-US" w:eastAsia="en-US" w:bidi="en-US"/>
                <w14:textFill>
                  <w14:solidFill>
                    <w14:schemeClr w14:val="tx1"/>
                  </w14:solidFill>
                </w14:textFill>
              </w:rPr>
              <w:t>15.0</w:t>
            </w:r>
          </w:p>
        </w:tc>
      </w:tr>
      <w:tr>
        <w:tblPrEx>
          <w:tblCellMar>
            <w:top w:w="0" w:type="dxa"/>
            <w:left w:w="10" w:type="dxa"/>
            <w:bottom w:w="0" w:type="dxa"/>
            <w:right w:w="10" w:type="dxa"/>
          </w:tblCellMar>
        </w:tblPrEx>
        <w:trPr>
          <w:trHeight w:val="370" w:hRule="exact"/>
          <w:jc w:val="center"/>
        </w:trPr>
        <w:tc>
          <w:tcPr>
            <w:tcW w:w="1771"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合计</w:t>
            </w:r>
          </w:p>
        </w:tc>
        <w:tc>
          <w:tcPr>
            <w:tcW w:w="2366"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2520"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1123"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62</w:t>
            </w: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37</w:t>
            </w:r>
          </w:p>
        </w:tc>
      </w:tr>
    </w:tbl>
    <w:p>
      <w:pPr>
        <w:pStyle w:val="92"/>
        <w:spacing w:line="520" w:lineRule="exact"/>
        <w:ind w:firstLine="360"/>
        <w:rPr>
          <w:color w:val="000000" w:themeColor="text1"/>
          <w14:textFill>
            <w14:solidFill>
              <w14:schemeClr w14:val="tx1"/>
            </w14:solidFill>
          </w14:textFill>
        </w:rPr>
      </w:pPr>
    </w:p>
    <w:p>
      <w:pPr>
        <w:pStyle w:val="49"/>
        <w:rPr>
          <w:color w:val="000000" w:themeColor="text1"/>
          <w14:textFill>
            <w14:solidFill>
              <w14:schemeClr w14:val="tx1"/>
            </w14:solidFill>
          </w14:textFill>
        </w:rPr>
      </w:pPr>
      <w:r>
        <w:rPr>
          <w:color w:val="000000" w:themeColor="text1"/>
          <w14:textFill>
            <w14:solidFill>
              <w14:schemeClr w14:val="tx1"/>
            </w14:solidFill>
          </w14:textFill>
        </w:rPr>
        <w:t>表5.5.5</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中心城区水厂供水情况</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表</w:t>
      </w:r>
    </w:p>
    <w:p>
      <w:pPr>
        <w:pStyle w:val="129"/>
        <w:tabs>
          <w:tab w:val="left" w:pos="6346"/>
        </w:tabs>
        <w:spacing w:line="240" w:lineRule="auto"/>
        <w:ind w:firstLine="0" w:firstLineChars="0"/>
        <w:jc w:val="right"/>
        <w:rPr>
          <w:rFonts w:asciiTheme="minorEastAsia" w:hAnsiTheme="minorEastAsia" w:eastAsiaTheme="minorEastAsia"/>
          <w:color w:val="000000" w:themeColor="text1"/>
          <w:sz w:val="24"/>
          <w:lang w:val="en-US" w:eastAsia="zh-CN" w:bidi="en-US"/>
          <w14:textFill>
            <w14:solidFill>
              <w14:schemeClr w14:val="tx1"/>
            </w14:solidFill>
          </w14:textFill>
        </w:rPr>
      </w:pPr>
      <w:r>
        <w:rPr>
          <w:rFonts w:eastAsia="宋体"/>
          <w:color w:val="000000" w:themeColor="text1"/>
          <w:sz w:val="22"/>
          <w:szCs w:val="22"/>
          <w14:textFill>
            <w14:solidFill>
              <w14:schemeClr w14:val="tx1"/>
            </w14:solidFill>
          </w14:textFill>
        </w:rPr>
        <w:t>单位：（万</w:t>
      </w:r>
      <w:r>
        <w:rPr>
          <w:rFonts w:hint="eastAsia" w:eastAsia="宋体"/>
          <w:color w:val="000000" w:themeColor="text1"/>
          <w:sz w:val="24"/>
          <w:lang w:val="en-US" w:eastAsia="zh-CN" w:bidi="en-US"/>
          <w14:textFill>
            <w14:solidFill>
              <w14:schemeClr w14:val="tx1"/>
            </w14:solidFill>
          </w14:textFill>
        </w:rPr>
        <w:t>m³</w:t>
      </w:r>
      <w:r>
        <w:rPr>
          <w:rFonts w:eastAsia="Times New Roman"/>
          <w:color w:val="000000" w:themeColor="text1"/>
          <w:sz w:val="24"/>
          <w:lang w:val="en-US" w:eastAsia="en-US" w:bidi="en-US"/>
          <w14:textFill>
            <w14:solidFill>
              <w14:schemeClr w14:val="tx1"/>
            </w14:solidFill>
          </w14:textFill>
        </w:rPr>
        <w:t>/d</w:t>
      </w:r>
      <w:r>
        <w:rPr>
          <w:rFonts w:hint="eastAsia" w:asciiTheme="minorEastAsia" w:hAnsiTheme="minorEastAsia" w:eastAsiaTheme="minorEastAsia"/>
          <w:color w:val="000000" w:themeColor="text1"/>
          <w:sz w:val="24"/>
          <w:lang w:val="en-US" w:eastAsia="zh-CN" w:bidi="en-US"/>
          <w14:textFill>
            <w14:solidFill>
              <w14:schemeClr w14:val="tx1"/>
            </w14:solidFill>
          </w14:textFill>
        </w:rPr>
        <w:t>）</w:t>
      </w:r>
    </w:p>
    <w:tbl>
      <w:tblPr>
        <w:tblStyle w:val="40"/>
        <w:tblpPr w:leftFromText="180" w:rightFromText="180" w:vertAnchor="text" w:horzAnchor="page" w:tblpX="1499" w:tblpY="197"/>
        <w:tblOverlap w:val="never"/>
        <w:tblW w:w="0" w:type="auto"/>
        <w:tblInd w:w="0" w:type="dxa"/>
        <w:tblLayout w:type="fixed"/>
        <w:tblCellMar>
          <w:top w:w="0" w:type="dxa"/>
          <w:left w:w="10" w:type="dxa"/>
          <w:bottom w:w="0" w:type="dxa"/>
          <w:right w:w="10" w:type="dxa"/>
        </w:tblCellMar>
      </w:tblPr>
      <w:tblGrid>
        <w:gridCol w:w="3461"/>
        <w:gridCol w:w="931"/>
        <w:gridCol w:w="1574"/>
        <w:gridCol w:w="1594"/>
        <w:gridCol w:w="1286"/>
      </w:tblGrid>
      <w:tr>
        <w:tblPrEx>
          <w:tblCellMar>
            <w:top w:w="0" w:type="dxa"/>
            <w:left w:w="10" w:type="dxa"/>
            <w:bottom w:w="0" w:type="dxa"/>
            <w:right w:w="10" w:type="dxa"/>
          </w:tblCellMar>
        </w:tblPrEx>
        <w:trPr>
          <w:trHeight w:val="612" w:hRule="exact"/>
        </w:trPr>
        <w:tc>
          <w:tcPr>
            <w:tcW w:w="346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lang w:val="en-US" w:eastAsia="zh-CN"/>
                <w14:textFill>
                  <w14:solidFill>
                    <w14:schemeClr w14:val="tx1"/>
                  </w14:solidFill>
                </w14:textFill>
              </w:rPr>
              <w:t>建设时间</w:t>
            </w:r>
          </w:p>
        </w:tc>
        <w:tc>
          <w:tcPr>
            <w:tcW w:w="93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2010</w:t>
            </w:r>
          </w:p>
        </w:tc>
        <w:tc>
          <w:tcPr>
            <w:tcW w:w="157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2015</w:t>
            </w:r>
          </w:p>
        </w:tc>
        <w:tc>
          <w:tcPr>
            <w:tcW w:w="159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2020</w:t>
            </w:r>
          </w:p>
        </w:tc>
        <w:tc>
          <w:tcPr>
            <w:tcW w:w="1286" w:type="dxa"/>
            <w:tcBorders>
              <w:top w:val="single" w:color="auto" w:sz="4" w:space="0"/>
              <w:left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2030</w:t>
            </w:r>
          </w:p>
        </w:tc>
      </w:tr>
      <w:tr>
        <w:tblPrEx>
          <w:tblCellMar>
            <w:top w:w="0" w:type="dxa"/>
            <w:left w:w="10" w:type="dxa"/>
            <w:bottom w:w="0" w:type="dxa"/>
            <w:right w:w="10" w:type="dxa"/>
          </w:tblCellMar>
        </w:tblPrEx>
        <w:trPr>
          <w:trHeight w:val="360" w:hRule="exact"/>
        </w:trPr>
        <w:tc>
          <w:tcPr>
            <w:tcW w:w="346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吴家沟水厂</w:t>
            </w:r>
          </w:p>
        </w:tc>
        <w:tc>
          <w:tcPr>
            <w:tcW w:w="93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w:t>
            </w:r>
          </w:p>
        </w:tc>
        <w:tc>
          <w:tcPr>
            <w:tcW w:w="157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w:t>
            </w:r>
          </w:p>
        </w:tc>
        <w:tc>
          <w:tcPr>
            <w:tcW w:w="159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w:t>
            </w:r>
          </w:p>
        </w:tc>
        <w:tc>
          <w:tcPr>
            <w:tcW w:w="1286" w:type="dxa"/>
            <w:tcBorders>
              <w:top w:val="single" w:color="auto" w:sz="4" w:space="0"/>
              <w:left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w:t>
            </w:r>
          </w:p>
        </w:tc>
      </w:tr>
      <w:tr>
        <w:tblPrEx>
          <w:tblCellMar>
            <w:top w:w="0" w:type="dxa"/>
            <w:left w:w="10" w:type="dxa"/>
            <w:bottom w:w="0" w:type="dxa"/>
            <w:right w:w="10" w:type="dxa"/>
          </w:tblCellMar>
        </w:tblPrEx>
        <w:trPr>
          <w:trHeight w:val="312" w:hRule="exact"/>
        </w:trPr>
        <w:tc>
          <w:tcPr>
            <w:tcW w:w="346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凤翎水厂</w:t>
            </w:r>
          </w:p>
        </w:tc>
        <w:tc>
          <w:tcPr>
            <w:tcW w:w="93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7.0</w:t>
            </w:r>
          </w:p>
        </w:tc>
        <w:tc>
          <w:tcPr>
            <w:tcW w:w="157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7-2.0=5.0</w:t>
            </w:r>
          </w:p>
        </w:tc>
        <w:tc>
          <w:tcPr>
            <w:tcW w:w="159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w:t>
            </w:r>
          </w:p>
        </w:tc>
        <w:tc>
          <w:tcPr>
            <w:tcW w:w="1286" w:type="dxa"/>
            <w:tcBorders>
              <w:top w:val="single" w:color="auto" w:sz="4" w:space="0"/>
              <w:left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w:t>
            </w:r>
          </w:p>
        </w:tc>
      </w:tr>
      <w:tr>
        <w:tblPrEx>
          <w:tblCellMar>
            <w:top w:w="0" w:type="dxa"/>
            <w:left w:w="10" w:type="dxa"/>
            <w:bottom w:w="0" w:type="dxa"/>
            <w:right w:w="10" w:type="dxa"/>
          </w:tblCellMar>
        </w:tblPrEx>
        <w:trPr>
          <w:trHeight w:val="317" w:hRule="exact"/>
        </w:trPr>
        <w:tc>
          <w:tcPr>
            <w:tcW w:w="346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莲花湖水厂（含河市）</w:t>
            </w:r>
          </w:p>
        </w:tc>
        <w:tc>
          <w:tcPr>
            <w:tcW w:w="93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57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15.0</w:t>
            </w:r>
          </w:p>
        </w:tc>
        <w:tc>
          <w:tcPr>
            <w:tcW w:w="159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15+15=30</w:t>
            </w:r>
          </w:p>
        </w:tc>
        <w:tc>
          <w:tcPr>
            <w:tcW w:w="1286" w:type="dxa"/>
            <w:tcBorders>
              <w:top w:val="single" w:color="auto" w:sz="4" w:space="0"/>
              <w:left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40.0</w:t>
            </w:r>
          </w:p>
        </w:tc>
      </w:tr>
      <w:tr>
        <w:tblPrEx>
          <w:tblCellMar>
            <w:top w:w="0" w:type="dxa"/>
            <w:left w:w="10" w:type="dxa"/>
            <w:bottom w:w="0" w:type="dxa"/>
            <w:right w:w="10" w:type="dxa"/>
          </w:tblCellMar>
        </w:tblPrEx>
        <w:trPr>
          <w:trHeight w:val="317" w:hRule="exact"/>
        </w:trPr>
        <w:tc>
          <w:tcPr>
            <w:tcW w:w="346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三里坪水厂（达川区）</w:t>
            </w:r>
          </w:p>
        </w:tc>
        <w:tc>
          <w:tcPr>
            <w:tcW w:w="931"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w:t>
            </w:r>
          </w:p>
        </w:tc>
        <w:tc>
          <w:tcPr>
            <w:tcW w:w="157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5+5=10.0</w:t>
            </w:r>
          </w:p>
        </w:tc>
        <w:tc>
          <w:tcPr>
            <w:tcW w:w="1594" w:type="dxa"/>
            <w:tcBorders>
              <w:top w:val="single" w:color="auto" w:sz="4" w:space="0"/>
              <w:lef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10.0</w:t>
            </w:r>
          </w:p>
        </w:tc>
        <w:tc>
          <w:tcPr>
            <w:tcW w:w="1286" w:type="dxa"/>
            <w:tcBorders>
              <w:top w:val="single" w:color="auto" w:sz="4" w:space="0"/>
              <w:left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10.0</w:t>
            </w:r>
          </w:p>
        </w:tc>
      </w:tr>
      <w:tr>
        <w:tblPrEx>
          <w:tblCellMar>
            <w:top w:w="0" w:type="dxa"/>
            <w:left w:w="10" w:type="dxa"/>
            <w:bottom w:w="0" w:type="dxa"/>
            <w:right w:w="10" w:type="dxa"/>
          </w:tblCellMar>
        </w:tblPrEx>
        <w:trPr>
          <w:trHeight w:val="331" w:hRule="exact"/>
        </w:trPr>
        <w:tc>
          <w:tcPr>
            <w:tcW w:w="3461"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合计</w:t>
            </w:r>
          </w:p>
        </w:tc>
        <w:tc>
          <w:tcPr>
            <w:tcW w:w="931"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17.0</w:t>
            </w:r>
          </w:p>
        </w:tc>
        <w:tc>
          <w:tcPr>
            <w:tcW w:w="1574"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35.0</w:t>
            </w:r>
          </w:p>
        </w:tc>
        <w:tc>
          <w:tcPr>
            <w:tcW w:w="1594" w:type="dxa"/>
            <w:tcBorders>
              <w:top w:val="single" w:color="auto" w:sz="4" w:space="0"/>
              <w:left w:val="single" w:color="auto" w:sz="4" w:space="0"/>
              <w:bottom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50.0</w:t>
            </w:r>
          </w:p>
        </w:tc>
        <w:tc>
          <w:tcPr>
            <w:tcW w:w="12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eastAsia="en-US"/>
                <w14:textFill>
                  <w14:solidFill>
                    <w14:schemeClr w14:val="tx1"/>
                  </w14:solidFill>
                </w14:textFill>
              </w:rPr>
              <w:t>55.0</w:t>
            </w:r>
          </w:p>
        </w:tc>
      </w:tr>
    </w:tbl>
    <w:p>
      <w:pPr>
        <w:spacing w:after="219" w:line="1" w:lineRule="exact"/>
        <w:ind w:firstLine="0" w:firstLineChars="0"/>
        <w:rPr>
          <w:color w:val="000000" w:themeColor="text1"/>
          <w14:textFill>
            <w14:solidFill>
              <w14:schemeClr w14:val="tx1"/>
            </w14:solidFill>
          </w14:textFill>
        </w:rPr>
      </w:pPr>
    </w:p>
    <w:p>
      <w:pPr>
        <w:pStyle w:val="113"/>
        <w:numPr>
          <w:ilvl w:val="0"/>
          <w:numId w:val="7"/>
        </w:numPr>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工业园区供水安全</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工业园区供水安全：一是强化供水设备保养，对各类设备设施、电源等进行全面检修，确保供水设备安全运行。二是加大水源巡查和水质检测力度，严格执行国家饮用水卫生标准，加强对出厂水、管网水的检测，确保供水水质安全。三是加大供水管网巡查力度。四是加强各供水厂区安全保卫工作，防止外来人员侵入和人为破坏。五是严格执行领导值班制度，及时处理用户反映的各类问题，做好供水服务。</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城区周边工业园主要包括微电影创作生产基地、通川区好一新创业园区、西外复兴汽车产业园、</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"https://y.qianzhan.com/yuanqu/item/a1eeff60fc6e939b.html" \o "https://y.qianzhan.com/yuanqu/item/a1eeff60fc6e939b.html" </w:instrText>
      </w:r>
      <w:r>
        <w:rPr>
          <w:color w:val="000000" w:themeColor="text1"/>
          <w14:textFill>
            <w14:solidFill>
              <w14:schemeClr w14:val="tx1"/>
            </w14:solidFill>
          </w14:textFill>
        </w:rPr>
        <w:fldChar w:fldCharType="separate"/>
      </w:r>
      <w:r>
        <w:rPr>
          <w:rFonts w:ascii="Times New Roman" w:hAnsi="Times New Roman" w:eastAsia="仿宋_GB2312" w:cs="Times New Roman"/>
          <w:iCs/>
          <w:color w:val="000000" w:themeColor="text1"/>
          <w:sz w:val="28"/>
          <w:szCs w:val="28"/>
          <w:lang w:val="en-US" w:eastAsia="zh-CN"/>
          <w14:textFill>
            <w14:solidFill>
              <w14:schemeClr w14:val="tx1"/>
            </w14:solidFill>
          </w14:textFill>
        </w:rPr>
        <w:t>秦巴国际电子商务产业园</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fldChar w:fldCharType="end"/>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，主要发展文化、旅游、汽车制造以及电子加工等产业。各园区分散取水，规划水源主要取自双龙河取水、石莲花水库、</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长滩湖</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水库。</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通川区魏蒲产业园位于通川区魏兴镇和蒲家镇，发展以农产品精深加工、绿色食品加工、医药加工为主体的加工业，同时积极发展医疗健康、文化教育等产业，配套发展现代物流业和特色旅游业，推动形成食品药品加工园、医药健康产业园、生态休闲旅游区三大产业园布局。园区用水量为1.2 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/d，规划新建蒲家水厂，规划供水规模1.5万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/d，规划水源主要取自双龙河、魏家河以及少量小型水库工程。</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综上所述，规划年，通过建设过境水水库安云水库，结合已建水库石莲花水库以及过境水利用工程，基本可保障通川区工业园区的供水安全。详见下表5.5.6工业园区规划水源统计表。</w:t>
      </w:r>
    </w:p>
    <w:p>
      <w:pPr>
        <w:pStyle w:val="2"/>
        <w:ind w:firstLine="560"/>
        <w:rPr>
          <w:color w:val="000000" w:themeColor="text1"/>
          <w:lang w:bidi="zh-TW"/>
          <w14:textFill>
            <w14:solidFill>
              <w14:schemeClr w14:val="tx1"/>
            </w14:solidFill>
          </w14:textFill>
        </w:rPr>
      </w:pPr>
      <w:r>
        <w:rPr>
          <w:color w:val="000000" w:themeColor="text1"/>
          <w14:textFill>
            <w14:solidFill>
              <w14:schemeClr w14:val="tx1"/>
            </w14:solidFill>
          </w14:textFill>
        </w:rPr>
        <w:br w:type="page"/>
      </w:r>
    </w:p>
    <w:p>
      <w:pPr>
        <w:pStyle w:val="49"/>
        <w:rPr>
          <w:color w:val="000000" w:themeColor="text1"/>
          <w14:textFill>
            <w14:solidFill>
              <w14:schemeClr w14:val="tx1"/>
            </w14:solidFill>
          </w14:textFill>
        </w:rPr>
      </w:pPr>
      <w:r>
        <w:rPr>
          <w:color w:val="000000" w:themeColor="text1"/>
          <w14:textFill>
            <w14:solidFill>
              <w14:schemeClr w14:val="tx1"/>
            </w14:solidFill>
          </w14:textFill>
        </w:rPr>
        <w:t>表5.5.6</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工业园区规划水源统计表</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36"/>
        <w:gridCol w:w="2417"/>
        <w:gridCol w:w="193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793"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工业园分布</w:t>
            </w: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园区名称</w:t>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详细地址</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园区规划水源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93" w:type="pct"/>
            <w:vMerge w:val="restar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城区周边工业园</w:t>
            </w: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"https://y.qianzhan.com/yuanqu/item/3946b8859909867b.html" \o "https://y.qianzhan.com/yuanqu/item/3946b8859909867b.html"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达州市微电影创作生产基地</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图语路与金龙大道北段交叉路口</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石莲花水库、</w:t>
            </w:r>
            <w:r>
              <w:rPr>
                <w:rFonts w:hint="eastAsia"/>
                <w:color w:val="000000" w:themeColor="text1"/>
                <w:sz w:val="21"/>
                <w:szCs w:val="21"/>
                <w14:textFill>
                  <w14:solidFill>
                    <w14:schemeClr w14:val="tx1"/>
                  </w14:solidFill>
                </w14:textFill>
              </w:rPr>
              <w:t>长滩湖</w:t>
            </w:r>
            <w:r>
              <w:rPr>
                <w:color w:val="000000" w:themeColor="text1"/>
                <w:sz w:val="21"/>
                <w:szCs w:val="21"/>
                <w14:textFill>
                  <w14:solidFill>
                    <w14:schemeClr w14:val="tx1"/>
                  </w14:solidFill>
                </w14:textFill>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"https://y.qianzhan.com/yuanqu/item/3b14ee492409f0c2.html" \o "https://y.qianzhan.com/yuanqu/item/3b14ee492409f0c2.html"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达州市通川区好一新创业园区</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达州绕城公路</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双龙河取水、</w:t>
            </w:r>
            <w:r>
              <w:rPr>
                <w:rFonts w:hint="eastAsia"/>
                <w:color w:val="000000" w:themeColor="text1"/>
                <w:sz w:val="21"/>
                <w:szCs w:val="21"/>
                <w14:textFill>
                  <w14:solidFill>
                    <w14:schemeClr w14:val="tx1"/>
                  </w14:solidFill>
                </w14:textFill>
              </w:rPr>
              <w:t>长滩湖水库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"https://y.qianzhan.com/yuanqu/item/d9633f7ce759a97c.html" \o "https://y.qianzhan.com/yuanqu/item/d9633f7ce759a97c.html"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达州市西外复兴汽车产业园</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魏复路</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双龙河取水、石莲花水库、</w:t>
            </w:r>
            <w:r>
              <w:rPr>
                <w:rFonts w:hint="eastAsia"/>
                <w:color w:val="000000" w:themeColor="text1"/>
                <w:sz w:val="21"/>
                <w:szCs w:val="21"/>
                <w14:textFill>
                  <w14:solidFill>
                    <w14:schemeClr w14:val="tx1"/>
                  </w14:solidFill>
                </w14:textFill>
              </w:rPr>
              <w:t>长滩湖水库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"https://y.qianzhan.com/yuanqu/item/a1eeff60fc6e939b.html" \o "https://y.qianzhan.com/yuanqu/item/a1eeff60fc6e939b.html"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秦巴国际电子商务产业园</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魏复路</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双龙河取水、石莲花水库、</w:t>
            </w:r>
            <w:r>
              <w:rPr>
                <w:rFonts w:hint="eastAsia"/>
                <w:color w:val="000000" w:themeColor="text1"/>
                <w:sz w:val="21"/>
                <w:szCs w:val="21"/>
                <w14:textFill>
                  <w14:solidFill>
                    <w14:schemeClr w14:val="tx1"/>
                  </w14:solidFill>
                </w14:textFill>
              </w:rPr>
              <w:t>长滩湖水库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793" w:type="pct"/>
            <w:vMerge w:val="restar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魏蒲产业园</w:t>
            </w: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"https://y.qianzhan.com/yuanqu/item/1b0a392e803ff085.html" \o "https://y.qianzhan.com/yuanqu/item/1b0a392e803ff085.html"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达州成诺国际物流港</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东岳镇魏复路166号</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双龙河取水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"https://y.qianzhan.com/yuanqu/item/a72e4d65266e7244.html" \o "https://y.qianzhan.com/yuanqu/item/a72e4d65266e7244.html"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达州源美冷链物流食品工业园</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食品大道西50米</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"https://y.qianzhan.com/yuanqu/item/153830b5fc7d836e.html" \o "https://y.qianzhan.com/yuanqu/item/153830b5fc7d836e.html"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高校毕业生创业园区</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汉渝街附近</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"https://y.qianzhan.com/yuanqu/item/dfd8fa1331ea64a9.html" \o "https://y.qianzhan.com/yuanqu/item/dfd8fa1331ea64a9.html"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达州市农产品加工集中区</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蒲家镇</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793" w:type="pct"/>
            <w:vMerge w:val="continue"/>
            <w:vAlign w:val="center"/>
          </w:tcPr>
          <w:p>
            <w:pPr>
              <w:pStyle w:val="50"/>
              <w:widowControl w:val="0"/>
              <w:spacing w:before="120"/>
              <w:rPr>
                <w:color w:val="000000" w:themeColor="text1"/>
                <w:sz w:val="21"/>
                <w:szCs w:val="21"/>
                <w14:textFill>
                  <w14:solidFill>
                    <w14:schemeClr w14:val="tx1"/>
                  </w14:solidFill>
                </w14:textFill>
              </w:rPr>
            </w:pPr>
          </w:p>
        </w:tc>
        <w:tc>
          <w:tcPr>
            <w:tcW w:w="1334"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"https://y.qianzhan.com/yuanqu/item/b63a7ce20371b509.html" \o "https://y.qianzhan.com/yuanqu/item/b63a7ce20371b509.html" </w:instrText>
            </w:r>
            <w:r>
              <w:rPr>
                <w:color w:val="000000" w:themeColor="text1"/>
                <w14:textFill>
                  <w14:solidFill>
                    <w14:schemeClr w14:val="tx1"/>
                  </w14:solidFill>
                </w14:textFill>
              </w:rPr>
              <w:fldChar w:fldCharType="separate"/>
            </w:r>
            <w:r>
              <w:rPr>
                <w:rStyle w:val="46"/>
                <w:color w:val="000000" w:themeColor="text1"/>
                <w:sz w:val="21"/>
                <w:szCs w:val="21"/>
                <w:u w:val="none"/>
                <w14:textFill>
                  <w14:solidFill>
                    <w14:schemeClr w14:val="tx1"/>
                  </w14:solidFill>
                </w14:textFill>
              </w:rPr>
              <w:t>中小企业孵化园</w:t>
            </w:r>
            <w:r>
              <w:rPr>
                <w:rStyle w:val="46"/>
                <w:color w:val="000000" w:themeColor="text1"/>
                <w:sz w:val="21"/>
                <w:szCs w:val="21"/>
                <w:u w:val="none"/>
                <w14:textFill>
                  <w14:solidFill>
                    <w14:schemeClr w14:val="tx1"/>
                  </w14:solidFill>
                </w14:textFill>
              </w:rPr>
              <w:fldChar w:fldCharType="end"/>
            </w:r>
          </w:p>
        </w:tc>
        <w:tc>
          <w:tcPr>
            <w:tcW w:w="1069" w:type="pct"/>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四通街与魏复路交叉口西南150米</w:t>
            </w:r>
          </w:p>
        </w:tc>
        <w:tc>
          <w:tcPr>
            <w:tcW w:w="1388" w:type="pct"/>
            <w:noWrap/>
            <w:vAlign w:val="center"/>
          </w:tcPr>
          <w:p>
            <w:pPr>
              <w:pStyle w:val="50"/>
              <w:widowControl w:val="0"/>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魏家河取水</w:t>
            </w:r>
          </w:p>
        </w:tc>
      </w:tr>
    </w:tbl>
    <w:p>
      <w:pPr>
        <w:pStyle w:val="113"/>
        <w:spacing w:line="520" w:lineRule="exact"/>
        <w:ind w:firstLine="440"/>
        <w:rPr>
          <w:rFonts w:ascii="Times New Roman" w:hAnsi="Times New Roman" w:cs="Times New Roman"/>
          <w:color w:val="000000" w:themeColor="text1"/>
          <w14:textFill>
            <w14:solidFill>
              <w14:schemeClr w14:val="tx1"/>
            </w14:solidFill>
          </w14:textFill>
        </w:rPr>
      </w:pPr>
    </w:p>
    <w:p>
      <w:pPr>
        <w:pStyle w:val="6"/>
        <w:rPr>
          <w:color w:val="000000" w:themeColor="text1"/>
          <w14:textFill>
            <w14:solidFill>
              <w14:schemeClr w14:val="tx1"/>
            </w14:solidFill>
          </w14:textFill>
        </w:rPr>
      </w:pPr>
      <w:r>
        <w:rPr>
          <w:color w:val="000000" w:themeColor="text1"/>
          <w14:textFill>
            <w14:solidFill>
              <w14:schemeClr w14:val="tx1"/>
            </w14:solidFill>
          </w14:textFill>
        </w:rPr>
        <w:t>5.5.4.2  重点片区及乡镇供水解决方案</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（1）北部片区（安云、清宁、碑庙、金石、梓桐、北山、江陵）</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通川区北部片区主要为长滩河流域控制区域，包括安云、清宁、碑庙、金石、梓桐、北山、江陵等乡镇。区域过境水资源丰富，小型水库数量较多，现状以过境水结合区域内小、微型水利设施解决片区的缺水问题。北部片区具备建设骨干水利工程调蓄区域用水的条件，根据</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十四五</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水安全保障规划，区域内规划建设近期重点中型水库车家河水库、安云水库，远期建设老王沟水库、长滩河水库。片区可依托以上水库工程，大量发展农业灌溉面积的同时，建设乡镇及农村供水管网工程，以车家河水库、安云水库分别控制长滩河左右岸，为左右岸乡镇及农村人畜统一供水。区域内小型水库及微型水利设施退减生态环境用水后恢复灌溉功能，同时合理利用过境水量作为区域供水补充。</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（2）凤凰山片区（双龙、东岳、罗江、凤北街道、凤西街道）</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凤凰山片区位于双龙河、州河两流域中部分水岭地区，主要涉及双龙、东岳、罗江、凤北街道、凤西街道等乡镇及街道办的部分村落。由于地处高山地区，凤凰山片区内高程普遍高于双龙河、州河两岸区域，该片区没有大规模发展农业耕地灌面的条件，区域供水以解决片区内散居人口用水为主要目的。</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现状片区依托双龙河支流、州河支流（苦竹溪、石龙溪）河道取水，结合区域内凤凰水库、刘家湾水库，以及小微型水利设施供水；规划年应在片区内规划建设一批小微型水库设施解决高地区域用水，临河区域可采用支流补水，同时，结合在建的双河口水库，适当提水加压，将区域管网联通解决周边区域用水需求。</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（3）金石镇场镇</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金石镇场镇位于长滩河左侧支流，场镇内主要河流为高桥河、汤家沟，已建水库工程花岭溪水库、土门嘴水库、花田湾水库。目前金石镇水源主要依靠塘堰、溪流取水，水源环境较差，急需新的水源地和水厂。目前，规划金石镇水厂规划解决金石场镇及周边村落人口14000万人，供水规模1355</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/d，初步拟定在新建 金石水厂的正南边约0.7km处的挖断山沟修建一山坪塘及提水泵站取水。</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十四五</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水安全保障规划实施后，建议将金石镇场镇水源由河道取水调整为水库取水，采用规划建设的</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石盘沟水库</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、老沟河水库等工程作为场镇水厂的水源地。</w:t>
      </w:r>
    </w:p>
    <w:p>
      <w:pPr>
        <w:pStyle w:val="5"/>
        <w:rPr>
          <w:rFonts w:ascii="Times New Roman" w:hAnsi="Times New Roman"/>
          <w:color w:val="000000" w:themeColor="text1"/>
          <w14:textFill>
            <w14:solidFill>
              <w14:schemeClr w14:val="tx1"/>
            </w14:solidFill>
          </w14:textFill>
        </w:rPr>
      </w:pPr>
      <w:bookmarkStart w:id="223" w:name="_Toc17150"/>
      <w:r>
        <w:rPr>
          <w:rFonts w:ascii="Times New Roman" w:hAnsi="Times New Roman"/>
          <w:color w:val="000000" w:themeColor="text1"/>
          <w14:textFill>
            <w14:solidFill>
              <w14:schemeClr w14:val="tx1"/>
            </w14:solidFill>
          </w14:textFill>
        </w:rPr>
        <w:t>5.5.5  水资源配置评价</w:t>
      </w:r>
      <w:bookmarkEnd w:id="223"/>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从通川区供需分析成果看，本次预测的2025年、2030年、2035年通川区配置水量为1.71亿</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、2.40亿</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、2.61亿</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，用水量包含了达州市第二水源</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长滩湖水库</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为通川区提供5000万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的生产生活供水。通过与通川区</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三条红线</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用水总量指标对比，用水总量控制指标2.61亿</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，水量未超过红线控制总量；另外，灌溉水利用系数2035年达0.63，满足通川区农业灌溉用水指标效率要求。</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表5.5.7通川区用水总量、配置水量对比成果表</w:t>
      </w:r>
    </w:p>
    <w:p>
      <w:pPr>
        <w:pStyle w:val="111"/>
        <w:jc w:val="right"/>
        <w:rPr>
          <w:bCs/>
          <w:color w:val="000000" w:themeColor="text1"/>
          <w:sz w:val="20"/>
          <w:szCs w:val="20"/>
          <w:vertAlign w:val="superscript"/>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22"/>
          <w:szCs w:val="28"/>
          <w14:textFill>
            <w14:solidFill>
              <w14:schemeClr w14:val="tx1"/>
            </w14:solidFill>
          </w14:textFill>
        </w:rPr>
        <w:t>单位：亿</w:t>
      </w:r>
      <w:r>
        <w:rPr>
          <w:rFonts w:hint="eastAsia"/>
          <w:bCs/>
          <w:color w:val="000000" w:themeColor="text1"/>
          <w:szCs w:val="21"/>
          <w14:textFill>
            <w14:solidFill>
              <w14:schemeClr w14:val="tx1"/>
            </w14:solidFill>
          </w14:textFill>
        </w:rPr>
        <w:t>m³</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69"/>
        <w:gridCol w:w="3482"/>
        <w:gridCol w:w="33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blHeader/>
        </w:trPr>
        <w:tc>
          <w:tcPr>
            <w:tcW w:w="1166" w:type="pct"/>
            <w:vMerge w:val="restar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水平年</w:t>
            </w:r>
          </w:p>
        </w:tc>
        <w:tc>
          <w:tcPr>
            <w:tcW w:w="1962" w:type="pct"/>
            <w:vMerge w:val="restart"/>
            <w:noWrap/>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用水总量</w:t>
            </w:r>
          </w:p>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控制指标</w:t>
            </w:r>
          </w:p>
        </w:tc>
        <w:tc>
          <w:tcPr>
            <w:tcW w:w="1872" w:type="pct"/>
            <w:vMerge w:val="restart"/>
            <w:noWrap/>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配置水量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blHeader/>
        </w:trPr>
        <w:tc>
          <w:tcPr>
            <w:tcW w:w="1166" w:type="pct"/>
            <w:vMerge w:val="continue"/>
            <w:tcMar>
              <w:top w:w="15" w:type="dxa"/>
              <w:left w:w="15" w:type="dxa"/>
              <w:right w:w="15" w:type="dxa"/>
            </w:tcMar>
            <w:vAlign w:val="center"/>
          </w:tcPr>
          <w:p>
            <w:pPr>
              <w:pStyle w:val="50"/>
              <w:spacing w:before="120"/>
              <w:rPr>
                <w:color w:val="000000" w:themeColor="text1"/>
                <w14:textFill>
                  <w14:solidFill>
                    <w14:schemeClr w14:val="tx1"/>
                  </w14:solidFill>
                </w14:textFill>
              </w:rPr>
            </w:pPr>
          </w:p>
        </w:tc>
        <w:tc>
          <w:tcPr>
            <w:tcW w:w="1962" w:type="pct"/>
            <w:vMerge w:val="continue"/>
            <w:tcMar>
              <w:top w:w="15" w:type="dxa"/>
              <w:left w:w="15" w:type="dxa"/>
              <w:right w:w="15" w:type="dxa"/>
            </w:tcMar>
            <w:vAlign w:val="center"/>
          </w:tcPr>
          <w:p>
            <w:pPr>
              <w:pStyle w:val="50"/>
              <w:spacing w:before="120"/>
              <w:rPr>
                <w:color w:val="000000" w:themeColor="text1"/>
                <w14:textFill>
                  <w14:solidFill>
                    <w14:schemeClr w14:val="tx1"/>
                  </w14:solidFill>
                </w14:textFill>
              </w:rPr>
            </w:pPr>
          </w:p>
        </w:tc>
        <w:tc>
          <w:tcPr>
            <w:tcW w:w="1872" w:type="pct"/>
            <w:vMerge w:val="continue"/>
            <w:tcMar>
              <w:top w:w="15" w:type="dxa"/>
              <w:left w:w="15" w:type="dxa"/>
              <w:right w:w="15" w:type="dxa"/>
            </w:tcMar>
            <w:vAlign w:val="center"/>
          </w:tcPr>
          <w:p>
            <w:pPr>
              <w:pStyle w:val="50"/>
              <w:spacing w:before="12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6"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2025年</w:t>
            </w:r>
          </w:p>
        </w:tc>
        <w:tc>
          <w:tcPr>
            <w:tcW w:w="1962"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2.61</w:t>
            </w:r>
          </w:p>
        </w:tc>
        <w:tc>
          <w:tcPr>
            <w:tcW w:w="1872"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6"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2030年</w:t>
            </w:r>
          </w:p>
        </w:tc>
        <w:tc>
          <w:tcPr>
            <w:tcW w:w="1962"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2.61</w:t>
            </w:r>
          </w:p>
        </w:tc>
        <w:tc>
          <w:tcPr>
            <w:tcW w:w="1872"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6"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2035年</w:t>
            </w:r>
          </w:p>
        </w:tc>
        <w:tc>
          <w:tcPr>
            <w:tcW w:w="1962"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2.61</w:t>
            </w:r>
          </w:p>
        </w:tc>
        <w:tc>
          <w:tcPr>
            <w:tcW w:w="1872" w:type="pct"/>
            <w:tcMar>
              <w:top w:w="15" w:type="dxa"/>
              <w:left w:w="15" w:type="dxa"/>
              <w:right w:w="15" w:type="dxa"/>
            </w:tcMar>
            <w:vAlign w:val="center"/>
          </w:tcPr>
          <w:p>
            <w:pPr>
              <w:pStyle w:val="50"/>
              <w:spacing w:before="120"/>
              <w:rPr>
                <w:color w:val="000000" w:themeColor="text1"/>
                <w14:textFill>
                  <w14:solidFill>
                    <w14:schemeClr w14:val="tx1"/>
                  </w14:solidFill>
                </w14:textFill>
              </w:rPr>
            </w:pPr>
            <w:r>
              <w:rPr>
                <w:color w:val="000000" w:themeColor="text1"/>
                <w14:textFill>
                  <w14:solidFill>
                    <w14:schemeClr w14:val="tx1"/>
                  </w14:solidFill>
                </w14:textFill>
              </w:rPr>
              <w:t>2.61</w:t>
            </w:r>
          </w:p>
        </w:tc>
      </w:tr>
    </w:tbl>
    <w:p>
      <w:pPr>
        <w:pStyle w:val="160"/>
        <w:spacing w:line="50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备注：配置水量包含了</w:t>
      </w:r>
      <w:r>
        <w:rPr>
          <w:rFonts w:eastAsia="仿宋_GB2312"/>
          <w:iCs/>
          <w:color w:val="000000" w:themeColor="text1"/>
          <w:sz w:val="28"/>
          <w:szCs w:val="28"/>
          <w14:textFill>
            <w14:solidFill>
              <w14:schemeClr w14:val="tx1"/>
            </w14:solidFill>
          </w14:textFill>
        </w:rPr>
        <w:t>跨区域的引调水工程。</w:t>
      </w:r>
    </w:p>
    <w:p>
      <w:pPr>
        <w:pStyle w:val="160"/>
        <w:spacing w:line="50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同时，需水成果考虑了经济社会发展和全面节水的要求，配置水量能满足灌溉供水75%%、城乡生活生产供水95%供水保证率的要求。</w:t>
      </w:r>
    </w:p>
    <w:p>
      <w:pPr>
        <w:pStyle w:val="160"/>
        <w:spacing w:line="50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综上，通川区的水资源配置方案合理、可靠，可作为水资源管理的依据，强化水资源管理。</w:t>
      </w:r>
    </w:p>
    <w:p>
      <w:pPr>
        <w:widowControl/>
        <w:adjustRightInd/>
        <w:snapToGrid/>
        <w:spacing w:line="240" w:lineRule="auto"/>
        <w:ind w:firstLine="0" w:firstLineChars="0"/>
        <w:jc w:val="left"/>
        <w:rPr>
          <w:rFonts w:eastAsia="华文中宋"/>
          <w:b/>
          <w:bCs/>
          <w:color w:val="000000" w:themeColor="text1"/>
          <w:w w:val="90"/>
          <w:kern w:val="44"/>
          <w:sz w:val="36"/>
          <w:szCs w:val="44"/>
          <w14:textFill>
            <w14:solidFill>
              <w14:schemeClr w14:val="tx1"/>
            </w14:solidFill>
          </w14:textFill>
        </w:rPr>
      </w:pPr>
      <w:bookmarkStart w:id="224" w:name="_Toc224295043"/>
      <w:bookmarkStart w:id="225" w:name="_Toc7019666"/>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226" w:name="_Toc26169"/>
      <w:bookmarkStart w:id="227" w:name="_Toc23489"/>
      <w:r>
        <w:rPr>
          <w:color w:val="000000" w:themeColor="text1"/>
          <w14:textFill>
            <w14:solidFill>
              <w14:schemeClr w14:val="tx1"/>
            </w14:solidFill>
          </w14:textFill>
        </w:rPr>
        <w:t>6  水土保持及环境影响评价</w:t>
      </w:r>
      <w:bookmarkEnd w:id="224"/>
      <w:bookmarkEnd w:id="225"/>
      <w:bookmarkEnd w:id="226"/>
      <w:bookmarkEnd w:id="227"/>
    </w:p>
    <w:p>
      <w:pPr>
        <w:pStyle w:val="4"/>
        <w:rPr>
          <w:rFonts w:ascii="Times New Roman" w:hAnsi="Times New Roman" w:cs="Times New Roman"/>
          <w:color w:val="000000" w:themeColor="text1"/>
          <w14:textFill>
            <w14:solidFill>
              <w14:schemeClr w14:val="tx1"/>
            </w14:solidFill>
          </w14:textFill>
        </w:rPr>
      </w:pPr>
      <w:bookmarkStart w:id="228" w:name="_Toc29167"/>
      <w:bookmarkStart w:id="229" w:name="_Toc81708624"/>
      <w:bookmarkStart w:id="230" w:name="_Toc11173"/>
      <w:bookmarkStart w:id="231" w:name="_Toc7019667"/>
      <w:bookmarkStart w:id="232" w:name="_Toc224295044"/>
      <w:r>
        <w:rPr>
          <w:rFonts w:ascii="Times New Roman" w:hAnsi="Times New Roman" w:cs="Times New Roman"/>
          <w:color w:val="000000" w:themeColor="text1"/>
          <w14:textFill>
            <w14:solidFill>
              <w14:schemeClr w14:val="tx1"/>
            </w14:solidFill>
          </w14:textFill>
        </w:rPr>
        <w:t>6.1  水土保持</w:t>
      </w:r>
      <w:bookmarkEnd w:id="228"/>
      <w:bookmarkEnd w:id="229"/>
      <w:bookmarkEnd w:id="230"/>
      <w:bookmarkEnd w:id="231"/>
      <w:bookmarkEnd w:id="232"/>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33" w:name="_Toc417718879"/>
      <w:bookmarkStart w:id="234" w:name="_Toc1208"/>
      <w:bookmarkStart w:id="235" w:name="_Toc417980137"/>
      <w:r>
        <w:rPr>
          <w:rFonts w:eastAsia="黑体"/>
          <w:b/>
          <w:bCs/>
          <w:color w:val="000000" w:themeColor="text1"/>
          <w:szCs w:val="32"/>
          <w14:textFill>
            <w14:solidFill>
              <w14:schemeClr w14:val="tx1"/>
            </w14:solidFill>
          </w14:textFill>
        </w:rPr>
        <w:t>6.1.1  水土流失现状</w:t>
      </w:r>
      <w:bookmarkEnd w:id="233"/>
      <w:bookmarkEnd w:id="234"/>
      <w:bookmarkEnd w:id="235"/>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 区域土地利用现状</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根据通川区国土二调资料，通川区土地总面积88810.68公顷。其中农用地面积77公顷，占土地总面积的87.8%；建设用地面积8246.39公顷，占土地总面积的9.29%；其他土地面积2586.11公顷，占土地总面积的2.91%。</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表6.1.1  通川区土地利用结构表</w:t>
      </w:r>
    </w:p>
    <w:tbl>
      <w:tblPr>
        <w:tblStyle w:val="40"/>
        <w:tblW w:w="5000" w:type="pct"/>
        <w:tblInd w:w="0" w:type="dxa"/>
        <w:tblLayout w:type="autofit"/>
        <w:tblCellMar>
          <w:top w:w="0" w:type="dxa"/>
          <w:left w:w="108" w:type="dxa"/>
          <w:bottom w:w="0" w:type="dxa"/>
          <w:right w:w="108" w:type="dxa"/>
        </w:tblCellMar>
      </w:tblPr>
      <w:tblGrid>
        <w:gridCol w:w="2178"/>
        <w:gridCol w:w="2180"/>
        <w:gridCol w:w="2495"/>
        <w:gridCol w:w="2207"/>
      </w:tblGrid>
      <w:tr>
        <w:tblPrEx>
          <w:tblCellMar>
            <w:top w:w="0" w:type="dxa"/>
            <w:left w:w="108" w:type="dxa"/>
            <w:bottom w:w="0" w:type="dxa"/>
            <w:right w:w="108" w:type="dxa"/>
          </w:tblCellMar>
        </w:tblPrEx>
        <w:trPr>
          <w:trHeight w:val="397" w:hRule="atLeast"/>
        </w:trPr>
        <w:tc>
          <w:tcPr>
            <w:tcW w:w="2405" w:type="pct"/>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36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地类</w:t>
            </w:r>
          </w:p>
        </w:tc>
        <w:tc>
          <w:tcPr>
            <w:tcW w:w="1377" w:type="pct"/>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面积（公顷）</w:t>
            </w:r>
          </w:p>
        </w:tc>
        <w:tc>
          <w:tcPr>
            <w:tcW w:w="1219" w:type="pct"/>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比重（%）</w:t>
            </w:r>
          </w:p>
        </w:tc>
      </w:tr>
      <w:tr>
        <w:tblPrEx>
          <w:tblCellMar>
            <w:top w:w="0" w:type="dxa"/>
            <w:left w:w="108" w:type="dxa"/>
            <w:bottom w:w="0" w:type="dxa"/>
            <w:right w:w="108" w:type="dxa"/>
          </w:tblCellMar>
        </w:tblPrEx>
        <w:trPr>
          <w:trHeight w:val="397" w:hRule="atLeast"/>
        </w:trPr>
        <w:tc>
          <w:tcPr>
            <w:tcW w:w="2405" w:type="pct"/>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土地总面积</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88810.68</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100</w:t>
            </w:r>
          </w:p>
        </w:tc>
      </w:tr>
      <w:tr>
        <w:tblPrEx>
          <w:tblCellMar>
            <w:top w:w="0" w:type="dxa"/>
            <w:left w:w="108" w:type="dxa"/>
            <w:bottom w:w="0" w:type="dxa"/>
            <w:right w:w="108" w:type="dxa"/>
          </w:tblCellMar>
        </w:tblPrEx>
        <w:trPr>
          <w:trHeight w:val="397" w:hRule="atLeast"/>
        </w:trPr>
        <w:tc>
          <w:tcPr>
            <w:tcW w:w="1202" w:type="pct"/>
            <w:vMerge w:val="restart"/>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农用地</w:t>
            </w: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耕地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38455.43</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43.30</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园地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1510.92</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1.70</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林地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36924.10</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41.58</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牧草地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1052.25</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其他农用地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35.48</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0.04</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农用地合计</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77978.18</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87.80</w:t>
            </w:r>
          </w:p>
        </w:tc>
      </w:tr>
      <w:tr>
        <w:tblPrEx>
          <w:tblCellMar>
            <w:top w:w="0" w:type="dxa"/>
            <w:left w:w="108" w:type="dxa"/>
            <w:bottom w:w="0" w:type="dxa"/>
            <w:right w:w="108" w:type="dxa"/>
          </w:tblCellMar>
        </w:tblPrEx>
        <w:trPr>
          <w:trHeight w:val="397" w:hRule="atLeast"/>
        </w:trPr>
        <w:tc>
          <w:tcPr>
            <w:tcW w:w="1202" w:type="pct"/>
            <w:vMerge w:val="restart"/>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建设用地</w:t>
            </w: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城镇建设用地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3582.64</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4.03</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农村居民点用地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3708.00</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4.18</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工矿用地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162.78</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0.18</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交通水利用地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781.17</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0.88</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其他建设用地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11.80</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0.01</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建设用地合计</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8246.39</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9.29</w:t>
            </w:r>
          </w:p>
        </w:tc>
      </w:tr>
      <w:tr>
        <w:tblPrEx>
          <w:tblCellMar>
            <w:top w:w="0" w:type="dxa"/>
            <w:left w:w="108" w:type="dxa"/>
            <w:bottom w:w="0" w:type="dxa"/>
            <w:right w:w="108" w:type="dxa"/>
          </w:tblCellMar>
        </w:tblPrEx>
        <w:trPr>
          <w:trHeight w:val="397" w:hRule="atLeast"/>
        </w:trPr>
        <w:tc>
          <w:tcPr>
            <w:tcW w:w="1202" w:type="pct"/>
            <w:vMerge w:val="restart"/>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其他土地</w:t>
            </w: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水域</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2197.74</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2.47</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自然保留地</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388.37</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0.44</w:t>
            </w:r>
          </w:p>
        </w:tc>
      </w:tr>
      <w:tr>
        <w:tblPrEx>
          <w:tblCellMar>
            <w:top w:w="0" w:type="dxa"/>
            <w:left w:w="108" w:type="dxa"/>
            <w:bottom w:w="0" w:type="dxa"/>
            <w:right w:w="108" w:type="dxa"/>
          </w:tblCellMar>
        </w:tblPrEx>
        <w:trPr>
          <w:trHeight w:val="397" w:hRule="atLeast"/>
        </w:trPr>
        <w:tc>
          <w:tcPr>
            <w:tcW w:w="120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202"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其他土地合计</w:t>
            </w:r>
          </w:p>
        </w:tc>
        <w:tc>
          <w:tcPr>
            <w:tcW w:w="1377" w:type="pct"/>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2586.11</w:t>
            </w:r>
          </w:p>
        </w:tc>
        <w:tc>
          <w:tcPr>
            <w:tcW w:w="1219" w:type="pct"/>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2.91</w:t>
            </w:r>
          </w:p>
        </w:tc>
      </w:tr>
    </w:tbl>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sectPr>
          <w:headerReference r:id="rId19" w:type="default"/>
          <w:pgSz w:w="11906" w:h="16838"/>
          <w:pgMar w:top="1440" w:right="1531" w:bottom="1440" w:left="1531" w:header="851" w:footer="737" w:gutter="0"/>
          <w:cols w:space="720" w:num="1"/>
          <w:docGrid w:linePitch="381" w:charSpace="0"/>
        </w:sectPr>
      </w:pP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 区域水土流失现状</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项目区所在地水土流失侵蚀以水力侵蚀为主，其侵蚀形式有面蚀、沟蚀。面蚀以细沟状侵蚀为主，沟蚀以冲沟侵蚀为主。项目所在区域地处西南土石山区，容许土壤流失量为500t/k</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m³</w:t>
      </w:r>
      <w:r>
        <w:rPr>
          <w:rFonts w:hint="eastAsia" w:ascii="仿宋" w:hAnsi="仿宋" w:eastAsia="仿宋"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a，根据《全国水土保持规划国家级水土流失重点预防区和重点治理区划分成果》（办水保〔2013〕188号）及《四川省省级水土流失重点预防区和重点治理区划分成果》（川水函〔2017〕482号），项目区属嘉陵江及沱江中下游国家级水土流失重点治理区。</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表6.1.2  通川区水力侵蚀各级强度面积与比例</w:t>
      </w:r>
    </w:p>
    <w:tbl>
      <w:tblPr>
        <w:tblStyle w:val="40"/>
        <w:tblW w:w="9060"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035"/>
        <w:gridCol w:w="734"/>
        <w:gridCol w:w="728"/>
        <w:gridCol w:w="736"/>
        <w:gridCol w:w="730"/>
        <w:gridCol w:w="736"/>
        <w:gridCol w:w="718"/>
        <w:gridCol w:w="747"/>
        <w:gridCol w:w="718"/>
        <w:gridCol w:w="718"/>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6"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县区</w:t>
            </w:r>
          </w:p>
        </w:tc>
        <w:tc>
          <w:tcPr>
            <w:tcW w:w="1035"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侵蚀面积</w:t>
            </w:r>
          </w:p>
        </w:tc>
        <w:tc>
          <w:tcPr>
            <w:tcW w:w="734"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轻度</w:t>
            </w:r>
          </w:p>
        </w:tc>
        <w:tc>
          <w:tcPr>
            <w:tcW w:w="728" w:type="dxa"/>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轻度比例（%）</w:t>
            </w:r>
          </w:p>
        </w:tc>
        <w:tc>
          <w:tcPr>
            <w:tcW w:w="736"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中度</w:t>
            </w:r>
          </w:p>
        </w:tc>
        <w:tc>
          <w:tcPr>
            <w:tcW w:w="730" w:type="dxa"/>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中度比例（%）</w:t>
            </w:r>
          </w:p>
        </w:tc>
        <w:tc>
          <w:tcPr>
            <w:tcW w:w="736"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强烈</w:t>
            </w:r>
          </w:p>
        </w:tc>
        <w:tc>
          <w:tcPr>
            <w:tcW w:w="718" w:type="dxa"/>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强烈比例（%）</w:t>
            </w:r>
          </w:p>
        </w:tc>
        <w:tc>
          <w:tcPr>
            <w:tcW w:w="747"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极强烈</w:t>
            </w:r>
          </w:p>
        </w:tc>
        <w:tc>
          <w:tcPr>
            <w:tcW w:w="718" w:type="dxa"/>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极强烈比例（%）</w:t>
            </w:r>
          </w:p>
        </w:tc>
        <w:tc>
          <w:tcPr>
            <w:tcW w:w="718"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剧烈</w:t>
            </w:r>
          </w:p>
        </w:tc>
        <w:tc>
          <w:tcPr>
            <w:tcW w:w="714" w:type="dxa"/>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剧烈比例（%）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6"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通川区</w:t>
            </w:r>
          </w:p>
        </w:tc>
        <w:tc>
          <w:tcPr>
            <w:tcW w:w="1035"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854.75</w:t>
            </w:r>
          </w:p>
        </w:tc>
        <w:tc>
          <w:tcPr>
            <w:tcW w:w="734"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286.10</w:t>
            </w:r>
          </w:p>
        </w:tc>
        <w:tc>
          <w:tcPr>
            <w:tcW w:w="728"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33.47</w:t>
            </w:r>
          </w:p>
        </w:tc>
        <w:tc>
          <w:tcPr>
            <w:tcW w:w="736"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357.30</w:t>
            </w:r>
          </w:p>
        </w:tc>
        <w:tc>
          <w:tcPr>
            <w:tcW w:w="730"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41.80</w:t>
            </w:r>
          </w:p>
        </w:tc>
        <w:tc>
          <w:tcPr>
            <w:tcW w:w="736"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103.54</w:t>
            </w:r>
          </w:p>
        </w:tc>
        <w:tc>
          <w:tcPr>
            <w:tcW w:w="718"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12.11</w:t>
            </w:r>
          </w:p>
        </w:tc>
        <w:tc>
          <w:tcPr>
            <w:tcW w:w="747"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58.76</w:t>
            </w:r>
          </w:p>
        </w:tc>
        <w:tc>
          <w:tcPr>
            <w:tcW w:w="718"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6.87</w:t>
            </w:r>
          </w:p>
        </w:tc>
        <w:tc>
          <w:tcPr>
            <w:tcW w:w="718"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49.06</w:t>
            </w:r>
          </w:p>
        </w:tc>
        <w:tc>
          <w:tcPr>
            <w:tcW w:w="714" w:type="dxa"/>
            <w:noWrap/>
            <w:vAlign w:val="center"/>
          </w:tcPr>
          <w:p>
            <w:pPr>
              <w:snapToGrid/>
              <w:spacing w:line="240" w:lineRule="exact"/>
              <w:ind w:firstLine="0" w:firstLineChars="0"/>
              <w:jc w:val="center"/>
              <w:rPr>
                <w:rFonts w:eastAsia="宋体"/>
                <w:color w:val="000000" w:themeColor="text1"/>
                <w:w w:val="90"/>
                <w:kern w:val="0"/>
                <w:sz w:val="18"/>
                <w:szCs w:val="18"/>
                <w14:textFill>
                  <w14:solidFill>
                    <w14:schemeClr w14:val="tx1"/>
                  </w14:solidFill>
                </w14:textFill>
              </w:rPr>
            </w:pPr>
            <w:r>
              <w:rPr>
                <w:rFonts w:eastAsia="宋体"/>
                <w:color w:val="000000" w:themeColor="text1"/>
                <w:w w:val="90"/>
                <w:kern w:val="0"/>
                <w:sz w:val="18"/>
                <w:szCs w:val="18"/>
                <w14:textFill>
                  <w14:solidFill>
                    <w14:schemeClr w14:val="tx1"/>
                  </w14:solidFill>
                </w14:textFill>
              </w:rPr>
              <w:t>5.74</w:t>
            </w:r>
          </w:p>
        </w:tc>
      </w:tr>
    </w:tbl>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36" w:name="_Toc417980138"/>
      <w:bookmarkStart w:id="237" w:name="_Toc6507"/>
      <w:bookmarkStart w:id="238" w:name="_Toc417718880"/>
      <w:r>
        <w:rPr>
          <w:rFonts w:eastAsia="黑体"/>
          <w:b/>
          <w:bCs/>
          <w:color w:val="000000" w:themeColor="text1"/>
          <w:szCs w:val="32"/>
          <w14:textFill>
            <w14:solidFill>
              <w14:schemeClr w14:val="tx1"/>
            </w14:solidFill>
          </w14:textFill>
        </w:rPr>
        <w:t>6.1.2  工程建设可能造成的水土流失影响</w:t>
      </w:r>
      <w:bookmarkEnd w:id="236"/>
      <w:bookmarkEnd w:id="237"/>
      <w:bookmarkEnd w:id="238"/>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工程施工过程中的开挖、取料、弃渣及占地等，将挖损占用原地表面积，项目建设及生产过程中将对当地水土保持设施造成损坏。重点水源工程安云水库淹没各类土地4143.94亩，其中耕地654.32亩，林地32.11亩，住宅用地88.00亩，交通运输用地36.96亩，水域及水利设施用地17.60亩。</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车家河</w:t>
      </w:r>
      <w:r>
        <w:rPr>
          <w:rFonts w:ascii="Times New Roman" w:hAnsi="Times New Roman" w:eastAsia="仿宋_GB2312" w:cs="Times New Roman"/>
          <w:iCs/>
          <w:color w:val="000000" w:themeColor="text1"/>
          <w:sz w:val="28"/>
          <w:szCs w:val="28"/>
          <w14:textFill>
            <w14:solidFill>
              <w14:schemeClr w14:val="tx1"/>
            </w14:solidFill>
          </w14:textFill>
        </w:rPr>
        <w:t>淹没各类土地</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1457.33</w:t>
      </w:r>
      <w:r>
        <w:rPr>
          <w:rFonts w:ascii="Times New Roman" w:hAnsi="Times New Roman" w:eastAsia="仿宋_GB2312" w:cs="Times New Roman"/>
          <w:iCs/>
          <w:color w:val="000000" w:themeColor="text1"/>
          <w:sz w:val="28"/>
          <w:szCs w:val="28"/>
          <w14:textFill>
            <w14:solidFill>
              <w14:schemeClr w14:val="tx1"/>
            </w14:solidFill>
          </w14:textFill>
        </w:rPr>
        <w:t>亩，其中耕地</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364.33</w:t>
      </w:r>
      <w:r>
        <w:rPr>
          <w:rFonts w:ascii="Times New Roman" w:hAnsi="Times New Roman" w:eastAsia="仿宋_GB2312" w:cs="Times New Roman"/>
          <w:iCs/>
          <w:color w:val="000000" w:themeColor="text1"/>
          <w:sz w:val="28"/>
          <w:szCs w:val="28"/>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工程弃渣如不采取措施处理，将成为当地潜在的水土流失源，使区域的水土流失加剧，对当地的农田、水利、河道行洪造成不利影响。</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39" w:name="_Toc26556"/>
      <w:bookmarkStart w:id="240" w:name="_Toc417980140"/>
      <w:bookmarkStart w:id="241" w:name="_Toc417718882"/>
      <w:r>
        <w:rPr>
          <w:rFonts w:eastAsia="黑体"/>
          <w:b/>
          <w:bCs/>
          <w:color w:val="000000" w:themeColor="text1"/>
          <w:szCs w:val="32"/>
          <w14:textFill>
            <w14:solidFill>
              <w14:schemeClr w14:val="tx1"/>
            </w14:solidFill>
          </w14:textFill>
        </w:rPr>
        <w:t>6.1.3  水土流失防治方案规划布局</w:t>
      </w:r>
      <w:bookmarkEnd w:id="239"/>
      <w:bookmarkEnd w:id="240"/>
      <w:bookmarkEnd w:id="241"/>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指导思想和原则</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贯彻《中华人民共和国水土保持法》、《中华人民共和国环境保护法》的有关规定，按GB50433-2008《开发建设项目水土保持方案技术规范》要求，采取</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生态优先，因地制宜，因害设防，项目建设与防治水土流失同步，水土流失防治措施建设与管理并重</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的原则进行防治方案布局，使工程建设过程中的水土流失得到有效的控制。</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总体规划布局</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工程区的自然条件及水土流失现状、工程建设可能造成的水土流失的特点，结合工程布置水土流失防治措施。同时针对工程建设过程中防治目标和防治责任范围的不同，对工程建设新增水土流失的防治采取临时挡护和工程措施相结合、弃渣分散与集中处理相结合、工程措施与种植林草植被或与土地复垦相结合、建设期的实施与运行期规划管理相结合处置方法，形成较为完整的防治体系，减免和控制工程建设新增水土流失影响。</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水土流失防治责任范围及规划目标</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工程的项目组成和总体布置，初步确定本工程水土流失防治责任范围为工程永久占地、施工占地（包括生活生产设施占地，料场，弃渣场，施工公路及其他占地）等征用、租用土地及其影响范围。项目区属嘉陵江及沱江中下游国家级水土流失重点治理区，水土流失防治总体目标为预防和治理防治责任范围内的新增水土流失，减少和防治人为造成的新增水土流失，通过治理促进工程区生态环境的恢复，保障工程安全运行。</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按照《开发建设项目水土流失防治标准》（GB50434-2008）的有关规定，本工程水土流失防治应执行建设生产类项目一级标准，项目区年平均降雨量为1211毫米，因此工程区水土流失总治理度、林草恢复率、林草覆盖率按照降雨量进行修正，提高2个百分点。具体目标为：扰动土地整治率达95%，水土流失总治理度达97%，土壤流失控制比达1，拦渣率达95%，林草植被恢复率达99 %，林草覆盖率达27%。</w:t>
      </w:r>
    </w:p>
    <w:p>
      <w:pPr>
        <w:pStyle w:val="2"/>
        <w:ind w:firstLine="560"/>
        <w:rPr>
          <w:color w:val="000000" w:themeColor="text1"/>
          <w:lang w:val="zh-TW" w:eastAsia="zh-TW" w:bidi="zh-TW"/>
          <w14:textFill>
            <w14:solidFill>
              <w14:schemeClr w14:val="tx1"/>
            </w14:solidFill>
          </w14:textFill>
        </w:rPr>
      </w:pPr>
      <w:r>
        <w:rPr>
          <w:color w:val="000000" w:themeColor="text1"/>
          <w14:textFill>
            <w14:solidFill>
              <w14:schemeClr w14:val="tx1"/>
            </w14:solidFill>
          </w14:textFill>
        </w:rPr>
        <w:br w:type="page"/>
      </w:r>
    </w:p>
    <w:p>
      <w:pPr>
        <w:pStyle w:val="49"/>
        <w:rPr>
          <w:color w:val="000000" w:themeColor="text1"/>
          <w14:textFill>
            <w14:solidFill>
              <w14:schemeClr w14:val="tx1"/>
            </w14:solidFill>
          </w14:textFill>
        </w:rPr>
      </w:pPr>
      <w:r>
        <w:rPr>
          <w:color w:val="000000" w:themeColor="text1"/>
          <w14:textFill>
            <w14:solidFill>
              <w14:schemeClr w14:val="tx1"/>
            </w14:solidFill>
          </w14:textFill>
        </w:rPr>
        <w:t>表6.1.3  水土流失防治规划目标</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254"/>
        <w:gridCol w:w="1254"/>
        <w:gridCol w:w="1254"/>
        <w:gridCol w:w="1252"/>
        <w:gridCol w:w="1252"/>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exact"/>
        </w:trPr>
        <w:tc>
          <w:tcPr>
            <w:tcW w:w="85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项  目</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扰动土地</w:t>
            </w:r>
          </w:p>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整 治 率</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水土流失</w:t>
            </w:r>
          </w:p>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总治理度</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土壤流失</w:t>
            </w:r>
          </w:p>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控制比</w:t>
            </w:r>
          </w:p>
        </w:tc>
        <w:tc>
          <w:tcPr>
            <w:tcW w:w="691"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拦渣率</w:t>
            </w:r>
          </w:p>
        </w:tc>
        <w:tc>
          <w:tcPr>
            <w:tcW w:w="691"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林草植被</w:t>
            </w:r>
          </w:p>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恢复率</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林草覆</w:t>
            </w:r>
          </w:p>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盖  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5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施工建设期</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0.9</w:t>
            </w:r>
          </w:p>
        </w:tc>
        <w:tc>
          <w:tcPr>
            <w:tcW w:w="691"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95</w:t>
            </w:r>
          </w:p>
        </w:tc>
        <w:tc>
          <w:tcPr>
            <w:tcW w:w="691"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5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试运行期</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95</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97</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w:t>
            </w:r>
          </w:p>
        </w:tc>
        <w:tc>
          <w:tcPr>
            <w:tcW w:w="691"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95</w:t>
            </w:r>
          </w:p>
        </w:tc>
        <w:tc>
          <w:tcPr>
            <w:tcW w:w="691"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99</w:t>
            </w:r>
          </w:p>
        </w:tc>
        <w:tc>
          <w:tcPr>
            <w:tcW w:w="692" w:type="pct"/>
            <w:vAlign w:val="center"/>
          </w:tcPr>
          <w:p>
            <w:pPr>
              <w:adjustRightInd/>
              <w:snapToGrid/>
              <w:spacing w:line="400" w:lineRule="exact"/>
              <w:ind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27</w:t>
            </w:r>
          </w:p>
        </w:tc>
      </w:tr>
    </w:tbl>
    <w:p>
      <w:pPr>
        <w:ind w:firstLine="560"/>
        <w:rPr>
          <w:color w:val="000000" w:themeColor="text1"/>
          <w14:textFill>
            <w14:solidFill>
              <w14:schemeClr w14:val="tx1"/>
            </w14:solidFill>
          </w14:textFill>
        </w:rPr>
      </w:pPr>
    </w:p>
    <w:p>
      <w:pPr>
        <w:pStyle w:val="113"/>
        <w:spacing w:line="51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 水土流失防治分区及分区防治措施布局</w:t>
      </w:r>
    </w:p>
    <w:p>
      <w:pPr>
        <w:pStyle w:val="113"/>
        <w:spacing w:line="51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工程具有项目多、分散、涉及面广等特点，根据工程项目的组成，为便于水土流失防治措施设计，根据工程建设特点分为工程建设防治区、施工占地防治区和直接影响防治区布置防治措施。分区防治措施规划布局见表6.1.4。</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表6.1.4  水土流失分区防治措施规划布局表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566"/>
        <w:gridCol w:w="4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511"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防治区</w:t>
            </w: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部    位</w:t>
            </w:r>
          </w:p>
        </w:tc>
        <w:tc>
          <w:tcPr>
            <w:tcW w:w="4983"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防治措施布局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511"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工程建设区</w:t>
            </w: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施工建设区</w:t>
            </w:r>
          </w:p>
        </w:tc>
        <w:tc>
          <w:tcPr>
            <w:tcW w:w="4983" w:type="dxa"/>
            <w:vAlign w:val="center"/>
          </w:tcPr>
          <w:p>
            <w:pPr>
              <w:adjustRightInd/>
              <w:snapToGrid/>
              <w:spacing w:line="340" w:lineRule="exact"/>
              <w:ind w:firstLine="0" w:firstLineChars="0"/>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临时防护、植物措施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1" w:type="dxa"/>
            <w:vMerge w:val="restart"/>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施工占地区</w:t>
            </w: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弃  渣  场</w:t>
            </w:r>
          </w:p>
        </w:tc>
        <w:tc>
          <w:tcPr>
            <w:tcW w:w="4983" w:type="dxa"/>
            <w:vAlign w:val="center"/>
          </w:tcPr>
          <w:p>
            <w:pPr>
              <w:adjustRightInd/>
              <w:snapToGrid/>
              <w:spacing w:line="340" w:lineRule="exact"/>
              <w:ind w:firstLine="0" w:firstLineChars="0"/>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临时防护措施、拦渣工程、土地整治、植物措施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1" w:type="dxa"/>
            <w:vMerge w:val="continue"/>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料      场</w:t>
            </w:r>
          </w:p>
        </w:tc>
        <w:tc>
          <w:tcPr>
            <w:tcW w:w="4983" w:type="dxa"/>
            <w:vAlign w:val="center"/>
          </w:tcPr>
          <w:p>
            <w:pPr>
              <w:adjustRightInd/>
              <w:snapToGrid/>
              <w:spacing w:line="340" w:lineRule="exact"/>
              <w:ind w:firstLine="0" w:firstLineChars="0"/>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临时防护措施、拦渣工程、植物措施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1" w:type="dxa"/>
            <w:vMerge w:val="continue"/>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施工公路</w:t>
            </w:r>
          </w:p>
        </w:tc>
        <w:tc>
          <w:tcPr>
            <w:tcW w:w="4983" w:type="dxa"/>
            <w:vAlign w:val="center"/>
          </w:tcPr>
          <w:p>
            <w:pPr>
              <w:adjustRightInd/>
              <w:snapToGrid/>
              <w:spacing w:line="340" w:lineRule="exact"/>
              <w:ind w:firstLine="0" w:firstLineChars="0"/>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临时防护措施、土地整治（场内施工临时公路）、植物措施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1" w:type="dxa"/>
            <w:vMerge w:val="continue"/>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生活生产设施</w:t>
            </w:r>
          </w:p>
        </w:tc>
        <w:tc>
          <w:tcPr>
            <w:tcW w:w="4983" w:type="dxa"/>
            <w:vAlign w:val="center"/>
          </w:tcPr>
          <w:p>
            <w:pPr>
              <w:adjustRightInd/>
              <w:snapToGrid/>
              <w:spacing w:line="340" w:lineRule="exact"/>
              <w:ind w:firstLine="0" w:firstLineChars="0"/>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临时防护措施、土地整治、植物措施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1"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直接影响区</w:t>
            </w:r>
          </w:p>
        </w:tc>
        <w:tc>
          <w:tcPr>
            <w:tcW w:w="2566" w:type="dxa"/>
            <w:vAlign w:val="center"/>
          </w:tcPr>
          <w:p>
            <w:pPr>
              <w:adjustRightInd/>
              <w:snapToGrid/>
              <w:spacing w:line="340" w:lineRule="exact"/>
              <w:ind w:firstLine="0" w:firstLineChars="0"/>
              <w:jc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工程建设、施工公路影响区</w:t>
            </w:r>
          </w:p>
        </w:tc>
        <w:tc>
          <w:tcPr>
            <w:tcW w:w="4983" w:type="dxa"/>
            <w:vAlign w:val="center"/>
          </w:tcPr>
          <w:p>
            <w:pPr>
              <w:adjustRightInd/>
              <w:snapToGrid/>
              <w:spacing w:line="340" w:lineRule="exact"/>
              <w:ind w:firstLine="0" w:firstLineChars="0"/>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植物措施</w:t>
            </w:r>
          </w:p>
        </w:tc>
      </w:tr>
    </w:tbl>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42" w:name="_Toc417980141"/>
      <w:bookmarkStart w:id="243" w:name="_Toc417718883"/>
      <w:bookmarkStart w:id="244" w:name="_Toc21249"/>
      <w:r>
        <w:rPr>
          <w:rFonts w:eastAsia="黑体"/>
          <w:b/>
          <w:bCs/>
          <w:color w:val="000000" w:themeColor="text1"/>
          <w:szCs w:val="32"/>
          <w14:textFill>
            <w14:solidFill>
              <w14:schemeClr w14:val="tx1"/>
            </w14:solidFill>
          </w14:textFill>
        </w:rPr>
        <w:t>6.1.4  水土流失防治措施</w:t>
      </w:r>
      <w:bookmarkEnd w:id="242"/>
      <w:bookmarkEnd w:id="243"/>
      <w:bookmarkEnd w:id="244"/>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 水土保持工程措施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（1）临时工程措施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临时防护措施按</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先拦后弃</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的原则，主要针对工程建设区，施工占地区的生活生产设施、料场、临时堆料场、施工公路等施工地段以及工程永久占地和临时占地剥离的表土耕作层，进行临时性的挡护，形成封闭区，控制渣料流失。</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（2）工程弃渣处理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渣土从水源工程到渠线均有分布，其特点是弃渣较分散，除水源工程区外集中弃渣点较少，因此采取</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分散与集中堆置相结合、拦渣工程措施与植物工程措施相结合、弃渣场的整治与土地利用相结合</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的原则处理。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本着不影响防洪、少占耕地的原则，在水库坝址下游、渠系主要建筑物（如隧洞、渡槽、明渠弃渣量大的渠段）等附近设置集中堆渣场，配置拦渣工程措施和进行土地整治处理。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 土地整治工程措施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（1）渣场整治</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对占用部分耕地的弃渣场的土地整治，渣场在堆渣前应预先将表土耕作层剥离，集中堆置于渣场内并作临时挡护处理，堆渣后平整回填表土，同时理顺排水沟渠，尽量恢复原使用功能。此外，对原为贫瘠、荒芜的弃渣场地，堆渣后有条件的可平整造地，无条件的进行水保防护林建设。</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（2）施工占地整治</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施工对外新建的公路、扩建公路和场内公路予以保留，以方便乡村交通和工程维护。</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施工生产、生活设施占地在施工结束后进行清理，利用人力或畜力将迹地翻松，平整后利用剥离的表土覆土，并与当地灌排系统相结合，恢复耕地使用功能。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工程料场开采完工后，对其开挖形成的坑、凼、沟、壕进行平整后，绿化处理。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 植物工程措施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（1）渠堤绿化</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在保护现有植被的基础上，规划在渠堤两侧坡脚至管护边线范围内的宜林地段栽种护渠林。</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（2）施工占地绿化</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施工公路绿化：在完善施工公路的排水系统后，根据地形条件沿公路两侧种植护路林防尘减噪。</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弃渣场绿化：对不能复耕或造地的弃渣场在堆渣挡护后，按利用、经济的原则，种植水保林绿化处理。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施工生活生产设施占地绿化：在工程完工后，对所占非耕地进行平整，种植水保林绿化处理。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料场绿化：条块石料场在开挖取料结束后，栽种灌木林进行封闭绿化处理。</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45" w:name="_Toc417980142"/>
      <w:bookmarkStart w:id="246" w:name="_Toc417718884"/>
      <w:bookmarkStart w:id="247" w:name="_Toc23611"/>
      <w:r>
        <w:rPr>
          <w:rFonts w:eastAsia="黑体"/>
          <w:b/>
          <w:bCs/>
          <w:color w:val="000000" w:themeColor="text1"/>
          <w:szCs w:val="32"/>
          <w14:textFill>
            <w14:solidFill>
              <w14:schemeClr w14:val="tx1"/>
            </w14:solidFill>
          </w14:textFill>
        </w:rPr>
        <w:t>6.1.5  水土保持投资</w:t>
      </w:r>
      <w:bookmarkEnd w:id="245"/>
      <w:bookmarkEnd w:id="246"/>
      <w:r>
        <w:rPr>
          <w:rFonts w:eastAsia="黑体"/>
          <w:b/>
          <w:bCs/>
          <w:color w:val="000000" w:themeColor="text1"/>
          <w:szCs w:val="32"/>
          <w14:textFill>
            <w14:solidFill>
              <w14:schemeClr w14:val="tx1"/>
            </w14:solidFill>
          </w14:textFill>
        </w:rPr>
        <w:t>估算</w:t>
      </w:r>
      <w:bookmarkEnd w:id="247"/>
    </w:p>
    <w:p>
      <w:pPr>
        <w:pStyle w:val="113"/>
        <w:spacing w:line="51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本工程水土保持静态总投资468.07万元，分项统计如下：</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表6.1.5 工程水土保持投资估算表</w:t>
      </w:r>
    </w:p>
    <w:tbl>
      <w:tblPr>
        <w:tblStyle w:val="40"/>
        <w:tblW w:w="0" w:type="auto"/>
        <w:tblInd w:w="0" w:type="dxa"/>
        <w:tblLayout w:type="fixed"/>
        <w:tblCellMar>
          <w:top w:w="0" w:type="dxa"/>
          <w:left w:w="108" w:type="dxa"/>
          <w:bottom w:w="0" w:type="dxa"/>
          <w:right w:w="108" w:type="dxa"/>
        </w:tblCellMar>
      </w:tblPr>
      <w:tblGrid>
        <w:gridCol w:w="940"/>
        <w:gridCol w:w="2486"/>
        <w:gridCol w:w="1350"/>
        <w:gridCol w:w="1350"/>
        <w:gridCol w:w="1352"/>
        <w:gridCol w:w="1582"/>
      </w:tblGrid>
      <w:tr>
        <w:tblPrEx>
          <w:tblCellMar>
            <w:top w:w="0" w:type="dxa"/>
            <w:left w:w="108" w:type="dxa"/>
            <w:bottom w:w="0" w:type="dxa"/>
            <w:right w:w="108" w:type="dxa"/>
          </w:tblCellMar>
        </w:tblPrEx>
        <w:trPr>
          <w:trHeight w:val="397" w:hRule="atLeast"/>
        </w:trPr>
        <w:tc>
          <w:tcPr>
            <w:tcW w:w="940"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序号</w:t>
            </w:r>
          </w:p>
        </w:tc>
        <w:tc>
          <w:tcPr>
            <w:tcW w:w="2486" w:type="dxa"/>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工程或费用名称</w:t>
            </w:r>
          </w:p>
        </w:tc>
        <w:tc>
          <w:tcPr>
            <w:tcW w:w="1350" w:type="dxa"/>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建安工程费</w:t>
            </w:r>
          </w:p>
        </w:tc>
        <w:tc>
          <w:tcPr>
            <w:tcW w:w="1350" w:type="dxa"/>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植物措施费</w:t>
            </w:r>
          </w:p>
        </w:tc>
        <w:tc>
          <w:tcPr>
            <w:tcW w:w="1352" w:type="dxa"/>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独立费用</w:t>
            </w:r>
          </w:p>
        </w:tc>
        <w:tc>
          <w:tcPr>
            <w:tcW w:w="1582" w:type="dxa"/>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 计</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第一部分：建筑工程</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184.35</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184.35</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第二部分：植物措施</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13.75</w:t>
            </w: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13.75</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第三部分：临时工程</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24.85</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24.85</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一～三部分合计</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209.20</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13.75</w:t>
            </w: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222.95</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第四部分：独立费用</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218.63</w:t>
            </w: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218.63</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一</w:t>
            </w: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建设单位管理费</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22.50</w:t>
            </w: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22.50</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二</w:t>
            </w: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工程建设监理费</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28.13</w:t>
            </w: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28.13</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三</w:t>
            </w: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水土保持勘测设计费</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78.00</w:t>
            </w: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78.00</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四</w:t>
            </w: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水土保持监测费</w:t>
            </w: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0"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35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90.00</w:t>
            </w: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90.00</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一～四部分合计</w:t>
            </w:r>
          </w:p>
        </w:tc>
        <w:tc>
          <w:tcPr>
            <w:tcW w:w="4052" w:type="dxa"/>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441.58</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基本预备费</w:t>
            </w:r>
          </w:p>
        </w:tc>
        <w:tc>
          <w:tcPr>
            <w:tcW w:w="4052" w:type="dxa"/>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26.49</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水土保持设施补偿费</w:t>
            </w:r>
          </w:p>
        </w:tc>
        <w:tc>
          <w:tcPr>
            <w:tcW w:w="4052" w:type="dxa"/>
            <w:gridSpan w:val="3"/>
            <w:tcBorders>
              <w:top w:val="single" w:color="auto" w:sz="4" w:space="0"/>
              <w:left w:val="nil"/>
              <w:bottom w:val="single" w:color="auto" w:sz="4" w:space="0"/>
              <w:right w:val="single" w:color="000000"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940" w:type="dxa"/>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2486"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水土保持静态总投资</w:t>
            </w:r>
          </w:p>
        </w:tc>
        <w:tc>
          <w:tcPr>
            <w:tcW w:w="4052" w:type="dxa"/>
            <w:gridSpan w:val="3"/>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p>
        </w:tc>
        <w:tc>
          <w:tcPr>
            <w:tcW w:w="1582" w:type="dxa"/>
            <w:tcBorders>
              <w:top w:val="nil"/>
              <w:left w:val="nil"/>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468.07</w:t>
            </w:r>
          </w:p>
        </w:tc>
      </w:tr>
    </w:tbl>
    <w:p>
      <w:pPr>
        <w:adjustRightInd/>
        <w:snapToGrid/>
        <w:spacing w:line="240" w:lineRule="auto"/>
        <w:ind w:firstLine="0" w:firstLineChars="0"/>
        <w:rPr>
          <w:color w:val="000000" w:themeColor="text1"/>
          <w:sz w:val="21"/>
          <w14:textFill>
            <w14:solidFill>
              <w14:schemeClr w14:val="tx1"/>
            </w14:solidFill>
          </w14:textFill>
        </w:rPr>
      </w:pPr>
    </w:p>
    <w:p>
      <w:pPr>
        <w:pStyle w:val="4"/>
        <w:rPr>
          <w:rFonts w:ascii="Times New Roman" w:hAnsi="Times New Roman" w:cs="Times New Roman"/>
          <w:color w:val="000000" w:themeColor="text1"/>
          <w14:textFill>
            <w14:solidFill>
              <w14:schemeClr w14:val="tx1"/>
            </w14:solidFill>
          </w14:textFill>
        </w:rPr>
      </w:pPr>
      <w:bookmarkStart w:id="248" w:name="_Toc417980143"/>
      <w:bookmarkStart w:id="249" w:name="_Toc417718885"/>
      <w:bookmarkStart w:id="250" w:name="_Toc60370106"/>
      <w:bookmarkStart w:id="251" w:name="_Toc7697"/>
      <w:bookmarkStart w:id="252" w:name="_Toc13921"/>
      <w:bookmarkStart w:id="253" w:name="_Toc7019668"/>
      <w:bookmarkStart w:id="254" w:name="_Toc224295045"/>
      <w:bookmarkStart w:id="255" w:name="_Toc81708625"/>
      <w:r>
        <w:rPr>
          <w:rFonts w:ascii="Times New Roman" w:hAnsi="Times New Roman" w:cs="Times New Roman"/>
          <w:color w:val="000000" w:themeColor="text1"/>
          <w14:textFill>
            <w14:solidFill>
              <w14:schemeClr w14:val="tx1"/>
            </w14:solidFill>
          </w14:textFill>
        </w:rPr>
        <w:t>6.2  环境影响</w:t>
      </w:r>
      <w:bookmarkEnd w:id="248"/>
      <w:bookmarkEnd w:id="249"/>
      <w:r>
        <w:rPr>
          <w:rFonts w:ascii="Times New Roman" w:hAnsi="Times New Roman" w:cs="Times New Roman"/>
          <w:color w:val="000000" w:themeColor="text1"/>
          <w14:textFill>
            <w14:solidFill>
              <w14:schemeClr w14:val="tx1"/>
            </w14:solidFill>
          </w14:textFill>
        </w:rPr>
        <w:t>评价</w:t>
      </w:r>
      <w:bookmarkEnd w:id="250"/>
      <w:bookmarkEnd w:id="251"/>
      <w:bookmarkEnd w:id="252"/>
      <w:bookmarkEnd w:id="253"/>
      <w:bookmarkEnd w:id="254"/>
      <w:bookmarkEnd w:id="255"/>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56" w:name="_Toc417"/>
      <w:bookmarkStart w:id="257" w:name="_Toc417980144"/>
      <w:bookmarkStart w:id="258" w:name="_Toc417718886"/>
      <w:r>
        <w:rPr>
          <w:rFonts w:eastAsia="黑体"/>
          <w:b/>
          <w:bCs/>
          <w:color w:val="000000" w:themeColor="text1"/>
          <w:szCs w:val="32"/>
          <w14:textFill>
            <w14:solidFill>
              <w14:schemeClr w14:val="tx1"/>
            </w14:solidFill>
          </w14:textFill>
        </w:rPr>
        <w:t>6.2.1  工程地区环境现状</w:t>
      </w:r>
      <w:bookmarkEnd w:id="256"/>
      <w:bookmarkEnd w:id="257"/>
      <w:bookmarkEnd w:id="258"/>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 环境质量状况</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（1）环境空气及声环境质量</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项目区空气质量良好，无大的废气污染源，居民生活用燃料燃烧废气对环境空气质量的影响较小。</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目前项目区内及其周边，无噪声污染源，乡村道路车流量不大，汽车噪声对声环境影响也不大。</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（2）水环境质量</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水源水质：本次规划的水源方案为，以坝址在宣汉的达州市第二水源工程</w:t>
      </w:r>
      <w:r>
        <w:rPr>
          <w:rFonts w:hint="eastAsia" w:ascii="Times New Roman" w:hAnsi="Times New Roman" w:eastAsia="仿宋_GB2312" w:cs="Times New Roman"/>
          <w:iCs/>
          <w:color w:val="000000" w:themeColor="text1"/>
          <w:sz w:val="28"/>
          <w:szCs w:val="28"/>
          <w14:textFill>
            <w14:solidFill>
              <w14:schemeClr w14:val="tx1"/>
            </w14:solidFill>
          </w14:textFill>
        </w:rPr>
        <w:t>长滩湖</w:t>
      </w:r>
      <w:r>
        <w:rPr>
          <w:rFonts w:ascii="Times New Roman" w:hAnsi="Times New Roman" w:eastAsia="仿宋_GB2312" w:cs="Times New Roman"/>
          <w:iCs/>
          <w:color w:val="000000" w:themeColor="text1"/>
          <w:sz w:val="28"/>
          <w:szCs w:val="28"/>
          <w14:textFill>
            <w14:solidFill>
              <w14:schemeClr w14:val="tx1"/>
            </w14:solidFill>
          </w14:textFill>
        </w:rPr>
        <w:t>大型水库为依托，由重点水源工程安云水库、</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车家河</w:t>
      </w:r>
      <w:r>
        <w:rPr>
          <w:rFonts w:ascii="Times New Roman" w:hAnsi="Times New Roman" w:eastAsia="仿宋_GB2312" w:cs="Times New Roman"/>
          <w:iCs/>
          <w:color w:val="000000" w:themeColor="text1"/>
          <w:sz w:val="28"/>
          <w:szCs w:val="28"/>
          <w14:textFill>
            <w14:solidFill>
              <w14:schemeClr w14:val="tx1"/>
            </w14:solidFill>
          </w14:textFill>
        </w:rPr>
        <w:t>水库结合修建小型水库及微型水利设施解决。</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本次规划的水源工程上游除农业面污染源和少量居民生活污水影响外，无其他大的点污染源影响，水源水质基本能满足GB3838—2002《地表水环境质量标准》</w:t>
      </w:r>
      <w:r>
        <w:rPr>
          <w:rFonts w:ascii="Times New Roman" w:hAnsi="Times New Roman" w:eastAsia="仿宋_GB2312" w:cs="Times New Roman"/>
          <w:iCs/>
          <w:color w:val="000000" w:themeColor="text1"/>
          <w:sz w:val="28"/>
          <w:szCs w:val="28"/>
          <w14:textFill>
            <w14:solidFill>
              <w14:schemeClr w14:val="tx1"/>
            </w14:solidFill>
          </w14:textFill>
        </w:rPr>
        <w:fldChar w:fldCharType="begin"/>
      </w:r>
      <w:r>
        <w:rPr>
          <w:rFonts w:ascii="Times New Roman" w:hAnsi="Times New Roman" w:eastAsia="仿宋_GB2312" w:cs="Times New Roman"/>
          <w:iCs/>
          <w:color w:val="000000" w:themeColor="text1"/>
          <w:sz w:val="28"/>
          <w:szCs w:val="28"/>
          <w14:textFill>
            <w14:solidFill>
              <w14:schemeClr w14:val="tx1"/>
            </w14:solidFill>
          </w14:textFill>
        </w:rPr>
        <w:instrText xml:space="preserve"> = 3 \* ROMAN </w:instrText>
      </w:r>
      <w:r>
        <w:rPr>
          <w:rFonts w:ascii="Times New Roman" w:hAnsi="Times New Roman" w:eastAsia="仿宋_GB2312" w:cs="Times New Roman"/>
          <w:iCs/>
          <w:color w:val="000000" w:themeColor="text1"/>
          <w:sz w:val="28"/>
          <w:szCs w:val="28"/>
          <w14:textFill>
            <w14:solidFill>
              <w14:schemeClr w14:val="tx1"/>
            </w14:solidFill>
          </w14:textFill>
        </w:rPr>
        <w:fldChar w:fldCharType="separate"/>
      </w:r>
      <w:r>
        <w:rPr>
          <w:rFonts w:ascii="Times New Roman" w:hAnsi="Times New Roman" w:eastAsia="仿宋_GB2312" w:cs="Times New Roman"/>
          <w:iCs/>
          <w:color w:val="000000" w:themeColor="text1"/>
          <w:sz w:val="28"/>
          <w:szCs w:val="28"/>
          <w14:textFill>
            <w14:solidFill>
              <w14:schemeClr w14:val="tx1"/>
            </w14:solidFill>
          </w14:textFill>
        </w:rPr>
        <w:t>III</w:t>
      </w:r>
      <w:r>
        <w:rPr>
          <w:rFonts w:ascii="Times New Roman" w:hAnsi="Times New Roman" w:eastAsia="仿宋_GB2312" w:cs="Times New Roman"/>
          <w:iCs/>
          <w:color w:val="000000" w:themeColor="text1"/>
          <w:sz w:val="28"/>
          <w:szCs w:val="28"/>
          <w14:textFill>
            <w14:solidFill>
              <w14:schemeClr w14:val="tx1"/>
            </w14:solidFill>
          </w14:textFill>
        </w:rPr>
        <w:fldChar w:fldCharType="end"/>
      </w:r>
      <w:r>
        <w:rPr>
          <w:rFonts w:ascii="Times New Roman" w:hAnsi="Times New Roman" w:eastAsia="仿宋_GB2312" w:cs="Times New Roman"/>
          <w:iCs/>
          <w:color w:val="000000" w:themeColor="text1"/>
          <w:sz w:val="28"/>
          <w:szCs w:val="28"/>
          <w14:textFill>
            <w14:solidFill>
              <w14:schemeClr w14:val="tx1"/>
            </w14:solidFill>
          </w14:textFill>
        </w:rPr>
        <w:t>类水标准。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（3）生态环境</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根据复核，本规划的工程所在的区域未划入四川省生态保护红线区域内。</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项目区属常绿阔叶林植被带，植被多为天然次生林和人工林，主要树种有柏木、槲栎、短柄枹栎、青冈、枫杨、胡桃、桤木、泡桐等。其次慈竹、黄荆灌丛等分布较广泛。项目区未发现国家保护珍稀植物。</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经调查，区域常见的野生动物以麻雀、家燕等居多，次为猫头鹰、野兔、田鼠等，未发现国家保护的珍稀野生动物资源。</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区域经过长期的农业垦殖，景观生态体系主要由疏幼林生态系统、人工植被生态系统（包括农田植被和人工林），城镇、村庄生态系统，人工灌溉生态系统和河流生态系统组成。各类生态系统中以人工引进景观组分比重较大（包括次生林、农田植被），其物种组成较为单一，生物层次较少，异质化程度不高，受到人类活动的干扰影响下，生态体系的抵抗力和恢复力较低，景观组分稳定性较差。</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（4）社会环境</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通川区行政区幅员面积888k</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m²</w:t>
      </w:r>
      <w:r>
        <w:rPr>
          <w:rFonts w:ascii="Times New Roman" w:hAnsi="Times New Roman" w:eastAsia="仿宋_GB2312" w:cs="Times New Roman"/>
          <w:iCs/>
          <w:color w:val="000000" w:themeColor="text1"/>
          <w:sz w:val="28"/>
          <w:szCs w:val="28"/>
          <w14:textFill>
            <w14:solidFill>
              <w14:schemeClr w14:val="tx1"/>
            </w14:solidFill>
          </w14:textFill>
        </w:rPr>
        <w:t>，辖18个乡镇（2020年行政区合并后数据），</w:t>
      </w:r>
      <w:r>
        <w:rPr>
          <w:rFonts w:ascii="Times New Roman" w:hAnsi="Times New Roman" w:eastAsia="仿宋_GB2312" w:cs="Times New Roman"/>
          <w:iCs/>
          <w:color w:val="000000" w:themeColor="text1"/>
          <w:sz w:val="28"/>
          <w:szCs w:val="28"/>
          <w:lang w:eastAsia="zh-CN"/>
          <w14:textFill>
            <w14:solidFill>
              <w14:schemeClr w14:val="tx1"/>
            </w14:solidFill>
          </w14:textFill>
        </w:rPr>
        <w:t>20</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w:t>
      </w:r>
      <w:r>
        <w:rPr>
          <w:rFonts w:ascii="Times New Roman" w:hAnsi="Times New Roman" w:eastAsia="仿宋_GB2312" w:cs="Times New Roman"/>
          <w:iCs/>
          <w:color w:val="000000" w:themeColor="text1"/>
          <w:sz w:val="28"/>
          <w:szCs w:val="28"/>
          <w:lang w:eastAsia="zh-CN"/>
          <w14:textFill>
            <w14:solidFill>
              <w14:schemeClr w14:val="tx1"/>
            </w14:solidFill>
          </w14:textFill>
        </w:rPr>
        <w:t>年</w:t>
      </w:r>
      <w:r>
        <w:rPr>
          <w:rFonts w:ascii="Times New Roman" w:hAnsi="Times New Roman" w:eastAsia="仿宋_GB2312" w:cs="Times New Roman"/>
          <w:iCs/>
          <w:color w:val="000000" w:themeColor="text1"/>
          <w:sz w:val="28"/>
          <w:szCs w:val="28"/>
          <w14:textFill>
            <w14:solidFill>
              <w14:schemeClr w14:val="tx1"/>
            </w14:solidFill>
          </w14:textFill>
        </w:rPr>
        <w:t>末全区户籍人口为59.2万人，常住人口90.57万人</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2020年达州市通川区实现地区生产总值（GDP）340.7亿元，其中，第一产业实现增加值27.4亿元，第二产业实现增加值110.7亿元，第三产业（服务业）实现增加值202.6亿元。</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根据《四川省主体功能区规划》，工程位于四川省主体功能区规划中限制开发区域（农产品主产区）中的盆地中部平原浅丘区，本工程属水利工程，可促进农业发展，符合四川省主体功能区规划。</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经调查，工程区传染病有肝炎、肺结核、痢疾和麻疹等主要类型，区内无甲类传染病，各类传染病基本稳定并处于控制水平。</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根据工程区文物古迹分布资料及现场初步调查了解，项目建设区无具有保护级别的重要文物古迹。</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bookmarkStart w:id="259" w:name="_Toc417718887"/>
      <w:bookmarkStart w:id="260" w:name="_Toc417980145"/>
      <w:r>
        <w:rPr>
          <w:rFonts w:ascii="Times New Roman" w:hAnsi="Times New Roman" w:eastAsia="仿宋_GB2312" w:cs="Times New Roman"/>
          <w:iCs/>
          <w:color w:val="000000" w:themeColor="text1"/>
          <w:sz w:val="28"/>
          <w:szCs w:val="28"/>
          <w14:textFill>
            <w14:solidFill>
              <w14:schemeClr w14:val="tx1"/>
            </w14:solidFill>
          </w14:textFill>
        </w:rPr>
        <w:t>2 环境功能及主要环境问题</w:t>
      </w:r>
      <w:bookmarkEnd w:id="259"/>
      <w:bookmarkEnd w:id="260"/>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1）环境功能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根据项目区环境特点和有关管理规定，环境功能如下：</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（1）区域人工植被拼块和聚居地拼块类型，具有社会、生态环境功能。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（2）区域主要水源执行《地表水环境质量标准》GB3838</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2002Ⅲ类水质标准，具有灌溉、供水和景观娱乐等用水功能。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（3）区域环境空气质量属《环境空气质量标准》GB3095</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2012规定的二类功能区；声学环境执行《声环境质量标准》GB3096</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2008的1类标准。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（4）区域通过生态建设综合治理，植被覆盖程度提高，景观生态体系趋于稳定，生物多样性有所增加，具有较强的水土保持和生态环境功能。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2）主要环境问题</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通川区是省内的传统产粮地区，存在资源性和工程性缺水。现有水利工程因年代久远，淤积严重，蓄水能力减少，限制了区内水资源利用能力，工农业生产和农村人畜用水十分困难，严重制约了当地经济发展和农业产业结构调整。</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部分区域受沿岸城镇工业、生活排污影响，水质质量较差，影响水资源利用和效益发挥。</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区域目前的各类生态系统中以人工景观比重较大，在人类活动的干扰影响下，生态体系的抵抗力和恢复力较低，景观组分稳定性较差。</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61" w:name="_Toc8510"/>
      <w:bookmarkStart w:id="262" w:name="_Toc417980146"/>
      <w:bookmarkStart w:id="263" w:name="_Toc417718888"/>
      <w:r>
        <w:rPr>
          <w:rFonts w:eastAsia="黑体"/>
          <w:b/>
          <w:bCs/>
          <w:color w:val="000000" w:themeColor="text1"/>
          <w:szCs w:val="32"/>
          <w14:textFill>
            <w14:solidFill>
              <w14:schemeClr w14:val="tx1"/>
            </w14:solidFill>
          </w14:textFill>
        </w:rPr>
        <w:t>6.2.2  规划环境目标</w:t>
      </w:r>
      <w:bookmarkEnd w:id="261"/>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根据项目区环境现状、环境功能和工程施工及运行特点，拟定本项目环境保护目标为：</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1、作好施工期环境保护工作，减免工程施工期对区域水环境及大气环境的不利影响，区域主要水源按GB3838</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2002《地表水环境质量标准》Ⅲ类标准控制，施工区大气达到GB3095</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2012《环境空气质量标准》二级标准；</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2、保护区域现有林地和农田，对因工程建设占用和破坏的林地和农田采取切实有效的补偿和恢复措施，维护区域生态完整性，保持其生产力；</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3、重视开挖边坡及弃渣处理，以工程措施为先导，通过种植林草植被或土地复垦利用等措施保护水土资源，减免和控制工程建设新增水土流失影响；</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4、维持和保护区域人群生存条件和生态环境质量，并促进其生活、生产环境质量改善和提高。</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64" w:name="_Toc21246"/>
      <w:r>
        <w:rPr>
          <w:rFonts w:eastAsia="黑体"/>
          <w:b/>
          <w:bCs/>
          <w:color w:val="000000" w:themeColor="text1"/>
          <w:szCs w:val="32"/>
          <w14:textFill>
            <w14:solidFill>
              <w14:schemeClr w14:val="tx1"/>
            </w14:solidFill>
          </w14:textFill>
        </w:rPr>
        <w:t>6.2.3  环境影响初步分析</w:t>
      </w:r>
      <w:bookmarkEnd w:id="262"/>
      <w:bookmarkEnd w:id="263"/>
      <w:bookmarkEnd w:id="264"/>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 主要有利影响</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通川区水资源短缺，工程建成后，将区域城镇生活及工业用水、耕地、农村生活用水等纳入供水范围，将极大地改善区域用水条件，对促进项目区工农业的发展及改善人民生活质量具有重要意义。</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 xml:space="preserve">2 不利影响及环保对策措施 </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（1）景观生态</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1）景观生态影响</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项目实施过程中的占地、施工开挖，将局部改变土地利用现状，弃渣将新增水土流失影响。但由于项目分散，施工呈点、线分布，强度较小，工程建设破坏原地貌和弃渣量不大，对区域生境稳定状态基本上无大的影响，在采取水土流失防治措施和对施工占地进行土地整治综合利用后，这种影响可以降低。</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因此，工程建设对区域自然生态体系生态完整性的影响和水土流失造成的损失是区域自然生态体系可以承受的。</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2）保护措施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生态保护措施：根据项目区景观组分的结构和功能，生态保护措施以基本农田保护为核心，保持农业生态系统的整体性，重视生物病虫害对农业生态系统安全稳定性和敏感性的影响，保持农业生态系统的自我调节能力，防治水土流失，促进农业生态系统稳定良性循环。</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生态恢复措施：对因工程建设破坏的林草植被进行补偿或植被再造，使之恢复原有的生态功能。使项目区的植被覆盖程度不因工程建设而降低，并在原有基础上略有增加。</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农业生态保护措施：结合农业生态环境建设，完善排灌体系，普及科学耕作技术，增加农产品的科技含量。建立健全病虫害防治和报告制度，采用各种农业防治和生物防治措施，控制农药、化肥的施用量，提倡施用农家肥、沼气肥、有机肥，使区域农业生态环境得到保护和改善。</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（2）水库淹没及工程占地</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1）影响分析</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安云水库淹没区涉及达州市通川区安云乡2村7个组，水库淹没农村人口140人，拆迁房屋7404.60</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m²</w:t>
      </w:r>
      <w:r>
        <w:rPr>
          <w:rFonts w:ascii="Times New Roman" w:hAnsi="Times New Roman" w:eastAsia="仿宋_GB2312" w:cs="Times New Roman"/>
          <w:iCs/>
          <w:color w:val="000000" w:themeColor="text1"/>
          <w:sz w:val="28"/>
          <w:szCs w:val="28"/>
          <w14:textFill>
            <w14:solidFill>
              <w14:schemeClr w14:val="tx1"/>
            </w14:solidFill>
          </w14:textFill>
        </w:rPr>
        <w:t>，水库淹没土地4143.94亩，其中耕地654.32亩。淹没专项设施有乡村公路7.7km，10kv线路3.5km，电信线路4.2km，广电线路2.7km。</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水库淹没区涉及达州市通川区梓桐镇立马村4个组，水库淹没农村人口46人，房屋2290.47</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m²</w:t>
      </w:r>
      <w:r>
        <w:rPr>
          <w:rFonts w:ascii="Times New Roman" w:hAnsi="Times New Roman" w:eastAsia="仿宋_GB2312" w:cs="Times New Roman"/>
          <w:iCs/>
          <w:color w:val="000000" w:themeColor="text1"/>
          <w:sz w:val="28"/>
          <w:szCs w:val="28"/>
          <w14:textFill>
            <w14:solidFill>
              <w14:schemeClr w14:val="tx1"/>
            </w14:solidFill>
          </w14:textFill>
        </w:rPr>
        <w:t>，水库淹没土地1879.49亩，其中耕地313.25亩。淹没专项设施有乡村公路3.6km。</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2）环保对策措施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本工程规划生产安置总人口为898人，本阶段对该部分符合养老保障安置条件的82人，暂全部规划为养老保障安置；自谋职业、自谋出路安置的135人。其余的681人均规划在本村内调剂耕地进行有土安置。</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规划搬迁安置总人口为915人，本阶段初步考虑采取本村内部择址建房的方式进行安置。</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因占地面积小，对安置区人民生活影响不大。施工临时占地除采取临时补偿外，在施工结束后应即时恢复其原有功能。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（3）施工对环境的影响</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1）影响分析</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规划项目的水源工程枢纽区地处乡村，除施工期占地、开挖及弃渣对当地环境影响相对突出外，施工废水和生活污水，废气、噪声、施工交通与人群健康影响相对较小，对周边环境影响不大。</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渠道工程施工强度不大，施工期短，作业点分散，对周边环境的影响程度小，影响时间短。</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2）环保对策措施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工程施工尽量采取封闭施工，集中工区采取洒水降尘措施，对施工点附近有居民的地方合理安排高噪音机械化作业时间，及时清运处理工程弃渣，并合理的安排施工车辆的进出路线和时间，尽量减免施工车辆对当地交通的影响。</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加强施工污废水处理、工区环境卫生管理和施工人群健康保护工作。</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（4）水环境保护措施</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1）水源水质保护</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在水源水质取水点周围划定水源保护范围，按相应的保护级别进行水源水质保护。</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2）灌溉渠道水质保护</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灌溉渠系承担灌溉和供水任务，水质保护执行GB3838—2002《地表水环境质量标准》Ⅲ类水标准。此外，主干渠、支渠、分支渠以上渠道，因长距离输水，要防止对沿渠水质污染，并加强水政宣传教育，不得在渠道内淘洗、抛弃有毒有害和污秽物品，严禁企业在渠道排污。</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区内大力推广生态农业，减少化肥农药的施用量，禁止使用剧毒农药，以减少面污染的发生。通过水土保持措施的实施，进行渠堤绿化，避免区内小流域汇流增加渠道内污染物及泥沙含量。</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3）定期进行水质监测</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sectPr>
          <w:pgSz w:w="11906" w:h="16838"/>
          <w:pgMar w:top="1440" w:right="1531" w:bottom="1440" w:left="1531" w:header="851" w:footer="737" w:gutter="0"/>
          <w:cols w:space="720" w:num="1"/>
          <w:docGrid w:linePitch="381" w:charSpace="0"/>
        </w:sectPr>
      </w:pPr>
      <w:r>
        <w:rPr>
          <w:rFonts w:ascii="Times New Roman" w:hAnsi="Times New Roman" w:eastAsia="仿宋_GB2312" w:cs="Times New Roman"/>
          <w:iCs/>
          <w:color w:val="000000" w:themeColor="text1"/>
          <w:sz w:val="28"/>
          <w:szCs w:val="28"/>
          <w14:textFill>
            <w14:solidFill>
              <w14:schemeClr w14:val="tx1"/>
            </w14:solidFill>
          </w14:textFill>
        </w:rPr>
        <w:t>为掌握水质状况、研究水质演变规律，应进行定期的水质监测，为环境影响评价和制定环保措施提供依据。</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265" w:name="_Toc3560"/>
      <w:r>
        <w:rPr>
          <w:rFonts w:eastAsia="黑体"/>
          <w:b/>
          <w:bCs/>
          <w:color w:val="000000" w:themeColor="text1"/>
          <w:szCs w:val="32"/>
          <w14:textFill>
            <w14:solidFill>
              <w14:schemeClr w14:val="tx1"/>
            </w14:solidFill>
          </w14:textFill>
        </w:rPr>
        <w:t>6.2.4  环境保护投资预估</w:t>
      </w:r>
      <w:bookmarkEnd w:id="265"/>
    </w:p>
    <w:p>
      <w:pPr>
        <w:pStyle w:val="113"/>
        <w:spacing w:line="51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本规划项目环境保护投资共计370.75万元，分项环护投资统计如下：</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表6.2.1 工程环境保护投资估算表</w:t>
      </w:r>
    </w:p>
    <w:tbl>
      <w:tblPr>
        <w:tblStyle w:val="40"/>
        <w:tblW w:w="0" w:type="auto"/>
        <w:tblInd w:w="0" w:type="dxa"/>
        <w:tblLayout w:type="fixed"/>
        <w:tblCellMar>
          <w:top w:w="0" w:type="dxa"/>
          <w:left w:w="108" w:type="dxa"/>
          <w:bottom w:w="0" w:type="dxa"/>
          <w:right w:w="108" w:type="dxa"/>
        </w:tblCellMar>
      </w:tblPr>
      <w:tblGrid>
        <w:gridCol w:w="2177"/>
        <w:gridCol w:w="3147"/>
        <w:gridCol w:w="3736"/>
      </w:tblGrid>
      <w:tr>
        <w:tblPrEx>
          <w:tblCellMar>
            <w:top w:w="0" w:type="dxa"/>
            <w:left w:w="108" w:type="dxa"/>
            <w:bottom w:w="0" w:type="dxa"/>
            <w:right w:w="108" w:type="dxa"/>
          </w:tblCellMar>
        </w:tblPrEx>
        <w:trPr>
          <w:trHeight w:val="554" w:hRule="atLeast"/>
        </w:trPr>
        <w:tc>
          <w:tcPr>
            <w:tcW w:w="532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工程或费用名称</w:t>
            </w:r>
          </w:p>
        </w:tc>
        <w:tc>
          <w:tcPr>
            <w:tcW w:w="3736" w:type="dxa"/>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合计（万元）</w:t>
            </w:r>
          </w:p>
        </w:tc>
      </w:tr>
      <w:tr>
        <w:tblPrEx>
          <w:tblCellMar>
            <w:top w:w="0" w:type="dxa"/>
            <w:left w:w="108" w:type="dxa"/>
            <w:bottom w:w="0" w:type="dxa"/>
            <w:right w:w="108" w:type="dxa"/>
          </w:tblCellMar>
        </w:tblPrEx>
        <w:trPr>
          <w:trHeight w:val="397" w:hRule="atLeast"/>
        </w:trPr>
        <w:tc>
          <w:tcPr>
            <w:tcW w:w="2177"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I</w:t>
            </w:r>
          </w:p>
        </w:tc>
        <w:tc>
          <w:tcPr>
            <w:tcW w:w="3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环境保护措施</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120.00</w:t>
            </w:r>
          </w:p>
        </w:tc>
      </w:tr>
      <w:tr>
        <w:tblPrEx>
          <w:tblCellMar>
            <w:top w:w="0" w:type="dxa"/>
            <w:left w:w="108" w:type="dxa"/>
            <w:bottom w:w="0" w:type="dxa"/>
            <w:right w:w="108" w:type="dxa"/>
          </w:tblCellMar>
        </w:tblPrEx>
        <w:trPr>
          <w:trHeight w:val="397" w:hRule="atLeast"/>
        </w:trPr>
        <w:tc>
          <w:tcPr>
            <w:tcW w:w="2177"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II</w:t>
            </w:r>
          </w:p>
        </w:tc>
        <w:tc>
          <w:tcPr>
            <w:tcW w:w="3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环境监测措施</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33.60</w:t>
            </w:r>
          </w:p>
        </w:tc>
      </w:tr>
      <w:tr>
        <w:tblPrEx>
          <w:tblCellMar>
            <w:top w:w="0" w:type="dxa"/>
            <w:left w:w="108" w:type="dxa"/>
            <w:bottom w:w="0" w:type="dxa"/>
            <w:right w:w="108" w:type="dxa"/>
          </w:tblCellMar>
        </w:tblPrEx>
        <w:trPr>
          <w:trHeight w:val="397" w:hRule="atLeast"/>
        </w:trPr>
        <w:tc>
          <w:tcPr>
            <w:tcW w:w="2177"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III</w:t>
            </w:r>
          </w:p>
        </w:tc>
        <w:tc>
          <w:tcPr>
            <w:tcW w:w="3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环境保护仪器及安装工程</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38.40</w:t>
            </w:r>
          </w:p>
        </w:tc>
      </w:tr>
      <w:tr>
        <w:tblPrEx>
          <w:tblCellMar>
            <w:top w:w="0" w:type="dxa"/>
            <w:left w:w="108" w:type="dxa"/>
            <w:bottom w:w="0" w:type="dxa"/>
            <w:right w:w="108" w:type="dxa"/>
          </w:tblCellMar>
        </w:tblPrEx>
        <w:trPr>
          <w:trHeight w:val="397" w:hRule="atLeast"/>
        </w:trPr>
        <w:tc>
          <w:tcPr>
            <w:tcW w:w="2177"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IV</w:t>
            </w:r>
          </w:p>
        </w:tc>
        <w:tc>
          <w:tcPr>
            <w:tcW w:w="3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环境保护临时措施</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80.40</w:t>
            </w:r>
          </w:p>
        </w:tc>
      </w:tr>
      <w:tr>
        <w:tblPrEx>
          <w:tblCellMar>
            <w:top w:w="0" w:type="dxa"/>
            <w:left w:w="108" w:type="dxa"/>
            <w:bottom w:w="0" w:type="dxa"/>
            <w:right w:w="108" w:type="dxa"/>
          </w:tblCellMar>
        </w:tblPrEx>
        <w:trPr>
          <w:trHeight w:val="397" w:hRule="atLeast"/>
        </w:trPr>
        <w:tc>
          <w:tcPr>
            <w:tcW w:w="532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I～IV之和</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272.40</w:t>
            </w:r>
          </w:p>
        </w:tc>
      </w:tr>
      <w:tr>
        <w:tblPrEx>
          <w:tblCellMar>
            <w:top w:w="0" w:type="dxa"/>
            <w:left w:w="108" w:type="dxa"/>
            <w:bottom w:w="0" w:type="dxa"/>
            <w:right w:w="108" w:type="dxa"/>
          </w:tblCellMar>
        </w:tblPrEx>
        <w:trPr>
          <w:trHeight w:val="397" w:hRule="atLeast"/>
        </w:trPr>
        <w:tc>
          <w:tcPr>
            <w:tcW w:w="2177"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V</w:t>
            </w:r>
          </w:p>
        </w:tc>
        <w:tc>
          <w:tcPr>
            <w:tcW w:w="314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独立费用</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77.36</w:t>
            </w:r>
          </w:p>
        </w:tc>
      </w:tr>
      <w:tr>
        <w:tblPrEx>
          <w:tblCellMar>
            <w:top w:w="0" w:type="dxa"/>
            <w:left w:w="108" w:type="dxa"/>
            <w:bottom w:w="0" w:type="dxa"/>
            <w:right w:w="108" w:type="dxa"/>
          </w:tblCellMar>
        </w:tblPrEx>
        <w:trPr>
          <w:trHeight w:val="397" w:hRule="atLeast"/>
        </w:trPr>
        <w:tc>
          <w:tcPr>
            <w:tcW w:w="532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I～V部分合计</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349.76</w:t>
            </w:r>
          </w:p>
        </w:tc>
      </w:tr>
      <w:tr>
        <w:tblPrEx>
          <w:tblCellMar>
            <w:top w:w="0" w:type="dxa"/>
            <w:left w:w="108" w:type="dxa"/>
            <w:bottom w:w="0" w:type="dxa"/>
            <w:right w:w="108" w:type="dxa"/>
          </w:tblCellMar>
        </w:tblPrEx>
        <w:trPr>
          <w:trHeight w:val="397" w:hRule="atLeast"/>
        </w:trPr>
        <w:tc>
          <w:tcPr>
            <w:tcW w:w="532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基本预备费</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20.99</w:t>
            </w:r>
          </w:p>
        </w:tc>
      </w:tr>
      <w:tr>
        <w:tblPrEx>
          <w:tblCellMar>
            <w:top w:w="0" w:type="dxa"/>
            <w:left w:w="108" w:type="dxa"/>
            <w:bottom w:w="0" w:type="dxa"/>
            <w:right w:w="108" w:type="dxa"/>
          </w:tblCellMar>
        </w:tblPrEx>
        <w:trPr>
          <w:trHeight w:val="397" w:hRule="atLeast"/>
        </w:trPr>
        <w:tc>
          <w:tcPr>
            <w:tcW w:w="532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环境保护静态总投资</w:t>
            </w:r>
          </w:p>
        </w:tc>
        <w:tc>
          <w:tcPr>
            <w:tcW w:w="3736"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eastAsia="宋体"/>
                <w:color w:val="000000" w:themeColor="text1"/>
                <w:kern w:val="0"/>
                <w:sz w:val="24"/>
                <w14:textFill>
                  <w14:solidFill>
                    <w14:schemeClr w14:val="tx1"/>
                  </w14:solidFill>
                </w14:textFill>
              </w:rPr>
            </w:pPr>
            <w:r>
              <w:rPr>
                <w:rFonts w:eastAsia="宋体"/>
                <w:color w:val="000000" w:themeColor="text1"/>
                <w:kern w:val="0"/>
                <w:sz w:val="24"/>
                <w14:textFill>
                  <w14:solidFill>
                    <w14:schemeClr w14:val="tx1"/>
                  </w14:solidFill>
                </w14:textFill>
              </w:rPr>
              <w:t>370.75</w:t>
            </w:r>
          </w:p>
        </w:tc>
      </w:tr>
    </w:tbl>
    <w:p>
      <w:pPr>
        <w:pStyle w:val="2"/>
        <w:ind w:firstLine="560"/>
        <w:rPr>
          <w:rFonts w:eastAsia="华文中宋"/>
          <w:color w:val="000000" w:themeColor="text1"/>
          <w:w w:val="90"/>
          <w:kern w:val="44"/>
          <w:sz w:val="36"/>
          <w:szCs w:val="44"/>
          <w14:textFill>
            <w14:solidFill>
              <w14:schemeClr w14:val="tx1"/>
            </w14:solidFill>
          </w14:textFill>
        </w:rPr>
      </w:pPr>
      <w:bookmarkStart w:id="266" w:name="_Toc11703"/>
      <w:bookmarkStart w:id="267" w:name="_Toc6235"/>
      <w:bookmarkStart w:id="268" w:name="_Toc24290"/>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269" w:name="_Toc9950"/>
      <w:bookmarkStart w:id="270" w:name="_Toc26136"/>
      <w:r>
        <w:rPr>
          <w:color w:val="000000" w:themeColor="text1"/>
          <w14:textFill>
            <w14:solidFill>
              <w14:schemeClr w14:val="tx1"/>
            </w14:solidFill>
          </w14:textFill>
        </w:rPr>
        <w:t>7  重点水源</w:t>
      </w:r>
      <w:bookmarkEnd w:id="266"/>
      <w:bookmarkEnd w:id="267"/>
      <w:bookmarkEnd w:id="268"/>
      <w:r>
        <w:rPr>
          <w:color w:val="000000" w:themeColor="text1"/>
          <w14:textFill>
            <w14:solidFill>
              <w14:schemeClr w14:val="tx1"/>
            </w14:solidFill>
          </w14:textFill>
        </w:rPr>
        <w:t>工程</w:t>
      </w:r>
      <w:bookmarkEnd w:id="269"/>
      <w:bookmarkEnd w:id="270"/>
    </w:p>
    <w:p>
      <w:pPr>
        <w:pStyle w:val="4"/>
        <w:rPr>
          <w:rFonts w:ascii="Times New Roman" w:hAnsi="Times New Roman" w:cs="Times New Roman"/>
          <w:color w:val="000000" w:themeColor="text1"/>
          <w14:textFill>
            <w14:solidFill>
              <w14:schemeClr w14:val="tx1"/>
            </w14:solidFill>
          </w14:textFill>
        </w:rPr>
      </w:pPr>
      <w:bookmarkStart w:id="271" w:name="_Toc4170"/>
      <w:bookmarkStart w:id="272" w:name="_Toc8043"/>
      <w:bookmarkStart w:id="273" w:name="_Toc9656"/>
      <w:bookmarkStart w:id="274" w:name="_Toc16928"/>
      <w:bookmarkStart w:id="275" w:name="_Toc29973"/>
      <w:r>
        <w:rPr>
          <w:rFonts w:ascii="Times New Roman" w:hAnsi="Times New Roman" w:cs="Times New Roman"/>
          <w:color w:val="000000" w:themeColor="text1"/>
          <w14:textFill>
            <w14:solidFill>
              <w14:schemeClr w14:val="tx1"/>
            </w14:solidFill>
          </w14:textFill>
        </w:rPr>
        <w:t>7.1  安云水库简介</w:t>
      </w:r>
      <w:bookmarkEnd w:id="271"/>
      <w:bookmarkEnd w:id="272"/>
    </w:p>
    <w:bookmarkEnd w:id="273"/>
    <w:bookmarkEnd w:id="274"/>
    <w:bookmarkEnd w:id="275"/>
    <w:p>
      <w:pPr>
        <w:pStyle w:val="5"/>
        <w:rPr>
          <w:rFonts w:ascii="Times New Roman" w:hAnsi="Times New Roman"/>
          <w:color w:val="000000" w:themeColor="text1"/>
          <w14:textFill>
            <w14:solidFill>
              <w14:schemeClr w14:val="tx1"/>
            </w14:solidFill>
          </w14:textFill>
        </w:rPr>
      </w:pPr>
      <w:bookmarkStart w:id="276" w:name="_Toc17098"/>
      <w:r>
        <w:rPr>
          <w:rFonts w:ascii="Times New Roman" w:hAnsi="Times New Roman"/>
          <w:color w:val="000000" w:themeColor="text1"/>
          <w14:textFill>
            <w14:solidFill>
              <w14:schemeClr w14:val="tx1"/>
            </w14:solidFill>
          </w14:textFill>
        </w:rPr>
        <w:t>7.1.1  工程建设必要性</w:t>
      </w:r>
      <w:bookmarkEnd w:id="276"/>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（1） 是解决通川区社会经济快速发展带来的用水需求与区域供水能力之间矛盾的重要工程</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《达州市通川区国民经济和社会发展第十四个五年规划和二0三五年远景目标纲要》（以下简称《纲要》）正式对外发布。《纲要》锚定到2035年通川区将基本实现社会主义现代化。到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十四五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末，通川区在综合实力、质量效益、开放活力、城乡建设、人民生活、社会文明、生态文明、治理效能等方面取得显著提升，城镇化率达到80%。到2035年，新型城镇化建设基本完成。</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基于快速发展的社会经济，本次预测的通川区2025年、2030年、2035年需水总量分别为18146万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、24873万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、27389万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。根据一次平衡成果，按照现有水利设施供水能力，2025年、2030年、2035年通川区缺水将分别达到4576万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、9448万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、11741万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，缺水比例非常高。</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目前，通川区多年平均地表径流量5.17亿</w:t>
      </w:r>
      <w:r>
        <w:rPr>
          <w:rFonts w:hint="eastAsia"/>
          <w:color w:val="000000" w:themeColor="text1"/>
          <w14:textFill>
            <w14:solidFill>
              <w14:schemeClr w14:val="tx1"/>
            </w14:solidFill>
          </w14:textFill>
        </w:rPr>
        <w:t>m³</w:t>
      </w:r>
      <w:r>
        <w:rPr>
          <w:rFonts w:eastAsia="仿宋"/>
          <w:color w:val="000000" w:themeColor="text1"/>
          <w14:textFill>
            <w14:solidFill>
              <w14:schemeClr w14:val="tx1"/>
            </w14:solidFill>
          </w14:textFill>
        </w:rPr>
        <w:t>，</w:t>
      </w:r>
      <w:r>
        <w:rPr>
          <w:color w:val="000000" w:themeColor="text1"/>
          <w14:textFill>
            <w14:solidFill>
              <w14:schemeClr w14:val="tx1"/>
            </w14:solidFill>
          </w14:textFill>
        </w:rPr>
        <w:t>但目前已有水库的调蓄能力不大，总的兴利库容仅0.79亿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，占多年平均地表径流量的15%，远远不能满足通川区社会经济发展对水资源的需求，特别是遇枯水年份或连续干旱年份供用水矛盾更为突出。</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基于区域突出的供需水矛盾，通川区需强化节水、提高中水回用，同时大力建设一批骨干水利工程，提高对当地水资源的利用率，安云水库建成后，可大幅增加供水能力，为区域水资源配置提供稳定、优质的供水水源。</w:t>
      </w:r>
    </w:p>
    <w:p>
      <w:pPr>
        <w:pStyle w:val="2"/>
        <w:ind w:firstLine="560"/>
        <w:rPr>
          <w:color w:val="000000" w:themeColor="text1"/>
          <w14:textFill>
            <w14:solidFill>
              <w14:schemeClr w14:val="tx1"/>
            </w14:solidFill>
          </w14:textFill>
        </w:rPr>
      </w:pPr>
    </w:p>
    <w:p>
      <w:pPr>
        <w:pStyle w:val="2"/>
        <w:ind w:firstLine="560"/>
        <w:rPr>
          <w:color w:val="000000" w:themeColor="text1"/>
          <w14:textFill>
            <w14:solidFill>
              <w14:schemeClr w14:val="tx1"/>
            </w14:solidFill>
          </w14:textFill>
        </w:rPr>
      </w:pP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（2） 是战胜干旱、保障区域粮食安全、供水安全，促进农业可持续发展的需要</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通川区幅员面积888k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，水资源总量5.17亿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，人均水资源量570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。低于达州市人均水资源量1852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，远低于四川省人均水资源量3200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 xml:space="preserve">，低于全国人均水资源量2100 </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r>
        <w:rPr>
          <w:bCs/>
          <w:color w:val="000000" w:themeColor="text1"/>
          <w14:textFill>
            <w14:solidFill>
              <w14:schemeClr w14:val="tx1"/>
            </w14:solidFill>
          </w14:textFill>
        </w:rPr>
        <w:t>由于水量分布不均，水利设施不配套，同时受气候和地理条件的影响，全区缺水问题主要表现为季节性缺水。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通川区降水量年际变化较明显，境内降水量变差系数在0.15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0.27之间，降水量年内分配不均，主要集中在5月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10月，其降水量占全年总量的70%以上，通川区降水量呈地区分布不均匀特点，降水量在1150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1250mm之间，由于流域地形条件复杂，降水时空分布不均，冬干、春旱、夏旱、伏旱频繁，加之水利基础设施不足，灌溉保证率低，抗御干旱能力弱，危及粮食和人畜饮水安全，制约了农业生产及国民经济的发展。</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本地水资源是通川区的主要水源，本区历史以来受到严重的干旱威胁，尤其是春旱和伏旱，严重地影响着区内人民的生产和生活。区域内的水资源在时空上分配不均，尤其是枯期水量不足，当地河流源短流小，溪沟多数断流，又加大了水资源开发利用难度。针对当地径流的特点，考虑目前已建大量的小型水利工程，应立足于挖掘现有水利工程潜力，选择具有条件的水源工程，通过工程蓄水措施，提高水资源开发利用程度，以此充分利用基本水源具有就近利用灌溉的优势，发挥基本水源的优势。</w:t>
      </w:r>
    </w:p>
    <w:p>
      <w:pPr>
        <w:spacing w:line="520" w:lineRule="exact"/>
        <w:ind w:firstLine="560"/>
        <w:rPr>
          <w:bCs/>
          <w:color w:val="000000" w:themeColor="text1"/>
          <w14:textFill>
            <w14:solidFill>
              <w14:schemeClr w14:val="tx1"/>
            </w14:solidFill>
          </w14:textFill>
        </w:rPr>
      </w:pPr>
      <w:r>
        <w:rPr>
          <w:color w:val="000000" w:themeColor="text1"/>
          <w:szCs w:val="28"/>
          <w14:textFill>
            <w14:solidFill>
              <w14:schemeClr w14:val="tx1"/>
            </w14:solidFill>
          </w14:textFill>
        </w:rPr>
        <w:t>由于缺乏骨干工程，通川区的有效灌溉面积的发展受到制约，限制了粮食产量的提高，人均粮食产量将逐步下降，存在粮食安全隐患。要提高粮食单产，必须加强区域水利基础设施建设。兴建安云水库将提高区域供水能力，保障农业生产发展对水的需求，增加高产农田面积4.48万亩，</w:t>
      </w:r>
      <w:r>
        <w:rPr>
          <w:bCs/>
          <w:color w:val="000000" w:themeColor="text1"/>
          <w14:textFill>
            <w14:solidFill>
              <w14:schemeClr w14:val="tx1"/>
            </w14:solidFill>
          </w14:textFill>
        </w:rPr>
        <w:t>是保障区域粮食安全、促进农业可持续发展的需要。</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安云水库的建设是保障地区用水安全，促进地方经济协调发展的需要。该水源点可解决引水沿线安云乡、青宁镇、碑庙镇、金石镇共4个乡镇的生活饮用水及灌溉用水问题。</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由于安云水库坝址位置处的集雨面积44.8k</w:t>
      </w:r>
      <w:r>
        <w:rPr>
          <w:rFonts w:hint="eastAsia"/>
          <w:bCs/>
          <w:color w:val="000000" w:themeColor="text1"/>
          <w14:textFill>
            <w14:solidFill>
              <w14:schemeClr w14:val="tx1"/>
            </w14:solidFill>
          </w14:textFill>
        </w:rPr>
        <w:t>m²</w:t>
      </w:r>
      <w:r>
        <w:rPr>
          <w:bCs/>
          <w:color w:val="000000" w:themeColor="text1"/>
          <w14:textFill>
            <w14:solidFill>
              <w14:schemeClr w14:val="tx1"/>
            </w14:solidFill>
          </w14:textFill>
        </w:rPr>
        <w:t>，水量丰富，可作为通川区北部片区的灌溉、供水、旅游景观及生态用水。该片区水源问题的解决可进一步带动通川区北部片区经济的飞跃，有效保障北部片区供水安全。</w:t>
      </w:r>
    </w:p>
    <w:p>
      <w:pPr>
        <w:pStyle w:val="5"/>
        <w:rPr>
          <w:rFonts w:ascii="Times New Roman" w:hAnsi="Times New Roman"/>
          <w:color w:val="000000" w:themeColor="text1"/>
          <w14:textFill>
            <w14:solidFill>
              <w14:schemeClr w14:val="tx1"/>
            </w14:solidFill>
          </w14:textFill>
        </w:rPr>
      </w:pPr>
      <w:bookmarkStart w:id="277" w:name="_Toc31730"/>
      <w:r>
        <w:rPr>
          <w:rFonts w:ascii="Times New Roman" w:hAnsi="Times New Roman"/>
          <w:color w:val="000000" w:themeColor="text1"/>
          <w14:textFill>
            <w14:solidFill>
              <w14:schemeClr w14:val="tx1"/>
            </w14:solidFill>
          </w14:textFill>
        </w:rPr>
        <w:t>7.1.2  工程建设条件</w:t>
      </w:r>
      <w:bookmarkEnd w:id="277"/>
    </w:p>
    <w:p>
      <w:pPr>
        <w:pStyle w:val="6"/>
        <w:rPr>
          <w:color w:val="000000" w:themeColor="text1"/>
          <w14:textFill>
            <w14:solidFill>
              <w14:schemeClr w14:val="tx1"/>
            </w14:solidFill>
          </w14:textFill>
        </w:rPr>
      </w:pPr>
      <w:r>
        <w:rPr>
          <w:color w:val="000000" w:themeColor="text1"/>
          <w14:textFill>
            <w14:solidFill>
              <w14:schemeClr w14:val="tx1"/>
            </w14:solidFill>
          </w14:textFill>
        </w:rPr>
        <w:t>7.1.2.1  工程地质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（1）水库工程地质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1）基本地质条件</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水库区山顶高程560～770m，相对高差190～400m，库区为典型的低山峡谷区，河谷多呈狭窄的</w:t>
      </w:r>
      <w:r>
        <w:rPr>
          <w:rFonts w:hint="eastAsia"/>
          <w:iCs/>
          <w:color w:val="000000" w:themeColor="text1"/>
          <w:szCs w:val="28"/>
          <w14:textFill>
            <w14:solidFill>
              <w14:schemeClr w14:val="tx1"/>
            </w14:solidFill>
          </w14:textFill>
        </w:rPr>
        <w:t>“</w:t>
      </w:r>
      <w:r>
        <w:rPr>
          <w:iCs/>
          <w:color w:val="000000" w:themeColor="text1"/>
          <w:szCs w:val="28"/>
          <w14:textFill>
            <w14:solidFill>
              <w14:schemeClr w14:val="tx1"/>
            </w14:solidFill>
          </w14:textFill>
        </w:rPr>
        <w:t>U</w:t>
      </w:r>
      <w:r>
        <w:rPr>
          <w:rFonts w:hint="eastAsia"/>
          <w:iCs/>
          <w:color w:val="000000" w:themeColor="text1"/>
          <w:szCs w:val="28"/>
          <w14:textFill>
            <w14:solidFill>
              <w14:schemeClr w14:val="tx1"/>
            </w14:solidFill>
          </w14:textFill>
        </w:rPr>
        <w:t>”</w:t>
      </w:r>
      <w:r>
        <w:rPr>
          <w:iCs/>
          <w:color w:val="000000" w:themeColor="text1"/>
          <w:szCs w:val="28"/>
          <w14:textFill>
            <w14:solidFill>
              <w14:schemeClr w14:val="tx1"/>
            </w14:solidFill>
          </w14:textFill>
        </w:rPr>
        <w:t>型谷，河谷基本对称。库区沟底大多被坡洪积覆盖，两岸地形多呈台阶状，斜坡或缓台地分布有崩坡积层和坡残积层，陡坡段基岩裸露，库岸主要为岩质岸坡，岩性为J</w:t>
      </w:r>
      <w:r>
        <w:rPr>
          <w:iCs/>
          <w:color w:val="000000" w:themeColor="text1"/>
          <w:szCs w:val="28"/>
          <w:vertAlign w:val="subscript"/>
          <w14:textFill>
            <w14:solidFill>
              <w14:schemeClr w14:val="tx1"/>
            </w14:solidFill>
          </w14:textFill>
        </w:rPr>
        <w:t>2s</w:t>
      </w:r>
      <w:r>
        <w:rPr>
          <w:iCs/>
          <w:color w:val="000000" w:themeColor="text1"/>
          <w:szCs w:val="28"/>
          <w14:textFill>
            <w14:solidFill>
              <w14:schemeClr w14:val="tx1"/>
            </w14:solidFill>
          </w14:textFill>
        </w:rPr>
        <w:t>沙溪庙组紫红色粉砂质泥岩、泥质粉砂岩夹青灰色砂岩。一小背斜穿库而过，轴向N35°E，背斜NW翼岩层产状为N15～25°E /NW∠3～5°，SW翼岩层产状为N30～40°E /SW∠4～6°，未见断层通过，也未见有大的崩塌堆积体。</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2）水库渗漏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两库岸山体宽厚，无低于正常蓄水位（434m）的低邻谷存在，库盆在地形上封闭条件良好。库盆主要由J2s粉砂质泥岩、泥质粉砂岩及砂岩组成。库区无碳酸盐岩地层分布，库区内无断裂构造，水库总体上存在封闭条件。因此，水库封闭条件良好，具备成库条件。</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3）库岸稳定</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库区正常蓄水位（434m）附近大多基岩裸露，岩性主要为J</w:t>
      </w:r>
      <w:r>
        <w:rPr>
          <w:iCs/>
          <w:color w:val="000000" w:themeColor="text1"/>
          <w:szCs w:val="28"/>
          <w:vertAlign w:val="subscript"/>
          <w14:textFill>
            <w14:solidFill>
              <w14:schemeClr w14:val="tx1"/>
            </w14:solidFill>
          </w14:textFill>
        </w:rPr>
        <w:t>2s</w:t>
      </w:r>
      <w:r>
        <w:rPr>
          <w:iCs/>
          <w:color w:val="000000" w:themeColor="text1"/>
          <w:szCs w:val="28"/>
          <w14:textFill>
            <w14:solidFill>
              <w14:schemeClr w14:val="tx1"/>
            </w14:solidFill>
          </w14:textFill>
        </w:rPr>
        <w:t>粉砂质泥岩、泥质粉砂岩及砂岩，岩层产状平缓，地面自然坡度一般20～35°，为缓坡～斜坡地形，边坡中植被较为发育，库内未见有大的崩塌堆积体及地滑堆积体存在，边坡整体稳定，不存在岸坡再造问题。</w:t>
      </w:r>
    </w:p>
    <w:p>
      <w:pPr>
        <w:pStyle w:val="2"/>
        <w:ind w:firstLine="560"/>
        <w:rPr>
          <w:color w:val="000000" w:themeColor="text1"/>
          <w14:textFill>
            <w14:solidFill>
              <w14:schemeClr w14:val="tx1"/>
            </w14:solidFill>
          </w14:textFill>
        </w:rPr>
      </w:pP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4）水库浸没</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库区由中坝主库及长田塝、田家河等支库组成，呈条带状分布，沟底宽20～50m，上覆为第四系坡洪积层，组成物质为紫红色粉质粘土，厚5～10m，呈软塑状，坡脚为坡残积层，厚1～3m，呈可塑状，下伏基岩为J2s粉砂质泥岩、泥质粉砂岩及砂岩。正常蓄水位（434m）附近岸坡多为林地，有少量耕地，不存在大的浸没问题，只是在主库中坝、库尾潘家坡一带有浸没存在的可能，但范围不大。</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5）矿产、文物淹没及水库诱发地震</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据调查，库区内无矿产分布，也没有文物保护单位（点）分布，工程对地下、地面文物均不构成影响。因此，库区内均不存在矿产、文物淹没问题。</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根据库坝区地质构造条件、地震活动特征和水文地质条件综合分析，库坝区地层产状平缓，区内无断裂构造通过，库区岩体透水性微弱，因此水库蓄水后不具备产生诱发地震的地质条件。</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（2）天然建筑材料</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工程区砂砾石料已禁采，砂岩料不能满足人工骨料质量技术要求，调查的万源市固军镇桅杆岭灰岩人工骨料料场储量丰富，新鲜岩石符合混凝土骨料料源质量技术要求，运距约105km。工区出露的J2s粉砂质泥岩、泥质粉砂岩及砂岩，岩性软弱，可作为软岩堆石料料源，储量丰富，可满足工程所需。库区沟底坡洪积之粉质粘土及J2s之粉砂质泥岩可作为防渗料源，储量丰富，择优使用。</w:t>
      </w:r>
    </w:p>
    <w:p>
      <w:pPr>
        <w:pStyle w:val="6"/>
        <w:rPr>
          <w:color w:val="000000" w:themeColor="text1"/>
          <w14:textFill>
            <w14:solidFill>
              <w14:schemeClr w14:val="tx1"/>
            </w14:solidFill>
          </w14:textFill>
        </w:rPr>
      </w:pPr>
      <w:r>
        <w:rPr>
          <w:color w:val="000000" w:themeColor="text1"/>
          <w14:textFill>
            <w14:solidFill>
              <w14:schemeClr w14:val="tx1"/>
            </w14:solidFill>
          </w14:textFill>
        </w:rPr>
        <w:t>7.1.2.2  水文</w:t>
      </w:r>
    </w:p>
    <w:p>
      <w:pPr>
        <w:spacing w:line="520" w:lineRule="exact"/>
        <w:ind w:firstLine="560"/>
        <w:rPr>
          <w:iCs/>
          <w:color w:val="000000" w:themeColor="text1"/>
          <w:szCs w:val="28"/>
          <w14:textFill>
            <w14:solidFill>
              <w14:schemeClr w14:val="tx1"/>
            </w14:solidFill>
          </w14:textFill>
        </w:rPr>
      </w:pPr>
      <w:bookmarkStart w:id="278" w:name="_Toc81123187"/>
      <w:bookmarkStart w:id="279" w:name="_Toc81123125"/>
      <w:r>
        <w:rPr>
          <w:iCs/>
          <w:color w:val="000000" w:themeColor="text1"/>
          <w:szCs w:val="28"/>
          <w14:textFill>
            <w14:solidFill>
              <w14:schemeClr w14:val="tx1"/>
            </w14:solidFill>
          </w14:textFill>
        </w:rPr>
        <w:t>（1）流域概况</w:t>
      </w:r>
      <w:bookmarkEnd w:id="278"/>
      <w:bookmarkEnd w:id="279"/>
    </w:p>
    <w:p>
      <w:pPr>
        <w:spacing w:line="520" w:lineRule="exact"/>
        <w:ind w:firstLine="560"/>
        <w:rPr>
          <w:iCs/>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安云水库坝址位于长滩河上游左岸支流关门河上的安云乡田家河坝</w:t>
      </w:r>
      <w:r>
        <w:rPr>
          <w:iCs/>
          <w:color w:val="000000" w:themeColor="text1"/>
          <w:szCs w:val="28"/>
          <w14:textFill>
            <w14:solidFill>
              <w14:schemeClr w14:val="tx1"/>
            </w14:solidFill>
          </w14:textFill>
        </w:rPr>
        <w:t>，坝址（东经107°29'41.53</w:t>
      </w:r>
      <w:r>
        <w:rPr>
          <w:rFonts w:hint="eastAsia"/>
          <w:iCs/>
          <w:color w:val="000000" w:themeColor="text1"/>
          <w:szCs w:val="28"/>
          <w14:textFill>
            <w14:solidFill>
              <w14:schemeClr w14:val="tx1"/>
            </w14:solidFill>
          </w14:textFill>
        </w:rPr>
        <w:t>＂</w:t>
      </w:r>
      <w:r>
        <w:rPr>
          <w:iCs/>
          <w:color w:val="000000" w:themeColor="text1"/>
          <w:szCs w:val="28"/>
          <w14:textFill>
            <w14:solidFill>
              <w14:schemeClr w14:val="tx1"/>
            </w14:solidFill>
          </w14:textFill>
        </w:rPr>
        <w:t>，北纬31°28'01.97</w:t>
      </w:r>
      <w:r>
        <w:rPr>
          <w:rFonts w:hint="eastAsia"/>
          <w:iCs/>
          <w:color w:val="000000" w:themeColor="text1"/>
          <w:szCs w:val="28"/>
          <w14:textFill>
            <w14:solidFill>
              <w14:schemeClr w14:val="tx1"/>
            </w14:solidFill>
          </w14:textFill>
        </w:rPr>
        <w:t>＂</w:t>
      </w:r>
      <w:r>
        <w:rPr>
          <w:iCs/>
          <w:color w:val="000000" w:themeColor="text1"/>
          <w:szCs w:val="28"/>
          <w14:textFill>
            <w14:solidFill>
              <w14:schemeClr w14:val="tx1"/>
            </w14:solidFill>
          </w14:textFill>
        </w:rPr>
        <w:t>）下距安云乡场镇约2.0km。施家河南起安云乡落花村，北至碑庙镇万福村汇入长滩河，由上至下流经安云乡、青宁镇、碑庙镇。全流域面积110k</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，全长25km，河口流量1.45</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/s。安云水库坝址以上集雨面积44.8k</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，坝址多年平均流量0.81</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/s。</w:t>
      </w:r>
    </w:p>
    <w:p>
      <w:pPr>
        <w:spacing w:line="520" w:lineRule="exact"/>
        <w:ind w:firstLine="560"/>
        <w:rPr>
          <w:iCs/>
          <w:color w:val="000000" w:themeColor="text1"/>
          <w:szCs w:val="28"/>
          <w14:textFill>
            <w14:solidFill>
              <w14:schemeClr w14:val="tx1"/>
            </w14:solidFill>
          </w14:textFill>
        </w:rPr>
      </w:pPr>
      <w:bookmarkStart w:id="280" w:name="_Toc78185205"/>
      <w:bookmarkStart w:id="281" w:name="_Toc81123188"/>
      <w:bookmarkStart w:id="282" w:name="_Toc81123126"/>
      <w:r>
        <w:rPr>
          <w:iCs/>
          <w:color w:val="000000" w:themeColor="text1"/>
          <w:szCs w:val="28"/>
          <w14:textFill>
            <w14:solidFill>
              <w14:schemeClr w14:val="tx1"/>
            </w14:solidFill>
          </w14:textFill>
        </w:rPr>
        <w:t>（2） 径流</w:t>
      </w:r>
      <w:bookmarkEnd w:id="280"/>
      <w:bookmarkEnd w:id="281"/>
      <w:bookmarkEnd w:id="282"/>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1）水文站网分布及资料情况</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长滩河上游永红水文站，为小河流域代表站，设立于1970年，控制流域面积605k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观测项目有水位、流量及降水量等，具有设站至今完整的水位、流量及降雨资料，该站控制区域内在地质、植被等下垫面条件及降水与设计流域基本相近，其径流特性也较为相似，且与设计流域相邻并属相同径流分区。因此，本次采用永红站作为安云水库水文分析计算的依据站。</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永红站系国家基本水文站点，经复核，水准点及基本水尺设立正规，测验断面冲</w:t>
      </w:r>
      <w:r>
        <w:rPr>
          <w:rFonts w:hint="eastAsia"/>
          <w:iCs/>
          <w:color w:val="000000" w:themeColor="text1"/>
          <w:szCs w:val="28"/>
          <w14:textFill>
            <w14:solidFill>
              <w14:schemeClr w14:val="tx1"/>
            </w14:solidFill>
          </w14:textFill>
        </w:rPr>
        <w:t>淤</w:t>
      </w:r>
      <w:r>
        <w:rPr>
          <w:iCs/>
          <w:color w:val="000000" w:themeColor="text1"/>
          <w:szCs w:val="28"/>
          <w14:textFill>
            <w14:solidFill>
              <w14:schemeClr w14:val="tx1"/>
            </w14:solidFill>
          </w14:textFill>
        </w:rPr>
        <w:t>变化不大，高程经多次校测无变动，历年水位资料连续、完整；流量测验采用流速仪一点法，历年平均测次92次左右；测速垂线布设合理，能控制断面流速变化，流量整编方法符合小河站整编相关规范规定，其水文资料经四川省水文水资源勘测局审查且认可，并在多个水利工程设计时进行过复核并采用，其整编资料可靠，精度较高，具有较好的一致性和代表性，能满足本阶段的设计要求。</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2）径流系列一致性及代表性分析</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1.径流系列的采用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永红站于1970年5月20日建站并开始测流，具有1971年至今完整的实测流量资料系列，本次采用系列为水利年1971年6月～2013年5月共43年完整的径流系列，满足规范要求。</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2.系列一致性</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在1971年～2013年共43年连续完整径流系列其间，永红站控制域内水资源开发利用程度较低，建站40年余来，域内未兴建任何调水工程，也没有大的蓄水工程及其他足以改变流域下垫面条件的农业生产、基础设施建设和生态环境建设等人类活动和地质构造运动，对域内年降水量累计值和天然年径流累计关系线分析，相关曲线斜率不存在转折点，可认为其径流系列具有较好的一致性。</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3.系列代表性</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1971～2013年共43年的年平均流量系列绘制年平均流量过程线、逐年累进平均过程线及累进变差过程线看，系列在29年以上年径流资料均值已基本趋于稳定，具有明显的丰水年(1983年)和枯水年(1978年)，1971～1974年、197年～1983年为丰水组，1975～1978年、1994～1999年为枯水段年组，其余年份为丰枯交替出现，在43年系列中包含了丰、中、枯三个周期，说明该径流系列作为径流总体的随机样本能反映出本河段径流的总体分布规律，可认为永红站1971年～2013年径流系列具有较好的代表性。</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3）参证站径流计算</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1.水利年度划分</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从永红站各月多年平均流量来看，11月～次年5月的月平均流量明显低于6月～10月的月平均流量，12月～次年2月的月平均流量又明显低于11月和5月的月平均流量，12月～次年2月为枯水期。根据径流年内分配特点，将水利年度划分为6月～次年5月。</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2.频率计算</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永红站径流特性，径流计算时段划分为日历年、水利年(6月～次年5月)和枯季(12月～次年2月)三个时段，分别对各时段平均流量进行频率计算，用数学期望公式P=[m/(n+1)]×100%计算经验频率，以矩法计算均值及变差系数初始值，用P-III型理论频率曲线适线，确定统计参数及设计值，计算成果见表7.1.1。</w:t>
      </w:r>
    </w:p>
    <w:p>
      <w:pPr>
        <w:pStyle w:val="2"/>
        <w:ind w:firstLine="560"/>
        <w:rPr>
          <w:color w:val="000000" w:themeColor="text1"/>
          <w14:textFill>
            <w14:solidFill>
              <w14:schemeClr w14:val="tx1"/>
            </w14:solidFill>
          </w14:textFill>
        </w:rPr>
      </w:pPr>
    </w:p>
    <w:p>
      <w:pPr>
        <w:pStyle w:val="2"/>
        <w:ind w:firstLine="560"/>
        <w:rPr>
          <w:color w:val="000000" w:themeColor="text1"/>
          <w14:textFill>
            <w14:solidFill>
              <w14:schemeClr w14:val="tx1"/>
            </w14:solidFill>
          </w14:textFill>
        </w:rPr>
      </w:pPr>
    </w:p>
    <w:p>
      <w:pPr>
        <w:pStyle w:val="49"/>
        <w:rPr>
          <w:color w:val="000000" w:themeColor="text1"/>
          <w14:textFill>
            <w14:solidFill>
              <w14:schemeClr w14:val="tx1"/>
            </w14:solidFill>
          </w14:textFill>
        </w:rPr>
      </w:pPr>
      <w:r>
        <w:rPr>
          <w:color w:val="000000" w:themeColor="text1"/>
          <w14:textFill>
            <w14:solidFill>
              <w14:schemeClr w14:val="tx1"/>
            </w14:solidFill>
          </w14:textFill>
        </w:rPr>
        <w:t>表7.1.1  永红站径流计算成果表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52"/>
        <w:gridCol w:w="728"/>
        <w:gridCol w:w="634"/>
        <w:gridCol w:w="774"/>
        <w:gridCol w:w="873"/>
        <w:gridCol w:w="873"/>
        <w:gridCol w:w="873"/>
        <w:gridCol w:w="873"/>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328"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snapToGrid/>
              <w:spacing w:line="240" w:lineRule="exact"/>
              <w:ind w:left="-140" w:leftChars="-50" w:right="-140" w:rightChars="-50" w:firstLine="36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 xml:space="preserve">        名称</w:t>
            </w:r>
          </w:p>
          <w:p>
            <w:pPr>
              <w:adjustRightInd/>
              <w:snapToGrid/>
              <w:spacing w:line="240" w:lineRule="exact"/>
              <w:ind w:left="-140" w:leftChars="-50" w:right="-140" w:rightChars="-50" w:firstLine="600" w:firstLineChars="25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时段</w:t>
            </w:r>
          </w:p>
        </w:tc>
        <w:tc>
          <w:tcPr>
            <w:tcW w:w="411" w:type="pct"/>
            <w:vMerge w:val="restar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均值</w:t>
            </w:r>
          </w:p>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m³</w:t>
            </w:r>
            <w:r>
              <w:rPr>
                <w:rFonts w:eastAsia="宋体"/>
                <w:color w:val="000000" w:themeColor="text1"/>
                <w:sz w:val="24"/>
                <w14:textFill>
                  <w14:solidFill>
                    <w14:schemeClr w14:val="tx1"/>
                  </w14:solidFill>
                </w14:textFill>
              </w:rPr>
              <w:t>/s)</w:t>
            </w:r>
          </w:p>
        </w:tc>
        <w:tc>
          <w:tcPr>
            <w:tcW w:w="358" w:type="pct"/>
            <w:vMerge w:val="restar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Cv</w:t>
            </w:r>
          </w:p>
        </w:tc>
        <w:tc>
          <w:tcPr>
            <w:tcW w:w="437" w:type="pct"/>
            <w:vMerge w:val="restar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Cs/Cv</w:t>
            </w:r>
          </w:p>
        </w:tc>
        <w:tc>
          <w:tcPr>
            <w:tcW w:w="2465" w:type="pct"/>
            <w:gridSpan w:val="5"/>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各频率设计值Q</w:t>
            </w:r>
            <w:r>
              <w:rPr>
                <w:rFonts w:eastAsia="宋体"/>
                <w:color w:val="000000" w:themeColor="text1"/>
                <w:sz w:val="24"/>
                <w:vertAlign w:val="subscript"/>
                <w14:textFill>
                  <w14:solidFill>
                    <w14:schemeClr w14:val="tx1"/>
                  </w14:solidFill>
                </w14:textFill>
              </w:rPr>
              <w:t>P</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m³</w:t>
            </w:r>
            <w:r>
              <w:rPr>
                <w:rFonts w:eastAsia="宋体"/>
                <w:color w:val="000000" w:themeColor="text1"/>
                <w:sz w:val="24"/>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2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宋体"/>
                <w:color w:val="000000" w:themeColor="text1"/>
                <w:sz w:val="24"/>
                <w14:textFill>
                  <w14:solidFill>
                    <w14:schemeClr w14:val="tx1"/>
                  </w14:solidFill>
                </w14:textFill>
              </w:rPr>
            </w:pPr>
          </w:p>
        </w:tc>
        <w:tc>
          <w:tcPr>
            <w:tcW w:w="41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宋体"/>
                <w:color w:val="000000" w:themeColor="text1"/>
                <w:sz w:val="24"/>
                <w14:textFill>
                  <w14:solidFill>
                    <w14:schemeClr w14:val="tx1"/>
                  </w14:solidFill>
                </w14:textFill>
              </w:rPr>
            </w:pPr>
          </w:p>
        </w:tc>
        <w:tc>
          <w:tcPr>
            <w:tcW w:w="35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宋体"/>
                <w:color w:val="000000" w:themeColor="text1"/>
                <w:sz w:val="24"/>
                <w14:textFill>
                  <w14:solidFill>
                    <w14:schemeClr w14:val="tx1"/>
                  </w14:solidFill>
                </w14:textFill>
              </w:rPr>
            </w:pPr>
          </w:p>
        </w:tc>
        <w:tc>
          <w:tcPr>
            <w:tcW w:w="43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eastAsia="宋体"/>
                <w:color w:val="000000" w:themeColor="text1"/>
                <w:sz w:val="24"/>
                <w14:textFill>
                  <w14:solidFill>
                    <w14:schemeClr w14:val="tx1"/>
                  </w14:solidFill>
                </w14:textFill>
              </w:rPr>
            </w:pP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p=5%</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p=30%</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p=50%</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p=70%</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日历年</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10.6</w:t>
            </w:r>
          </w:p>
        </w:tc>
        <w:tc>
          <w:tcPr>
            <w:tcW w:w="35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0.49</w:t>
            </w:r>
          </w:p>
        </w:tc>
        <w:tc>
          <w:tcPr>
            <w:tcW w:w="437"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2.00</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20.7</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12.6</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9.76</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7.37</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水利年(6月～次年5月)</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10.4</w:t>
            </w:r>
          </w:p>
        </w:tc>
        <w:tc>
          <w:tcPr>
            <w:tcW w:w="35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0.52</w:t>
            </w:r>
          </w:p>
        </w:tc>
        <w:tc>
          <w:tcPr>
            <w:tcW w:w="437"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2.00</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20.6</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12.4</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9.49</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7.02</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12月～次年2月</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1.24</w:t>
            </w:r>
          </w:p>
        </w:tc>
        <w:tc>
          <w:tcPr>
            <w:tcW w:w="35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0.83</w:t>
            </w:r>
          </w:p>
        </w:tc>
        <w:tc>
          <w:tcPr>
            <w:tcW w:w="437"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2.50</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3.29</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1.43</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0.915</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0.571</w:t>
            </w:r>
          </w:p>
        </w:tc>
        <w:tc>
          <w:tcPr>
            <w:tcW w:w="493"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0.286</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3.坝址处径流计算</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采用水文比拟法，将永红站的设计径流成果按面积加雨量修正，移至安云水库水库坝址，得水库的径流。永红站控制集水区的面平均雨量按沿山、花池、马渡和永红四个雨量站的算术平均计算为1158.7mm，安云水库水库坝址以上降雨读通川区降雨等值线图求得，为1205mm。计算的水库坝址径流成果见表7.1.2。</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表7.1.2  安云水库坝址径流成果表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986"/>
        <w:gridCol w:w="843"/>
        <w:gridCol w:w="830"/>
        <w:gridCol w:w="946"/>
        <w:gridCol w:w="946"/>
        <w:gridCol w:w="946"/>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restart"/>
            <w:noWrap/>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水库</w:t>
            </w:r>
          </w:p>
        </w:tc>
        <w:tc>
          <w:tcPr>
            <w:tcW w:w="1096" w:type="pct"/>
            <w:vMerge w:val="restar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时段</w:t>
            </w: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均值</w:t>
            </w:r>
          </w:p>
        </w:tc>
        <w:tc>
          <w:tcPr>
            <w:tcW w:w="2545" w:type="pct"/>
            <w:gridSpan w:val="5"/>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各频率设计值Q</w:t>
            </w:r>
            <w:r>
              <w:rPr>
                <w:rFonts w:eastAsia="宋体"/>
                <w:iCs/>
                <w:color w:val="000000" w:themeColor="text1"/>
                <w:sz w:val="24"/>
                <w:vertAlign w:val="subscript"/>
                <w14:textFill>
                  <w14:solidFill>
                    <w14:schemeClr w14:val="tx1"/>
                  </w14:solidFill>
                </w14:textFill>
              </w:rPr>
              <w:t>P</w:t>
            </w:r>
            <w:r>
              <w:rPr>
                <w:rFonts w:eastAsia="宋体"/>
                <w:iCs/>
                <w:color w:val="000000" w:themeColor="text1"/>
                <w:sz w:val="24"/>
                <w14:textFill>
                  <w14:solidFill>
                    <w14:schemeClr w14:val="tx1"/>
                  </w14:solidFill>
                </w14:textFill>
              </w:rPr>
              <w:t>(</w:t>
            </w:r>
            <w:r>
              <w:rPr>
                <w:rFonts w:hint="eastAsia" w:eastAsia="宋体"/>
                <w:iCs/>
                <w:color w:val="000000" w:themeColor="text1"/>
                <w:sz w:val="24"/>
                <w14:textFill>
                  <w14:solidFill>
                    <w14:schemeClr w14:val="tx1"/>
                  </w14:solidFill>
                </w14:textFill>
              </w:rPr>
              <w:t>m³</w:t>
            </w:r>
            <w:r>
              <w:rPr>
                <w:rFonts w:eastAsia="宋体"/>
                <w:iCs/>
                <w:color w:val="000000" w:themeColor="text1"/>
                <w:sz w:val="24"/>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1096"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w:t>
            </w:r>
            <w:r>
              <w:rPr>
                <w:rFonts w:hint="eastAsia" w:eastAsia="宋体"/>
                <w:iCs/>
                <w:color w:val="000000" w:themeColor="text1"/>
                <w:sz w:val="24"/>
                <w14:textFill>
                  <w14:solidFill>
                    <w14:schemeClr w14:val="tx1"/>
                  </w14:solidFill>
                </w14:textFill>
              </w:rPr>
              <w:t>m³</w:t>
            </w:r>
            <w:r>
              <w:rPr>
                <w:rFonts w:eastAsia="宋体"/>
                <w:iCs/>
                <w:color w:val="000000" w:themeColor="text1"/>
                <w:sz w:val="24"/>
                <w14:textFill>
                  <w14:solidFill>
                    <w14:schemeClr w14:val="tx1"/>
                  </w14:solidFill>
                </w14:textFill>
              </w:rPr>
              <w:t>/s)</w:t>
            </w:r>
          </w:p>
        </w:tc>
        <w:tc>
          <w:tcPr>
            <w:tcW w:w="458"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p=5%</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p=30%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p=50%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p=70%</w:t>
            </w:r>
          </w:p>
        </w:tc>
        <w:tc>
          <w:tcPr>
            <w:tcW w:w="52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restart"/>
            <w:noWrap/>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安云水库</w:t>
            </w:r>
          </w:p>
        </w:tc>
        <w:tc>
          <w:tcPr>
            <w:tcW w:w="1096"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日历年</w:t>
            </w: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0.816</w:t>
            </w:r>
          </w:p>
        </w:tc>
        <w:tc>
          <w:tcPr>
            <w:tcW w:w="458"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1.59</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0.970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0.752</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0.568</w:t>
            </w:r>
          </w:p>
        </w:tc>
        <w:tc>
          <w:tcPr>
            <w:tcW w:w="52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1096"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水利年</w:t>
            </w:r>
          </w:p>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(6月～次年5月)</w:t>
            </w: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0.801</w:t>
            </w:r>
          </w:p>
        </w:tc>
        <w:tc>
          <w:tcPr>
            <w:tcW w:w="458"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1.59</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0.955</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0.731</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0.541</w:t>
            </w:r>
          </w:p>
        </w:tc>
        <w:tc>
          <w:tcPr>
            <w:tcW w:w="52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1096"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12月～次年2月</w:t>
            </w: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0.095</w:t>
            </w:r>
          </w:p>
        </w:tc>
        <w:tc>
          <w:tcPr>
            <w:tcW w:w="458"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0.253</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0.110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0.070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0.044</w:t>
            </w:r>
          </w:p>
        </w:tc>
        <w:tc>
          <w:tcPr>
            <w:tcW w:w="52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0.022</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(3)洪水</w:t>
      </w:r>
    </w:p>
    <w:p>
      <w:pPr>
        <w:spacing w:line="520" w:lineRule="exact"/>
        <w:ind w:firstLine="560"/>
        <w:rPr>
          <w:iCs/>
          <w:color w:val="000000" w:themeColor="text1"/>
          <w:szCs w:val="28"/>
          <w14:textFill>
            <w14:solidFill>
              <w14:schemeClr w14:val="tx1"/>
            </w14:solidFill>
          </w14:textFill>
        </w:rPr>
      </w:pPr>
      <w:bookmarkStart w:id="283" w:name="_Toc81123195"/>
      <w:r>
        <w:rPr>
          <w:iCs/>
          <w:color w:val="000000" w:themeColor="text1"/>
          <w:szCs w:val="28"/>
          <w14:textFill>
            <w14:solidFill>
              <w14:schemeClr w14:val="tx1"/>
            </w14:solidFill>
          </w14:textFill>
        </w:rPr>
        <w:t>1）暴雨洪水特性</w:t>
      </w:r>
      <w:bookmarkEnd w:id="283"/>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设计流域位于长滩河支流上，主要受太平洋热带高压和西南暖湿季风气流等因素影响而形成暴雨。暴雨发生在4月～11月，大暴雨多出现在5月～10月，期间暴雨洪水频繁，由于流域控制面积小，暴雨量在面上差异不大，但年际间变化较大，达县站1980年实测最大一日降水量194.1mm，1961年实测最大一日降水量仅48.8mm，相差近4倍。</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洪水由暴雨形成，发生时间与暴雨一致，5月～10月为汛期，6月～9月为主汛期，洪水具有陡涨陡落、峰高量大、历时短、过程尖瘦等特点，洪水过程主要为单峰型，一般为一天左右，洪峰量大时多为复峰，过程一般为2～3天，绝大部分洪量集中在一天，一日洪量占三日洪量69.7%。</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设计流域地处山区，河床切割较深，洪水流程短，汇流快。一旦遭遇洪峰，则形成大水或特大洪水，呈现出峰高量大、暴涨暴落的特点。永红站实测最大流量为3450</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/s(1985年)，历史调查最大洪水流量(1937年)3290</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/s。</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 设计暴雨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1.点暴雨的分析与计算</w:t>
      </w:r>
    </w:p>
    <w:p>
      <w:pPr>
        <w:spacing w:line="520" w:lineRule="exact"/>
        <w:ind w:firstLine="560"/>
        <w:rPr>
          <w:color w:val="000000" w:themeColor="text1"/>
          <w14:textFill>
            <w14:solidFill>
              <w14:schemeClr w14:val="tx1"/>
            </w14:solidFill>
          </w14:textFill>
        </w:rPr>
      </w:pPr>
      <w:r>
        <w:rPr>
          <w:iCs/>
          <w:color w:val="000000" w:themeColor="text1"/>
          <w:szCs w:val="28"/>
          <w14:textFill>
            <w14:solidFill>
              <w14:schemeClr w14:val="tx1"/>
            </w14:solidFill>
          </w14:textFill>
        </w:rPr>
        <w:t>车家河水库流域面积较小，采用推理公式法计算设计洪水。流域无暴雨观测资料，采用《暴雨统计参数图集》查得坝址以上流域重心处的点暴雨统计参数，</w:t>
      </w:r>
      <w:r>
        <w:rPr>
          <w:color w:val="000000" w:themeColor="text1"/>
          <w14:textFill>
            <w14:solidFill>
              <w14:schemeClr w14:val="tx1"/>
            </w14:solidFill>
          </w14:textFill>
        </w:rPr>
        <w:t>根据《省暴雨洪水手册》，集雨面积大于25km²的流域均需考虑点面折减，对于集雨面积大于分区暴雨点面折减上限面积的还需考虑二次折减。安云水库流域属Ⅱ₁区，6h、24h暴雨点面折减上限面积分别为70km²、110km²。计算得各断面流域面平均暴雨量，见表7.1.3。</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表7.1.3 安云水库水库各时段年最大暴雨统计参数成果表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时段（h）</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均值（mm）</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Cv</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Cs/Cv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1/6</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15</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0.35</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40</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0.4</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6</w:t>
            </w:r>
          </w:p>
        </w:tc>
        <w:tc>
          <w:tcPr>
            <w:tcW w:w="2265" w:type="dxa"/>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75（折减后73.6）</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0.47</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24</w:t>
            </w:r>
          </w:p>
        </w:tc>
        <w:tc>
          <w:tcPr>
            <w:tcW w:w="2265" w:type="dxa"/>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120（折减后118.3）</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0.48</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bl>
    <w:p>
      <w:pPr>
        <w:spacing w:line="540" w:lineRule="exact"/>
        <w:ind w:firstLine="560"/>
        <w:rPr>
          <w:iCs/>
          <w:color w:val="000000" w:themeColor="text1"/>
          <w:szCs w:val="28"/>
          <w14:textFill>
            <w14:solidFill>
              <w14:schemeClr w14:val="tx1"/>
            </w14:solidFill>
          </w14:textFill>
        </w:rPr>
      </w:pPr>
      <w:bookmarkStart w:id="284" w:name="_Toc81123197"/>
      <w:r>
        <w:rPr>
          <w:iCs/>
          <w:color w:val="000000" w:themeColor="text1"/>
          <w:szCs w:val="28"/>
          <w14:textFill>
            <w14:solidFill>
              <w14:schemeClr w14:val="tx1"/>
            </w14:solidFill>
          </w14:textFill>
        </w:rPr>
        <w:t>3） 设计洪水</w:t>
      </w:r>
      <w:bookmarkEnd w:id="284"/>
    </w:p>
    <w:p>
      <w:pPr>
        <w:spacing w:line="54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设计流域无实测洪水资料，本阶段拟采用推理公式推求，安云水库坝址以上流域特征参数见表7.1.4。</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表7.1.4  安云水库流域参数特征值表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adjustRightInd/>
              <w:snapToGrid/>
              <w:spacing w:line="240" w:lineRule="auto"/>
              <w:ind w:firstLine="0" w:firstLineChars="0"/>
              <w:jc w:val="center"/>
              <w:textAlignment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水库</w:t>
            </w:r>
          </w:p>
        </w:tc>
        <w:tc>
          <w:tcPr>
            <w:tcW w:w="1250" w:type="pct"/>
            <w:vAlign w:val="center"/>
          </w:tcPr>
          <w:p>
            <w:pPr>
              <w:adjustRightInd/>
              <w:snapToGrid/>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F(k</w:t>
            </w:r>
            <w:r>
              <w:rPr>
                <w:rFonts w:hint="eastAsia" w:eastAsia="宋体"/>
                <w:bCs/>
                <w:color w:val="000000" w:themeColor="text1"/>
                <w:sz w:val="24"/>
                <w14:textFill>
                  <w14:solidFill>
                    <w14:schemeClr w14:val="tx1"/>
                  </w14:solidFill>
                </w14:textFill>
              </w:rPr>
              <w:t>m²</w:t>
            </w:r>
            <w:r>
              <w:rPr>
                <w:rFonts w:eastAsia="宋体"/>
                <w:bCs/>
                <w:color w:val="000000" w:themeColor="text1"/>
                <w:sz w:val="24"/>
                <w14:textFill>
                  <w14:solidFill>
                    <w14:schemeClr w14:val="tx1"/>
                  </w14:solidFill>
                </w14:textFill>
              </w:rPr>
              <w:t>)</w:t>
            </w:r>
          </w:p>
        </w:tc>
        <w:tc>
          <w:tcPr>
            <w:tcW w:w="1250" w:type="pct"/>
            <w:vAlign w:val="center"/>
          </w:tcPr>
          <w:p>
            <w:pPr>
              <w:adjustRightInd/>
              <w:snapToGrid/>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L(km)</w:t>
            </w:r>
          </w:p>
        </w:tc>
        <w:tc>
          <w:tcPr>
            <w:tcW w:w="1250" w:type="pct"/>
            <w:vAlign w:val="center"/>
          </w:tcPr>
          <w:p>
            <w:pPr>
              <w:adjustRightInd/>
              <w:snapToGrid/>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adjustRightInd/>
              <w:snapToGrid/>
              <w:spacing w:line="240" w:lineRule="auto"/>
              <w:ind w:firstLine="0" w:firstLineChars="0"/>
              <w:jc w:val="center"/>
              <w:textAlignment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安云水库</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45.9</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11.8</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27.64</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按《四川省中小流域暴雨洪水计算手册》中的有关综合参数进行计算，推理公式为：</w:t>
      </w:r>
    </w:p>
    <w:p>
      <w:pPr>
        <w:spacing w:line="520" w:lineRule="exact"/>
        <w:ind w:firstLine="560"/>
        <w:rPr>
          <w:iCs/>
          <w:color w:val="000000" w:themeColor="text1"/>
          <w:szCs w:val="28"/>
          <w14:textFill>
            <w14:solidFill>
              <w14:schemeClr w14:val="tx1"/>
            </w14:solidFill>
          </w14:textFill>
        </w:rPr>
      </w:pPr>
      <w:r>
        <w:rPr>
          <w:color w:val="000000" w:themeColor="text1"/>
          <w:szCs w:val="28"/>
          <w14:textFill>
            <w14:solidFill>
              <w14:schemeClr w14:val="tx1"/>
            </w14:solidFill>
          </w14:textFill>
        </w:rPr>
        <w:t>Q=0.278ψ（s/τ</w:t>
      </w:r>
      <w:r>
        <w:rPr>
          <w:color w:val="000000" w:themeColor="text1"/>
          <w:szCs w:val="28"/>
          <w:vertAlign w:val="superscript"/>
          <w14:textFill>
            <w14:solidFill>
              <w14:schemeClr w14:val="tx1"/>
            </w14:solidFill>
          </w14:textFill>
        </w:rPr>
        <w:t>n</w:t>
      </w:r>
      <w:r>
        <w:rPr>
          <w:color w:val="000000" w:themeColor="text1"/>
          <w:szCs w:val="28"/>
          <w14:textFill>
            <w14:solidFill>
              <w14:schemeClr w14:val="tx1"/>
            </w14:solidFill>
          </w14:textFill>
        </w:rPr>
        <w:t>）F</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上式中：Q－最大洪峰流量(</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/s)</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Ψ－洪峰径流系数</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i－最大平均暴雨强度</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S－暴雨雨力，即最大1h暴雨量(mm/h)</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n－暴雨公式指数</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τ－流域汇流时间(h)</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u－产流参数，即产流历时内流域平均入渗强度(mm/h)</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m－汇流参数</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根据设计流域下垫面条件和《四川省中小流域暴雨洪水手册》区划，选取产汇流参数计算公式。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其中流域产流参数属盆地丘陵山区，计算式为：</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μ=4.8F-0.19；Cv=0.18；Cs=3.5Cv</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流域汇流参数属盆地丘陵区，计算式为：</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θ=1～30时，m=0.40θ</w:t>
      </w:r>
      <w:r>
        <w:rPr>
          <w:iCs/>
          <w:color w:val="000000" w:themeColor="text1"/>
          <w:szCs w:val="28"/>
          <w:vertAlign w:val="superscript"/>
          <w14:textFill>
            <w14:solidFill>
              <w14:schemeClr w14:val="tx1"/>
            </w14:solidFill>
          </w14:textFill>
        </w:rPr>
        <w:t>0.204</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θ=30～300时，m=0.092θ</w:t>
      </w:r>
      <w:r>
        <w:rPr>
          <w:iCs/>
          <w:color w:val="000000" w:themeColor="text1"/>
          <w:szCs w:val="28"/>
          <w:vertAlign w:val="superscript"/>
          <w14:textFill>
            <w14:solidFill>
              <w14:schemeClr w14:val="tx1"/>
            </w14:solidFill>
          </w14:textFill>
        </w:rPr>
        <w:t>0.636</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上式中：</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θ－流域特征参数，θ=L/(J</w:t>
      </w:r>
      <w:r>
        <w:rPr>
          <w:iCs/>
          <w:color w:val="000000" w:themeColor="text1"/>
          <w:szCs w:val="28"/>
          <w:vertAlign w:val="superscript"/>
          <w14:textFill>
            <w14:solidFill>
              <w14:schemeClr w14:val="tx1"/>
            </w14:solidFill>
          </w14:textFill>
        </w:rPr>
        <w:t>1/3</w:t>
      </w:r>
      <w:r>
        <w:rPr>
          <w:iCs/>
          <w:color w:val="000000" w:themeColor="text1"/>
          <w:szCs w:val="28"/>
          <w14:textFill>
            <w14:solidFill>
              <w14:schemeClr w14:val="tx1"/>
            </w14:solidFill>
          </w14:textFill>
        </w:rPr>
        <w:t>F</w:t>
      </w:r>
      <w:r>
        <w:rPr>
          <w:iCs/>
          <w:color w:val="000000" w:themeColor="text1"/>
          <w:szCs w:val="28"/>
          <w:vertAlign w:val="superscript"/>
          <w14:textFill>
            <w14:solidFill>
              <w14:schemeClr w14:val="tx1"/>
            </w14:solidFill>
          </w14:textFill>
        </w:rPr>
        <w:t>1/4</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L－河长，km；</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J－比降，‰；</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F－流域面积，k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按照所选取的产汇流计算参数，用推理公式计算各频率设计洪峰流量。经计算，安云水库工程处洪峰流量成果及主要参数见表7.1.5。</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表7.1.5  安云水库设计洪峰流量成果表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057"/>
        <w:gridCol w:w="699"/>
        <w:gridCol w:w="754"/>
        <w:gridCol w:w="754"/>
        <w:gridCol w:w="627"/>
        <w:gridCol w:w="627"/>
        <w:gridCol w:w="754"/>
        <w:gridCol w:w="627"/>
        <w:gridCol w:w="711"/>
        <w:gridCol w:w="711"/>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vMerge w:val="restart"/>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水库</w:t>
            </w:r>
          </w:p>
        </w:tc>
        <w:tc>
          <w:tcPr>
            <w:tcW w:w="583" w:type="pct"/>
            <w:vMerge w:val="restart"/>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面积</w:t>
            </w:r>
          </w:p>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（k</w:t>
            </w:r>
            <w:r>
              <w:rPr>
                <w:rFonts w:hint="eastAsia" w:eastAsia="宋体"/>
                <w:iCs/>
                <w:color w:val="000000" w:themeColor="text1"/>
                <w:sz w:val="20"/>
                <w:szCs w:val="20"/>
                <w14:textFill>
                  <w14:solidFill>
                    <w14:schemeClr w14:val="tx1"/>
                  </w14:solidFill>
                </w14:textFill>
              </w:rPr>
              <w:t>m²</w:t>
            </w:r>
            <w:r>
              <w:rPr>
                <w:rFonts w:eastAsia="宋体"/>
                <w:iCs/>
                <w:color w:val="000000" w:themeColor="text1"/>
                <w:sz w:val="20"/>
                <w:szCs w:val="20"/>
                <w14:textFill>
                  <w14:solidFill>
                    <w14:schemeClr w14:val="tx1"/>
                  </w14:solidFill>
                </w14:textFill>
              </w:rPr>
              <w:t>）</w:t>
            </w:r>
          </w:p>
        </w:tc>
        <w:tc>
          <w:tcPr>
            <w:tcW w:w="3852" w:type="pct"/>
            <w:gridSpan w:val="10"/>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各频率设计值Qp（</w:t>
            </w:r>
            <w:r>
              <w:rPr>
                <w:rFonts w:hint="eastAsia" w:eastAsia="宋体"/>
                <w:iCs/>
                <w:color w:val="000000" w:themeColor="text1"/>
                <w:sz w:val="20"/>
                <w:szCs w:val="20"/>
                <w14:textFill>
                  <w14:solidFill>
                    <w14:schemeClr w14:val="tx1"/>
                  </w14:solidFill>
                </w14:textFill>
              </w:rPr>
              <w:t>m³</w:t>
            </w:r>
            <w:r>
              <w:rPr>
                <w:rFonts w:eastAsia="宋体"/>
                <w:iCs/>
                <w:color w:val="000000" w:themeColor="text1"/>
                <w:sz w:val="20"/>
                <w:szCs w:val="20"/>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vMerge w:val="continue"/>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p>
        </w:tc>
        <w:tc>
          <w:tcPr>
            <w:tcW w:w="583" w:type="pct"/>
            <w:vMerge w:val="continue"/>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p>
        </w:tc>
        <w:tc>
          <w:tcPr>
            <w:tcW w:w="38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=0.05%</w:t>
            </w:r>
          </w:p>
        </w:tc>
        <w:tc>
          <w:tcPr>
            <w:tcW w:w="41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=0.1%</w:t>
            </w:r>
          </w:p>
        </w:tc>
        <w:tc>
          <w:tcPr>
            <w:tcW w:w="41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=0.2%</w:t>
            </w:r>
          </w:p>
        </w:tc>
        <w:tc>
          <w:tcPr>
            <w:tcW w:w="34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=1%</w:t>
            </w:r>
          </w:p>
        </w:tc>
        <w:tc>
          <w:tcPr>
            <w:tcW w:w="34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=2%</w:t>
            </w:r>
          </w:p>
        </w:tc>
        <w:tc>
          <w:tcPr>
            <w:tcW w:w="41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=3.3%</w:t>
            </w:r>
          </w:p>
        </w:tc>
        <w:tc>
          <w:tcPr>
            <w:tcW w:w="346"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=5%</w:t>
            </w:r>
          </w:p>
        </w:tc>
        <w:tc>
          <w:tcPr>
            <w:tcW w:w="392"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=10%</w:t>
            </w:r>
          </w:p>
        </w:tc>
        <w:tc>
          <w:tcPr>
            <w:tcW w:w="392"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=20%</w:t>
            </w:r>
          </w:p>
        </w:tc>
        <w:tc>
          <w:tcPr>
            <w:tcW w:w="391" w:type="pct"/>
            <w:vAlign w:val="center"/>
          </w:tcPr>
          <w:p>
            <w:pPr>
              <w:spacing w:line="240" w:lineRule="auto"/>
              <w:ind w:firstLine="0" w:firstLineChars="0"/>
              <w:jc w:val="center"/>
              <w:rPr>
                <w:rFonts w:eastAsia="宋体"/>
                <w:i/>
                <w:iCs/>
                <w:color w:val="000000" w:themeColor="text1"/>
                <w:sz w:val="20"/>
                <w:szCs w:val="20"/>
                <w14:textFill>
                  <w14:solidFill>
                    <w14:schemeClr w14:val="tx1"/>
                  </w14:solidFill>
                </w14:textFill>
              </w:rPr>
            </w:pPr>
            <w:r>
              <w:rPr>
                <w:rFonts w:eastAsia="宋体"/>
                <w:i/>
                <w:iCs/>
                <w:color w:val="000000" w:themeColor="text1"/>
                <w:sz w:val="20"/>
                <w:szCs w:val="20"/>
                <w14:textFill>
                  <w14:solidFill>
                    <w14:schemeClr w14:val="tx1"/>
                  </w14:solidFill>
                </w14:textFill>
              </w:rPr>
              <w:t>p</w:t>
            </w:r>
            <w:r>
              <w:rPr>
                <w:rFonts w:eastAsia="宋体"/>
                <w:iCs/>
                <w:color w:val="000000" w:themeColor="text1"/>
                <w:sz w:val="20"/>
                <w:szCs w:val="20"/>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安云水库</w:t>
            </w:r>
          </w:p>
        </w:tc>
        <w:tc>
          <w:tcPr>
            <w:tcW w:w="583"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45.9</w:t>
            </w:r>
          </w:p>
        </w:tc>
        <w:tc>
          <w:tcPr>
            <w:tcW w:w="38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748</w:t>
            </w:r>
          </w:p>
        </w:tc>
        <w:tc>
          <w:tcPr>
            <w:tcW w:w="41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684</w:t>
            </w:r>
          </w:p>
        </w:tc>
        <w:tc>
          <w:tcPr>
            <w:tcW w:w="41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620</w:t>
            </w:r>
          </w:p>
        </w:tc>
        <w:tc>
          <w:tcPr>
            <w:tcW w:w="34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473</w:t>
            </w:r>
          </w:p>
        </w:tc>
        <w:tc>
          <w:tcPr>
            <w:tcW w:w="34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411</w:t>
            </w:r>
          </w:p>
        </w:tc>
        <w:tc>
          <w:tcPr>
            <w:tcW w:w="41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365</w:t>
            </w:r>
          </w:p>
        </w:tc>
        <w:tc>
          <w:tcPr>
            <w:tcW w:w="346"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328</w:t>
            </w:r>
          </w:p>
        </w:tc>
        <w:tc>
          <w:tcPr>
            <w:tcW w:w="392"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266</w:t>
            </w:r>
          </w:p>
        </w:tc>
        <w:tc>
          <w:tcPr>
            <w:tcW w:w="392"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203</w:t>
            </w:r>
          </w:p>
        </w:tc>
        <w:tc>
          <w:tcPr>
            <w:tcW w:w="391" w:type="pct"/>
            <w:noWrap/>
            <w:vAlign w:val="center"/>
          </w:tcPr>
          <w:p>
            <w:pPr>
              <w:spacing w:line="240" w:lineRule="auto"/>
              <w:ind w:firstLine="0" w:firstLineChars="0"/>
              <w:jc w:val="center"/>
              <w:rPr>
                <w:rFonts w:eastAsia="宋体"/>
                <w:iCs/>
                <w:color w:val="000000" w:themeColor="text1"/>
                <w:sz w:val="20"/>
                <w:szCs w:val="20"/>
                <w14:textFill>
                  <w14:solidFill>
                    <w14:schemeClr w14:val="tx1"/>
                  </w14:solidFill>
                </w14:textFill>
              </w:rPr>
            </w:pPr>
            <w:r>
              <w:rPr>
                <w:rFonts w:eastAsia="宋体"/>
                <w:iCs/>
                <w:color w:val="000000" w:themeColor="text1"/>
                <w:sz w:val="20"/>
                <w:szCs w:val="20"/>
                <w14:textFill>
                  <w14:solidFill>
                    <w14:schemeClr w14:val="tx1"/>
                  </w14:solidFill>
                </w14:textFill>
              </w:rPr>
              <w:t>119</w:t>
            </w:r>
          </w:p>
        </w:tc>
      </w:tr>
    </w:tbl>
    <w:p>
      <w:pPr>
        <w:spacing w:line="520" w:lineRule="exact"/>
        <w:ind w:firstLine="560"/>
        <w:rPr>
          <w:iCs/>
          <w:color w:val="000000" w:themeColor="text1"/>
          <w:szCs w:val="28"/>
          <w14:textFill>
            <w14:solidFill>
              <w14:schemeClr w14:val="tx1"/>
            </w14:solidFill>
          </w14:textFill>
        </w:rPr>
      </w:pPr>
      <w:bookmarkStart w:id="285" w:name="_Toc81123128"/>
      <w:bookmarkStart w:id="286" w:name="_Toc81123199"/>
      <w:bookmarkStart w:id="287" w:name="_Toc78185207"/>
      <w:r>
        <w:rPr>
          <w:iCs/>
          <w:color w:val="000000" w:themeColor="text1"/>
          <w:szCs w:val="28"/>
          <w14:textFill>
            <w14:solidFill>
              <w14:schemeClr w14:val="tx1"/>
            </w14:solidFill>
          </w14:textFill>
        </w:rPr>
        <w:t>(4) 泥沙</w:t>
      </w:r>
      <w:bookmarkEnd w:id="285"/>
      <w:bookmarkEnd w:id="286"/>
      <w:bookmarkEnd w:id="287"/>
    </w:p>
    <w:p>
      <w:pPr>
        <w:spacing w:line="520" w:lineRule="exact"/>
        <w:ind w:firstLine="560"/>
        <w:rPr>
          <w:iCs/>
          <w:color w:val="000000" w:themeColor="text1"/>
          <w:szCs w:val="28"/>
          <w14:textFill>
            <w14:solidFill>
              <w14:schemeClr w14:val="tx1"/>
            </w14:solidFill>
          </w14:textFill>
        </w:rPr>
      </w:pPr>
      <w:bookmarkStart w:id="288" w:name="_Toc81123200"/>
      <w:r>
        <w:rPr>
          <w:iCs/>
          <w:color w:val="000000" w:themeColor="text1"/>
          <w:szCs w:val="28"/>
          <w14:textFill>
            <w14:solidFill>
              <w14:schemeClr w14:val="tx1"/>
            </w14:solidFill>
          </w14:textFill>
        </w:rPr>
        <w:t>1） 沙来源及特性</w:t>
      </w:r>
      <w:bookmarkEnd w:id="288"/>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河流的泥沙来源及产沙特性与其自然地理情况有着密切的关系，安云水库库区为浅切低山河谷，由于库区内人口众多，较之森林覆盖率低，农耕发达，壤土裸露，部分耕地坡度较大，时有山体坍塌发生，泥沙来源条件较为有利，遇到大雨或暴雨时，泥沙被携带入槽，形成泥沙主要的来源。</w:t>
      </w:r>
    </w:p>
    <w:p>
      <w:pPr>
        <w:spacing w:line="520" w:lineRule="exact"/>
        <w:ind w:firstLine="560"/>
        <w:rPr>
          <w:iCs/>
          <w:color w:val="000000" w:themeColor="text1"/>
          <w:szCs w:val="28"/>
          <w14:textFill>
            <w14:solidFill>
              <w14:schemeClr w14:val="tx1"/>
            </w14:solidFill>
          </w14:textFill>
        </w:rPr>
      </w:pPr>
      <w:bookmarkStart w:id="289" w:name="_Toc81123201"/>
      <w:r>
        <w:rPr>
          <w:iCs/>
          <w:color w:val="000000" w:themeColor="text1"/>
          <w:szCs w:val="28"/>
          <w14:textFill>
            <w14:solidFill>
              <w14:schemeClr w14:val="tx1"/>
            </w14:solidFill>
          </w14:textFill>
        </w:rPr>
        <w:t>2） 悬移质泥沙</w:t>
      </w:r>
      <w:bookmarkEnd w:id="289"/>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由于设计流域无实测泥沙资料，本阶段采用《四川省水文手册》多年平均悬移质输沙模数等值线图，由此查得本流域重心处多年平均悬移质输沙模数为500t/k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，则安云水库坝址处多年平均悬移质输沙量分别为2.3万t与1.8万t。</w:t>
      </w:r>
    </w:p>
    <w:p>
      <w:pPr>
        <w:spacing w:line="520" w:lineRule="exact"/>
        <w:ind w:firstLine="560"/>
        <w:rPr>
          <w:iCs/>
          <w:color w:val="000000" w:themeColor="text1"/>
          <w:szCs w:val="28"/>
          <w14:textFill>
            <w14:solidFill>
              <w14:schemeClr w14:val="tx1"/>
            </w14:solidFill>
          </w14:textFill>
        </w:rPr>
      </w:pPr>
      <w:bookmarkStart w:id="290" w:name="_Toc81123202"/>
      <w:r>
        <w:rPr>
          <w:iCs/>
          <w:color w:val="000000" w:themeColor="text1"/>
          <w:szCs w:val="28"/>
          <w14:textFill>
            <w14:solidFill>
              <w14:schemeClr w14:val="tx1"/>
            </w14:solidFill>
          </w14:textFill>
        </w:rPr>
        <w:t>3） 推移质泥沙</w:t>
      </w:r>
      <w:bookmarkEnd w:id="290"/>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根据水库所在流域的地质、地貌、地形条件，安云水库坝址处多年平均推移质输沙量，本阶段按悬沙的20%估算，为0.46万t。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安云水库多年平输沙总量为2.75万t，成果见表7.1.6。</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表7.1.6  安云水库水库泥沙成果表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905"/>
        <w:gridCol w:w="1193"/>
        <w:gridCol w:w="1670"/>
        <w:gridCol w:w="1670"/>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89" w:type="pct"/>
            <w:vAlign w:val="center"/>
          </w:tcPr>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水库</w:t>
            </w:r>
          </w:p>
        </w:tc>
        <w:tc>
          <w:tcPr>
            <w:tcW w:w="1051" w:type="pct"/>
            <w:vAlign w:val="center"/>
          </w:tcPr>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多年平均</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悬移质输沙模数</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（t/k</w:t>
            </w:r>
            <w:r>
              <w:rPr>
                <w:rFonts w:hint="eastAsia" w:eastAsia="宋体"/>
                <w:iCs/>
                <w:color w:val="000000" w:themeColor="text1"/>
                <w:sz w:val="21"/>
                <w14:textFill>
                  <w14:solidFill>
                    <w14:schemeClr w14:val="tx1"/>
                  </w14:solidFill>
                </w14:textFill>
              </w:rPr>
              <w:t>m²</w:t>
            </w:r>
            <w:r>
              <w:rPr>
                <w:rFonts w:eastAsia="宋体"/>
                <w:iCs/>
                <w:color w:val="000000" w:themeColor="text1"/>
                <w:sz w:val="21"/>
                <w14:textFill>
                  <w14:solidFill>
                    <w14:schemeClr w14:val="tx1"/>
                  </w14:solidFill>
                </w14:textFill>
              </w:rPr>
              <w:t>）</w:t>
            </w:r>
          </w:p>
        </w:tc>
        <w:tc>
          <w:tcPr>
            <w:tcW w:w="658" w:type="pct"/>
            <w:vAlign w:val="center"/>
          </w:tcPr>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多年平均</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流量</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w:t>
            </w:r>
            <w:r>
              <w:rPr>
                <w:rFonts w:hint="eastAsia" w:eastAsia="宋体"/>
                <w:iCs/>
                <w:color w:val="000000" w:themeColor="text1"/>
                <w:sz w:val="21"/>
                <w14:textFill>
                  <w14:solidFill>
                    <w14:schemeClr w14:val="tx1"/>
                  </w14:solidFill>
                </w14:textFill>
              </w:rPr>
              <w:t>m³</w:t>
            </w:r>
            <w:r>
              <w:rPr>
                <w:rFonts w:eastAsia="宋体"/>
                <w:iCs/>
                <w:color w:val="000000" w:themeColor="text1"/>
                <w:sz w:val="21"/>
                <w14:textFill>
                  <w14:solidFill>
                    <w14:schemeClr w14:val="tx1"/>
                  </w14:solidFill>
                </w14:textFill>
              </w:rPr>
              <w:t>/s）</w:t>
            </w:r>
          </w:p>
        </w:tc>
        <w:tc>
          <w:tcPr>
            <w:tcW w:w="921" w:type="pct"/>
            <w:vAlign w:val="center"/>
          </w:tcPr>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多年平均</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悬移质输沙量</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（万t）</w:t>
            </w:r>
          </w:p>
        </w:tc>
        <w:tc>
          <w:tcPr>
            <w:tcW w:w="921" w:type="pct"/>
            <w:vAlign w:val="center"/>
          </w:tcPr>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多年平均</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推移质输沙量</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（万t）</w:t>
            </w:r>
          </w:p>
        </w:tc>
        <w:tc>
          <w:tcPr>
            <w:tcW w:w="657" w:type="pct"/>
            <w:vAlign w:val="center"/>
          </w:tcPr>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多年平均</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输沙总量</w:t>
            </w:r>
          </w:p>
          <w:p>
            <w:pPr>
              <w:spacing w:line="240" w:lineRule="auto"/>
              <w:ind w:firstLine="0" w:firstLineChars="0"/>
              <w:jc w:val="center"/>
              <w:rPr>
                <w:rFonts w:eastAsia="宋体"/>
                <w:iCs/>
                <w:color w:val="000000" w:themeColor="text1"/>
                <w:sz w:val="21"/>
                <w14:textFill>
                  <w14:solidFill>
                    <w14:schemeClr w14:val="tx1"/>
                  </w14:solidFill>
                </w14:textFill>
              </w:rPr>
            </w:pPr>
            <w:r>
              <w:rPr>
                <w:rFonts w:eastAsia="宋体"/>
                <w:iCs/>
                <w:color w:val="000000" w:themeColor="text1"/>
                <w:sz w:val="21"/>
                <w14:textFill>
                  <w14:solidFill>
                    <w14:schemeClr w14:val="tx1"/>
                  </w14:solidFill>
                </w14:textFill>
              </w:rPr>
              <w:t>（万t）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89" w:type="pct"/>
            <w:vAlign w:val="center"/>
          </w:tcPr>
          <w:p>
            <w:pPr>
              <w:spacing w:line="240" w:lineRule="auto"/>
              <w:ind w:firstLine="0" w:firstLineChars="0"/>
              <w:jc w:val="center"/>
              <w:rPr>
                <w:rFonts w:eastAsia="宋体"/>
                <w:iCs/>
                <w:color w:val="000000" w:themeColor="text1"/>
                <w:sz w:val="21"/>
                <w:lang w:bidi="ar"/>
                <w14:textFill>
                  <w14:solidFill>
                    <w14:schemeClr w14:val="tx1"/>
                  </w14:solidFill>
                </w14:textFill>
              </w:rPr>
            </w:pPr>
            <w:r>
              <w:rPr>
                <w:rFonts w:eastAsia="宋体"/>
                <w:iCs/>
                <w:color w:val="000000" w:themeColor="text1"/>
                <w:sz w:val="21"/>
                <w:lang w:bidi="ar"/>
                <w14:textFill>
                  <w14:solidFill>
                    <w14:schemeClr w14:val="tx1"/>
                  </w14:solidFill>
                </w14:textFill>
              </w:rPr>
              <w:t>安云水库</w:t>
            </w:r>
          </w:p>
        </w:tc>
        <w:tc>
          <w:tcPr>
            <w:tcW w:w="1051" w:type="pct"/>
            <w:vAlign w:val="center"/>
          </w:tcPr>
          <w:p>
            <w:pPr>
              <w:spacing w:line="240" w:lineRule="auto"/>
              <w:ind w:firstLine="0" w:firstLineChars="0"/>
              <w:jc w:val="center"/>
              <w:rPr>
                <w:rFonts w:eastAsia="宋体"/>
                <w:iCs/>
                <w:color w:val="000000" w:themeColor="text1"/>
                <w:sz w:val="22"/>
                <w14:textFill>
                  <w14:solidFill>
                    <w14:schemeClr w14:val="tx1"/>
                  </w14:solidFill>
                </w14:textFill>
              </w:rPr>
            </w:pPr>
            <w:r>
              <w:rPr>
                <w:rFonts w:eastAsia="宋体"/>
                <w:iCs/>
                <w:color w:val="000000" w:themeColor="text1"/>
                <w:sz w:val="22"/>
                <w14:textFill>
                  <w14:solidFill>
                    <w14:schemeClr w14:val="tx1"/>
                  </w14:solidFill>
                </w14:textFill>
              </w:rPr>
              <w:t>500</w:t>
            </w:r>
          </w:p>
        </w:tc>
        <w:tc>
          <w:tcPr>
            <w:tcW w:w="658" w:type="pct"/>
            <w:vAlign w:val="center"/>
          </w:tcPr>
          <w:p>
            <w:pPr>
              <w:spacing w:line="240" w:lineRule="auto"/>
              <w:ind w:firstLine="0" w:firstLineChars="0"/>
              <w:jc w:val="center"/>
              <w:rPr>
                <w:rFonts w:eastAsia="宋体"/>
                <w:iCs/>
                <w:color w:val="000000" w:themeColor="text1"/>
                <w:sz w:val="22"/>
                <w14:textFill>
                  <w14:solidFill>
                    <w14:schemeClr w14:val="tx1"/>
                  </w14:solidFill>
                </w14:textFill>
              </w:rPr>
            </w:pPr>
            <w:r>
              <w:rPr>
                <w:rFonts w:eastAsia="宋体"/>
                <w:iCs/>
                <w:color w:val="000000" w:themeColor="text1"/>
                <w:sz w:val="22"/>
                <w14:textFill>
                  <w14:solidFill>
                    <w14:schemeClr w14:val="tx1"/>
                  </w14:solidFill>
                </w14:textFill>
              </w:rPr>
              <w:t>0.816</w:t>
            </w:r>
          </w:p>
        </w:tc>
        <w:tc>
          <w:tcPr>
            <w:tcW w:w="921" w:type="pct"/>
            <w:vAlign w:val="center"/>
          </w:tcPr>
          <w:p>
            <w:pPr>
              <w:spacing w:line="240" w:lineRule="auto"/>
              <w:ind w:firstLine="0" w:firstLineChars="0"/>
              <w:jc w:val="center"/>
              <w:rPr>
                <w:rFonts w:eastAsia="宋体"/>
                <w:iCs/>
                <w:color w:val="000000" w:themeColor="text1"/>
                <w:sz w:val="22"/>
                <w14:textFill>
                  <w14:solidFill>
                    <w14:schemeClr w14:val="tx1"/>
                  </w14:solidFill>
                </w14:textFill>
              </w:rPr>
            </w:pPr>
            <w:r>
              <w:rPr>
                <w:rFonts w:eastAsia="宋体"/>
                <w:iCs/>
                <w:color w:val="000000" w:themeColor="text1"/>
                <w:sz w:val="22"/>
                <w14:textFill>
                  <w14:solidFill>
                    <w14:schemeClr w14:val="tx1"/>
                  </w14:solidFill>
                </w14:textFill>
              </w:rPr>
              <w:t>2.295</w:t>
            </w:r>
          </w:p>
        </w:tc>
        <w:tc>
          <w:tcPr>
            <w:tcW w:w="921" w:type="pct"/>
            <w:vAlign w:val="center"/>
          </w:tcPr>
          <w:p>
            <w:pPr>
              <w:spacing w:line="240" w:lineRule="auto"/>
              <w:ind w:firstLine="0" w:firstLineChars="0"/>
              <w:jc w:val="center"/>
              <w:rPr>
                <w:rFonts w:eastAsia="宋体"/>
                <w:iCs/>
                <w:color w:val="000000" w:themeColor="text1"/>
                <w:sz w:val="22"/>
                <w14:textFill>
                  <w14:solidFill>
                    <w14:schemeClr w14:val="tx1"/>
                  </w14:solidFill>
                </w14:textFill>
              </w:rPr>
            </w:pPr>
            <w:r>
              <w:rPr>
                <w:rFonts w:eastAsia="宋体"/>
                <w:iCs/>
                <w:color w:val="000000" w:themeColor="text1"/>
                <w:sz w:val="22"/>
                <w14:textFill>
                  <w14:solidFill>
                    <w14:schemeClr w14:val="tx1"/>
                  </w14:solidFill>
                </w14:textFill>
              </w:rPr>
              <w:t>0.459</w:t>
            </w:r>
          </w:p>
        </w:tc>
        <w:tc>
          <w:tcPr>
            <w:tcW w:w="657" w:type="pct"/>
            <w:vAlign w:val="center"/>
          </w:tcPr>
          <w:p>
            <w:pPr>
              <w:spacing w:line="240" w:lineRule="auto"/>
              <w:ind w:firstLine="0" w:firstLineChars="0"/>
              <w:jc w:val="center"/>
              <w:rPr>
                <w:rFonts w:eastAsia="宋体"/>
                <w:iCs/>
                <w:color w:val="000000" w:themeColor="text1"/>
                <w:sz w:val="22"/>
                <w14:textFill>
                  <w14:solidFill>
                    <w14:schemeClr w14:val="tx1"/>
                  </w14:solidFill>
                </w14:textFill>
              </w:rPr>
            </w:pPr>
            <w:r>
              <w:rPr>
                <w:rFonts w:eastAsia="宋体"/>
                <w:iCs/>
                <w:color w:val="000000" w:themeColor="text1"/>
                <w:sz w:val="22"/>
                <w14:textFill>
                  <w14:solidFill>
                    <w14:schemeClr w14:val="tx1"/>
                  </w14:solidFill>
                </w14:textFill>
              </w:rPr>
              <w:t>2.754</w:t>
            </w:r>
          </w:p>
        </w:tc>
      </w:tr>
    </w:tbl>
    <w:p>
      <w:pPr>
        <w:pStyle w:val="5"/>
        <w:rPr>
          <w:rFonts w:ascii="Times New Roman" w:hAnsi="Times New Roman"/>
          <w:color w:val="000000" w:themeColor="text1"/>
          <w14:textFill>
            <w14:solidFill>
              <w14:schemeClr w14:val="tx1"/>
            </w14:solidFill>
          </w14:textFill>
        </w:rPr>
      </w:pPr>
      <w:bookmarkStart w:id="291" w:name="_Toc32160"/>
      <w:bookmarkStart w:id="292" w:name="_Toc2066"/>
      <w:bookmarkStart w:id="293" w:name="_Toc18352"/>
      <w:bookmarkStart w:id="294" w:name="_Toc13148"/>
      <w:r>
        <w:rPr>
          <w:rFonts w:ascii="Times New Roman" w:hAnsi="Times New Roman"/>
          <w:color w:val="000000" w:themeColor="text1"/>
          <w14:textFill>
            <w14:solidFill>
              <w14:schemeClr w14:val="tx1"/>
            </w14:solidFill>
          </w14:textFill>
        </w:rPr>
        <w:t>7.1.3  工程规模</w:t>
      </w:r>
      <w:bookmarkEnd w:id="291"/>
      <w:bookmarkEnd w:id="292"/>
      <w:bookmarkEnd w:id="293"/>
      <w:bookmarkEnd w:id="294"/>
    </w:p>
    <w:p>
      <w:pPr>
        <w:pStyle w:val="51"/>
        <w:spacing w:line="520" w:lineRule="exact"/>
        <w:ind w:firstLine="560"/>
        <w:rPr>
          <w:rFonts w:cs="Times New Roman"/>
          <w:iCs/>
          <w:color w:val="000000" w:themeColor="text1"/>
          <w:spacing w:val="0"/>
          <w:szCs w:val="28"/>
          <w14:textFill>
            <w14:solidFill>
              <w14:schemeClr w14:val="tx1"/>
            </w14:solidFill>
          </w14:textFill>
        </w:rPr>
      </w:pPr>
      <w:r>
        <w:rPr>
          <w:rFonts w:hint="eastAsia" w:cs="Times New Roman"/>
          <w:iCs/>
          <w:color w:val="000000" w:themeColor="text1"/>
          <w:spacing w:val="0"/>
          <w:szCs w:val="28"/>
          <w14:textFill>
            <w14:solidFill>
              <w14:schemeClr w14:val="tx1"/>
            </w14:solidFill>
          </w14:textFill>
        </w:rPr>
        <w:t>在</w:t>
      </w:r>
      <w:r>
        <w:rPr>
          <w:rFonts w:cs="Times New Roman"/>
          <w:iCs/>
          <w:color w:val="000000" w:themeColor="text1"/>
          <w:spacing w:val="0"/>
          <w:szCs w:val="28"/>
          <w14:textFill>
            <w14:solidFill>
              <w14:schemeClr w14:val="tx1"/>
            </w14:solidFill>
          </w14:textFill>
        </w:rPr>
        <w:t>《达州市水资源综合规划报告》</w:t>
      </w:r>
      <w:r>
        <w:rPr>
          <w:rFonts w:hint="eastAsia" w:cs="Times New Roman"/>
          <w:iCs/>
          <w:color w:val="000000" w:themeColor="text1"/>
          <w:spacing w:val="0"/>
          <w:szCs w:val="28"/>
          <w14:textFill>
            <w14:solidFill>
              <w14:schemeClr w14:val="tx1"/>
            </w14:solidFill>
          </w14:textFill>
        </w:rPr>
        <w:t>中，通川区安云水库原名为长滩湖水库工程，建设地点位于通川区安云乡，规划总库容2200万m³，兴利库容1720万m³，该水库具有充足的规划依据。本报告对安云水库开发任务及水库规模进行进一步补充论证。</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7.1.3.1  </w:t>
      </w:r>
      <w:r>
        <w:rPr>
          <w:color w:val="000000" w:themeColor="text1"/>
          <w14:textFill>
            <w14:solidFill>
              <w14:schemeClr w14:val="tx1"/>
            </w14:solidFill>
          </w14:textFill>
        </w:rPr>
        <w:t>开发任务</w:t>
      </w:r>
    </w:p>
    <w:p>
      <w:pPr>
        <w:pStyle w:val="51"/>
        <w:spacing w:line="520" w:lineRule="exact"/>
        <w:ind w:firstLine="560"/>
        <w:rPr>
          <w:rFonts w:cs="Times New Roman"/>
          <w:iCs/>
          <w:color w:val="000000" w:themeColor="text1"/>
          <w:spacing w:val="0"/>
          <w:szCs w:val="28"/>
          <w14:textFill>
            <w14:solidFill>
              <w14:schemeClr w14:val="tx1"/>
            </w14:solidFill>
          </w14:textFill>
        </w:rPr>
      </w:pPr>
      <w:r>
        <w:rPr>
          <w:rFonts w:cs="Times New Roman"/>
          <w:iCs/>
          <w:color w:val="000000" w:themeColor="text1"/>
          <w:spacing w:val="0"/>
          <w:szCs w:val="28"/>
          <w14:textFill>
            <w14:solidFill>
              <w14:schemeClr w14:val="tx1"/>
            </w14:solidFill>
          </w14:textFill>
        </w:rPr>
        <w:t>安云水库开发任务是</w:t>
      </w:r>
      <w:r>
        <w:rPr>
          <w:rFonts w:hint="eastAsia" w:cs="Times New Roman"/>
          <w:iCs/>
          <w:color w:val="000000" w:themeColor="text1"/>
          <w:spacing w:val="0"/>
          <w:szCs w:val="28"/>
          <w:lang w:val="en-US" w:eastAsia="zh-CN"/>
          <w14:textFill>
            <w14:solidFill>
              <w14:schemeClr w14:val="tx1"/>
            </w14:solidFill>
          </w14:textFill>
        </w:rPr>
        <w:t>防洪、</w:t>
      </w:r>
      <w:r>
        <w:rPr>
          <w:rFonts w:cs="Times New Roman"/>
          <w:iCs/>
          <w:color w:val="000000" w:themeColor="text1"/>
          <w:spacing w:val="0"/>
          <w:szCs w:val="28"/>
          <w14:textFill>
            <w14:solidFill>
              <w14:schemeClr w14:val="tx1"/>
            </w14:solidFill>
          </w14:textFill>
        </w:rPr>
        <w:t>灌溉、乡镇供水，兼顾改善环境等综合利用</w:t>
      </w:r>
      <w:r>
        <w:rPr>
          <w:rFonts w:hint="eastAsia" w:cs="Times New Roman"/>
          <w:iCs/>
          <w:color w:val="000000" w:themeColor="text1"/>
          <w:spacing w:val="0"/>
          <w:szCs w:val="28"/>
          <w14:textFill>
            <w14:solidFill>
              <w14:schemeClr w14:val="tx1"/>
            </w14:solidFill>
          </w14:textFill>
        </w:rPr>
        <w:t>，同时远期具备结合长滩湖水库供水管为达州市城区补水及应急供水的条件</w:t>
      </w:r>
      <w:r>
        <w:rPr>
          <w:rFonts w:cs="Times New Roman"/>
          <w:iCs/>
          <w:color w:val="000000" w:themeColor="text1"/>
          <w:spacing w:val="0"/>
          <w:szCs w:val="28"/>
          <w14:textFill>
            <w14:solidFill>
              <w14:schemeClr w14:val="tx1"/>
            </w14:solidFill>
          </w14:textFill>
        </w:rPr>
        <w:t>。</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7.1.3.2  供水范围</w:t>
      </w:r>
    </w:p>
    <w:p>
      <w:pPr>
        <w:pStyle w:val="51"/>
        <w:spacing w:line="520" w:lineRule="exact"/>
        <w:ind w:firstLine="560"/>
        <w:rPr>
          <w:rFonts w:cs="Times New Roman"/>
          <w:iCs/>
          <w:color w:val="000000" w:themeColor="text1"/>
          <w:spacing w:val="0"/>
          <w:szCs w:val="28"/>
          <w14:textFill>
            <w14:solidFill>
              <w14:schemeClr w14:val="tx1"/>
            </w14:solidFill>
          </w14:textFill>
        </w:rPr>
      </w:pPr>
      <w:r>
        <w:rPr>
          <w:rFonts w:cs="Times New Roman"/>
          <w:iCs/>
          <w:color w:val="000000" w:themeColor="text1"/>
          <w:spacing w:val="0"/>
          <w:szCs w:val="28"/>
          <w14:textFill>
            <w14:solidFill>
              <w14:schemeClr w14:val="tx1"/>
            </w14:solidFill>
          </w14:textFill>
        </w:rPr>
        <w:t>建成后将解决引水沿线安云乡、青宁镇、碑庙镇、金石镇共4个乡镇的生活饮用水问题，设计灌面约5.8万亩。</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7.1.3.3  水库供水范围内需水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1）灌溉需水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（1）灌溉面积</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根据本次规划，安云水库控灌灌溉面积5.8万亩。</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（2）灌溉定额</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依据灌区内的田土规划及种植规划，规划水平年2035年达到建设节水型灌区的设计要求，分析确定灌区1971年6月～2013年5月共42年系列的田土综合灌溉定额为160</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/亩。</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（3）灌溉需水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灌溉净需水由灌溉面积乘以综合灌溉过程线推求。经计算，2035水平年，安云水库灌区多年平均净需水量为928万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，毛需水量1325万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2）乡镇生产生活及农村用水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（1）人口与牲畜发展预测</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水库涉及乡镇为安云乡、青宁镇、碑庙镇、金石镇4个乡镇，本次社会经济预测人口、产值与牲畜增长率与4.1节全区国民经济发展预测一致。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到2035年，灌区内供水人口2.33万人，其中城镇人口0.33万人；灌区范围内GDP由现状的2.51亿元增长到5.66亿元；牲畜总头数由现状3.17万头增加到3.19万头，不同水平年人口、牲畜数量发展预测成果详见表7.1.7。</w:t>
      </w:r>
    </w:p>
    <w:p>
      <w:pPr>
        <w:pStyle w:val="2"/>
        <w:ind w:firstLine="560"/>
        <w:rPr>
          <w:color w:val="000000" w:themeColor="text1"/>
          <w14:textFill>
            <w14:solidFill>
              <w14:schemeClr w14:val="tx1"/>
            </w14:solidFill>
          </w14:textFill>
        </w:rPr>
      </w:pPr>
    </w:p>
    <w:p>
      <w:pPr>
        <w:pStyle w:val="49"/>
        <w:rPr>
          <w:color w:val="000000" w:themeColor="text1"/>
          <w14:textFill>
            <w14:solidFill>
              <w14:schemeClr w14:val="tx1"/>
            </w14:solidFill>
          </w14:textFill>
        </w:rPr>
      </w:pPr>
      <w:r>
        <w:rPr>
          <w:color w:val="000000" w:themeColor="text1"/>
          <w14:textFill>
            <w14:solidFill>
              <w14:schemeClr w14:val="tx1"/>
            </w14:solidFill>
          </w14:textFill>
        </w:rPr>
        <w:t>表7.1.7  安云水库灌区不同水平年社会经济预测结果表</w:t>
      </w:r>
    </w:p>
    <w:tbl>
      <w:tblPr>
        <w:tblStyle w:val="40"/>
        <w:tblW w:w="4998" w:type="pct"/>
        <w:tblInd w:w="0" w:type="dxa"/>
        <w:tblLayout w:type="autofit"/>
        <w:tblCellMar>
          <w:top w:w="0" w:type="dxa"/>
          <w:left w:w="0" w:type="dxa"/>
          <w:bottom w:w="0" w:type="dxa"/>
          <w:right w:w="0" w:type="dxa"/>
        </w:tblCellMar>
      </w:tblPr>
      <w:tblGrid>
        <w:gridCol w:w="510"/>
        <w:gridCol w:w="696"/>
        <w:gridCol w:w="696"/>
        <w:gridCol w:w="699"/>
        <w:gridCol w:w="750"/>
        <w:gridCol w:w="697"/>
        <w:gridCol w:w="697"/>
        <w:gridCol w:w="697"/>
        <w:gridCol w:w="697"/>
        <w:gridCol w:w="707"/>
        <w:gridCol w:w="697"/>
        <w:gridCol w:w="697"/>
        <w:gridCol w:w="630"/>
      </w:tblGrid>
      <w:tr>
        <w:tblPrEx>
          <w:tblCellMar>
            <w:top w:w="0" w:type="dxa"/>
            <w:left w:w="0" w:type="dxa"/>
            <w:bottom w:w="0" w:type="dxa"/>
            <w:right w:w="0" w:type="dxa"/>
          </w:tblCellMar>
        </w:tblPrEx>
        <w:trPr>
          <w:trHeight w:val="454" w:hRule="atLeast"/>
        </w:trPr>
        <w:tc>
          <w:tcPr>
            <w:tcW w:w="282"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水平年</w:t>
            </w:r>
          </w:p>
        </w:tc>
        <w:tc>
          <w:tcPr>
            <w:tcW w:w="1190"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人口</w:t>
            </w:r>
          </w:p>
        </w:tc>
        <w:tc>
          <w:tcPr>
            <w:tcW w:w="2382" w:type="pct"/>
            <w:gridSpan w:val="6"/>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GDP（万元）</w:t>
            </w:r>
          </w:p>
        </w:tc>
        <w:tc>
          <w:tcPr>
            <w:tcW w:w="1144"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牲畜头数（头）</w:t>
            </w:r>
          </w:p>
        </w:tc>
      </w:tr>
      <w:tr>
        <w:tblPrEx>
          <w:tblCellMar>
            <w:top w:w="0" w:type="dxa"/>
            <w:left w:w="0" w:type="dxa"/>
            <w:bottom w:w="0" w:type="dxa"/>
            <w:right w:w="0" w:type="dxa"/>
          </w:tblCellMar>
        </w:tblPrEx>
        <w:trPr>
          <w:trHeight w:val="454" w:hRule="atLeast"/>
        </w:trPr>
        <w:tc>
          <w:tcPr>
            <w:tcW w:w="282"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总人口</w:t>
            </w:r>
          </w:p>
        </w:tc>
        <w:tc>
          <w:tcPr>
            <w:tcW w:w="3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城镇</w:t>
            </w:r>
          </w:p>
        </w:tc>
        <w:tc>
          <w:tcPr>
            <w:tcW w:w="397"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一产</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二产</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#工业</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#建筑业</w:t>
            </w:r>
          </w:p>
        </w:tc>
        <w:tc>
          <w:tcPr>
            <w:tcW w:w="3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三产</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#大</w:t>
            </w:r>
          </w:p>
        </w:tc>
        <w:tc>
          <w:tcPr>
            <w:tcW w:w="35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w:t>
            </w:r>
          </w:p>
        </w:tc>
      </w:tr>
      <w:tr>
        <w:tblPrEx>
          <w:tblCellMar>
            <w:top w:w="0" w:type="dxa"/>
            <w:left w:w="0" w:type="dxa"/>
            <w:bottom w:w="0" w:type="dxa"/>
            <w:right w:w="0" w:type="dxa"/>
          </w:tblCellMar>
        </w:tblPrEx>
        <w:trPr>
          <w:trHeight w:val="454" w:hRule="atLeast"/>
        </w:trPr>
        <w:tc>
          <w:tcPr>
            <w:tcW w:w="282"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2020</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41534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3310 </w:t>
            </w:r>
          </w:p>
        </w:tc>
        <w:tc>
          <w:tcPr>
            <w:tcW w:w="70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38224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50233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37216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4552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3839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713 </w:t>
            </w:r>
          </w:p>
        </w:tc>
        <w:tc>
          <w:tcPr>
            <w:tcW w:w="71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8466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63492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7374 </w:t>
            </w:r>
          </w:p>
        </w:tc>
        <w:tc>
          <w:tcPr>
            <w:tcW w:w="62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56118 </w:t>
            </w:r>
          </w:p>
        </w:tc>
      </w:tr>
      <w:tr>
        <w:tblPrEx>
          <w:tblCellMar>
            <w:top w:w="0" w:type="dxa"/>
            <w:left w:w="0" w:type="dxa"/>
            <w:bottom w:w="0" w:type="dxa"/>
            <w:right w:w="0" w:type="dxa"/>
          </w:tblCellMar>
        </w:tblPrEx>
        <w:trPr>
          <w:trHeight w:val="454" w:hRule="atLeast"/>
        </w:trPr>
        <w:tc>
          <w:tcPr>
            <w:tcW w:w="282"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2025</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43917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4379 </w:t>
            </w:r>
          </w:p>
        </w:tc>
        <w:tc>
          <w:tcPr>
            <w:tcW w:w="70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39538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73272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48974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7801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6579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1222 </w:t>
            </w:r>
          </w:p>
        </w:tc>
        <w:tc>
          <w:tcPr>
            <w:tcW w:w="71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16497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63648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7530 </w:t>
            </w:r>
          </w:p>
        </w:tc>
        <w:tc>
          <w:tcPr>
            <w:tcW w:w="62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56118 </w:t>
            </w:r>
          </w:p>
        </w:tc>
      </w:tr>
      <w:tr>
        <w:tblPrEx>
          <w:tblCellMar>
            <w:top w:w="0" w:type="dxa"/>
            <w:left w:w="0" w:type="dxa"/>
            <w:bottom w:w="0" w:type="dxa"/>
            <w:right w:w="0" w:type="dxa"/>
          </w:tblCellMar>
        </w:tblPrEx>
        <w:trPr>
          <w:trHeight w:val="454" w:hRule="atLeast"/>
        </w:trPr>
        <w:tc>
          <w:tcPr>
            <w:tcW w:w="282"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2035</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46624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6513 </w:t>
            </w:r>
          </w:p>
        </w:tc>
        <w:tc>
          <w:tcPr>
            <w:tcW w:w="70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40111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113191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67430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13323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11236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2087 </w:t>
            </w:r>
          </w:p>
        </w:tc>
        <w:tc>
          <w:tcPr>
            <w:tcW w:w="71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32438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63877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7759 </w:t>
            </w:r>
          </w:p>
        </w:tc>
        <w:tc>
          <w:tcPr>
            <w:tcW w:w="62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56118 </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（2）需水量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水库灌区需水定额指标与4.3.1节定额成果一致，定额指标如下表7.1.8。</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表7.1.8  安云水库定额成果表</w:t>
      </w:r>
    </w:p>
    <w:tbl>
      <w:tblPr>
        <w:tblStyle w:val="40"/>
        <w:tblW w:w="8895" w:type="dxa"/>
        <w:tblInd w:w="0" w:type="dxa"/>
        <w:tblLayout w:type="autofit"/>
        <w:tblCellMar>
          <w:top w:w="0" w:type="dxa"/>
          <w:left w:w="0" w:type="dxa"/>
          <w:bottom w:w="0" w:type="dxa"/>
          <w:right w:w="0" w:type="dxa"/>
        </w:tblCellMar>
      </w:tblPr>
      <w:tblGrid>
        <w:gridCol w:w="1080"/>
        <w:gridCol w:w="1335"/>
        <w:gridCol w:w="1080"/>
        <w:gridCol w:w="1080"/>
        <w:gridCol w:w="1080"/>
        <w:gridCol w:w="1080"/>
        <w:gridCol w:w="1080"/>
        <w:gridCol w:w="1080"/>
      </w:tblGrid>
      <w:tr>
        <w:tblPrEx>
          <w:tblCellMar>
            <w:top w:w="0" w:type="dxa"/>
            <w:left w:w="0" w:type="dxa"/>
            <w:bottom w:w="0" w:type="dxa"/>
            <w:right w:w="0" w:type="dxa"/>
          </w:tblCellMar>
        </w:tblPrEx>
        <w:trPr>
          <w:trHeight w:val="397"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水平年</w:t>
            </w:r>
          </w:p>
        </w:tc>
        <w:tc>
          <w:tcPr>
            <w:tcW w:w="2415" w:type="dxa"/>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居民生活净定额（L/p·d）</w:t>
            </w:r>
          </w:p>
        </w:tc>
        <w:tc>
          <w:tcPr>
            <w:tcW w:w="5400" w:type="dxa"/>
            <w:gridSpan w:val="5"/>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生产需水</w:t>
            </w:r>
          </w:p>
        </w:tc>
      </w:tr>
      <w:tr>
        <w:tblPrEx>
          <w:tblCellMar>
            <w:top w:w="0" w:type="dxa"/>
            <w:left w:w="0" w:type="dxa"/>
            <w:bottom w:w="0" w:type="dxa"/>
            <w:right w:w="0" w:type="dxa"/>
          </w:tblCellMar>
        </w:tblPrEx>
        <w:trPr>
          <w:trHeight w:val="397"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335" w:type="dxa"/>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乡镇</w:t>
            </w:r>
          </w:p>
        </w:tc>
        <w:tc>
          <w:tcPr>
            <w:tcW w:w="1080" w:type="dxa"/>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w:t>
            </w:r>
          </w:p>
        </w:tc>
        <w:tc>
          <w:tcPr>
            <w:tcW w:w="3240" w:type="dxa"/>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城镇生产</w:t>
            </w:r>
          </w:p>
        </w:tc>
        <w:tc>
          <w:tcPr>
            <w:tcW w:w="2160" w:type="dxa"/>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农村生产</w:t>
            </w:r>
          </w:p>
        </w:tc>
      </w:tr>
      <w:tr>
        <w:tblPrEx>
          <w:tblCellMar>
            <w:top w:w="0" w:type="dxa"/>
            <w:left w:w="0" w:type="dxa"/>
            <w:bottom w:w="0" w:type="dxa"/>
            <w:right w:w="0" w:type="dxa"/>
          </w:tblCellMar>
        </w:tblPrEx>
        <w:trPr>
          <w:trHeight w:val="397"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335" w:type="dxa"/>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工业</w:t>
            </w:r>
          </w:p>
        </w:tc>
        <w:tc>
          <w:tcPr>
            <w:tcW w:w="1080" w:type="dxa"/>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建筑业</w:t>
            </w:r>
          </w:p>
        </w:tc>
        <w:tc>
          <w:tcPr>
            <w:tcW w:w="1080" w:type="dxa"/>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三产</w:t>
            </w:r>
          </w:p>
        </w:tc>
        <w:tc>
          <w:tcPr>
            <w:tcW w:w="2160" w:type="dxa"/>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牲畜</w:t>
            </w:r>
          </w:p>
        </w:tc>
      </w:tr>
      <w:tr>
        <w:tblPrEx>
          <w:tblCellMar>
            <w:top w:w="0" w:type="dxa"/>
            <w:left w:w="0" w:type="dxa"/>
            <w:bottom w:w="0" w:type="dxa"/>
            <w:right w:w="0" w:type="dxa"/>
          </w:tblCellMar>
        </w:tblPrEx>
        <w:trPr>
          <w:trHeight w:val="397"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335" w:type="dxa"/>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大</w:t>
            </w:r>
          </w:p>
        </w:tc>
        <w:tc>
          <w:tcPr>
            <w:tcW w:w="1080" w:type="dxa"/>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w:t>
            </w:r>
          </w:p>
        </w:tc>
      </w:tr>
      <w:tr>
        <w:tblPrEx>
          <w:tblCellMar>
            <w:top w:w="0" w:type="dxa"/>
            <w:left w:w="0" w:type="dxa"/>
            <w:bottom w:w="0" w:type="dxa"/>
            <w:right w:w="0" w:type="dxa"/>
          </w:tblCellMar>
        </w:tblPrEx>
        <w:trPr>
          <w:trHeight w:val="397" w:hRule="atLeast"/>
        </w:trPr>
        <w:tc>
          <w:tcPr>
            <w:tcW w:w="1080"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2020</w:t>
            </w:r>
          </w:p>
        </w:tc>
        <w:tc>
          <w:tcPr>
            <w:tcW w:w="133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35</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w:t>
            </w:r>
          </w:p>
        </w:tc>
      </w:tr>
      <w:tr>
        <w:tblPrEx>
          <w:tblCellMar>
            <w:top w:w="0" w:type="dxa"/>
            <w:left w:w="0" w:type="dxa"/>
            <w:bottom w:w="0" w:type="dxa"/>
            <w:right w:w="0" w:type="dxa"/>
          </w:tblCellMar>
        </w:tblPrEx>
        <w:trPr>
          <w:trHeight w:val="397" w:hRule="atLeast"/>
        </w:trPr>
        <w:tc>
          <w:tcPr>
            <w:tcW w:w="1080"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2025</w:t>
            </w:r>
          </w:p>
        </w:tc>
        <w:tc>
          <w:tcPr>
            <w:tcW w:w="133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w:t>
            </w:r>
          </w:p>
        </w:tc>
      </w:tr>
      <w:tr>
        <w:tblPrEx>
          <w:tblCellMar>
            <w:top w:w="0" w:type="dxa"/>
            <w:left w:w="0" w:type="dxa"/>
            <w:bottom w:w="0" w:type="dxa"/>
            <w:right w:w="0" w:type="dxa"/>
          </w:tblCellMar>
        </w:tblPrEx>
        <w:trPr>
          <w:trHeight w:val="397" w:hRule="atLeast"/>
        </w:trPr>
        <w:tc>
          <w:tcPr>
            <w:tcW w:w="1080"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2035</w:t>
            </w:r>
          </w:p>
        </w:tc>
        <w:tc>
          <w:tcPr>
            <w:tcW w:w="133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40</w:t>
            </w:r>
          </w:p>
        </w:tc>
        <w:tc>
          <w:tcPr>
            <w:tcW w:w="108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根据前述人口、产值、牲畜发展预测结果及需水指标预测成果，预测得到设计水平年2035年安云水库灌区需水量如表7.1.9。</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表7.1.9  安云水库灌区不同水平年需水量预测成果表</w:t>
      </w:r>
    </w:p>
    <w:p>
      <w:pPr>
        <w:spacing w:line="240" w:lineRule="exact"/>
        <w:ind w:firstLine="480"/>
        <w:jc w:val="righ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单位：万</w:t>
      </w:r>
      <w:r>
        <w:rPr>
          <w:rFonts w:hint="eastAsia"/>
          <w:color w:val="000000" w:themeColor="text1"/>
          <w:kern w:val="0"/>
          <w:sz w:val="24"/>
          <w14:textFill>
            <w14:solidFill>
              <w14:schemeClr w14:val="tx1"/>
            </w14:solidFill>
          </w14:textFill>
        </w:rPr>
        <w:t>m³</w:t>
      </w:r>
    </w:p>
    <w:tbl>
      <w:tblPr>
        <w:tblStyle w:val="40"/>
        <w:tblW w:w="4999" w:type="pct"/>
        <w:tblInd w:w="0" w:type="dxa"/>
        <w:tblLayout w:type="autofit"/>
        <w:tblCellMar>
          <w:top w:w="0" w:type="dxa"/>
          <w:left w:w="0" w:type="dxa"/>
          <w:bottom w:w="0" w:type="dxa"/>
          <w:right w:w="0" w:type="dxa"/>
        </w:tblCellMar>
      </w:tblPr>
      <w:tblGrid>
        <w:gridCol w:w="510"/>
        <w:gridCol w:w="418"/>
        <w:gridCol w:w="503"/>
        <w:gridCol w:w="528"/>
        <w:gridCol w:w="706"/>
        <w:gridCol w:w="706"/>
        <w:gridCol w:w="706"/>
        <w:gridCol w:w="706"/>
        <w:gridCol w:w="715"/>
        <w:gridCol w:w="707"/>
        <w:gridCol w:w="707"/>
        <w:gridCol w:w="714"/>
        <w:gridCol w:w="623"/>
        <w:gridCol w:w="623"/>
      </w:tblGrid>
      <w:tr>
        <w:tblPrEx>
          <w:tblCellMar>
            <w:top w:w="0" w:type="dxa"/>
            <w:left w:w="0" w:type="dxa"/>
            <w:bottom w:w="0" w:type="dxa"/>
            <w:right w:w="0" w:type="dxa"/>
          </w:tblCellMar>
        </w:tblPrEx>
        <w:trPr>
          <w:trHeight w:val="397" w:hRule="atLeast"/>
        </w:trPr>
        <w:tc>
          <w:tcPr>
            <w:tcW w:w="284"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水平年</w:t>
            </w:r>
          </w:p>
        </w:tc>
        <w:tc>
          <w:tcPr>
            <w:tcW w:w="818"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居民生活需水</w:t>
            </w:r>
          </w:p>
        </w:tc>
        <w:tc>
          <w:tcPr>
            <w:tcW w:w="3193" w:type="pct"/>
            <w:gridSpan w:val="8"/>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生产需水</w:t>
            </w:r>
          </w:p>
        </w:tc>
        <w:tc>
          <w:tcPr>
            <w:tcW w:w="35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净需水合计</w:t>
            </w:r>
          </w:p>
        </w:tc>
        <w:tc>
          <w:tcPr>
            <w:tcW w:w="35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毛需水合计</w:t>
            </w:r>
          </w:p>
        </w:tc>
      </w:tr>
      <w:tr>
        <w:tblPrEx>
          <w:tblCellMar>
            <w:top w:w="0" w:type="dxa"/>
            <w:left w:w="0" w:type="dxa"/>
            <w:bottom w:w="0" w:type="dxa"/>
            <w:right w:w="0" w:type="dxa"/>
          </w:tblCellMar>
        </w:tblPrEx>
        <w:trPr>
          <w:trHeight w:val="397" w:hRule="atLeast"/>
        </w:trPr>
        <w:tc>
          <w:tcPr>
            <w:tcW w:w="284"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36"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乡镇</w:t>
            </w:r>
          </w:p>
        </w:tc>
        <w:tc>
          <w:tcPr>
            <w:tcW w:w="284"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w:t>
            </w:r>
          </w:p>
        </w:tc>
        <w:tc>
          <w:tcPr>
            <w:tcW w:w="296"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1995" w:type="pct"/>
            <w:gridSpan w:val="5"/>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城镇生产</w:t>
            </w:r>
          </w:p>
        </w:tc>
        <w:tc>
          <w:tcPr>
            <w:tcW w:w="1198"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农村生产</w:t>
            </w: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284"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36"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84"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96"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二产</w:t>
            </w: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#工业</w:t>
            </w: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#建筑业</w:t>
            </w: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三产</w:t>
            </w:r>
          </w:p>
        </w:tc>
        <w:tc>
          <w:tcPr>
            <w:tcW w:w="400"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小计</w:t>
            </w:r>
          </w:p>
        </w:tc>
        <w:tc>
          <w:tcPr>
            <w:tcW w:w="1198"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牲畜</w:t>
            </w: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284"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36"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84"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96"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400"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大</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28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2020</w:t>
            </w:r>
          </w:p>
        </w:tc>
        <w:tc>
          <w:tcPr>
            <w:tcW w:w="23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17 </w:t>
            </w:r>
          </w:p>
        </w:tc>
        <w:tc>
          <w:tcPr>
            <w:tcW w:w="28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112 </w:t>
            </w:r>
          </w:p>
        </w:tc>
        <w:tc>
          <w:tcPr>
            <w:tcW w:w="2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129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17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16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8 </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26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8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31 </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39 </w:t>
            </w:r>
          </w:p>
        </w:tc>
        <w:tc>
          <w:tcPr>
            <w:tcW w:w="35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193 </w:t>
            </w:r>
          </w:p>
        </w:tc>
        <w:tc>
          <w:tcPr>
            <w:tcW w:w="623"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241 </w:t>
            </w:r>
          </w:p>
        </w:tc>
      </w:tr>
      <w:tr>
        <w:tblPrEx>
          <w:tblCellMar>
            <w:top w:w="0" w:type="dxa"/>
            <w:left w:w="0" w:type="dxa"/>
            <w:bottom w:w="0" w:type="dxa"/>
            <w:right w:w="0" w:type="dxa"/>
          </w:tblCellMar>
        </w:tblPrEx>
        <w:trPr>
          <w:trHeight w:val="397" w:hRule="atLeast"/>
        </w:trPr>
        <w:tc>
          <w:tcPr>
            <w:tcW w:w="28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2025</w:t>
            </w:r>
          </w:p>
        </w:tc>
        <w:tc>
          <w:tcPr>
            <w:tcW w:w="23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24 </w:t>
            </w:r>
          </w:p>
        </w:tc>
        <w:tc>
          <w:tcPr>
            <w:tcW w:w="28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130 </w:t>
            </w:r>
          </w:p>
        </w:tc>
        <w:tc>
          <w:tcPr>
            <w:tcW w:w="2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154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21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20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12 </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33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11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41 </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52 </w:t>
            </w:r>
          </w:p>
        </w:tc>
        <w:tc>
          <w:tcPr>
            <w:tcW w:w="35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238 </w:t>
            </w:r>
          </w:p>
        </w:tc>
        <w:tc>
          <w:tcPr>
            <w:tcW w:w="623"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298 </w:t>
            </w:r>
          </w:p>
        </w:tc>
      </w:tr>
      <w:tr>
        <w:tblPrEx>
          <w:tblCellMar>
            <w:top w:w="0" w:type="dxa"/>
            <w:left w:w="0" w:type="dxa"/>
            <w:bottom w:w="0" w:type="dxa"/>
            <w:right w:w="0" w:type="dxa"/>
          </w:tblCellMar>
        </w:tblPrEx>
        <w:trPr>
          <w:trHeight w:val="397" w:hRule="atLeast"/>
        </w:trPr>
        <w:tc>
          <w:tcPr>
            <w:tcW w:w="284"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2035</w:t>
            </w:r>
          </w:p>
        </w:tc>
        <w:tc>
          <w:tcPr>
            <w:tcW w:w="23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36 </w:t>
            </w:r>
          </w:p>
        </w:tc>
        <w:tc>
          <w:tcPr>
            <w:tcW w:w="284"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132 </w:t>
            </w:r>
          </w:p>
        </w:tc>
        <w:tc>
          <w:tcPr>
            <w:tcW w:w="2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167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20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19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 </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33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11 </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41 </w:t>
            </w:r>
          </w:p>
        </w:tc>
        <w:tc>
          <w:tcPr>
            <w:tcW w:w="400"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52 </w:t>
            </w:r>
          </w:p>
        </w:tc>
        <w:tc>
          <w:tcPr>
            <w:tcW w:w="35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253 </w:t>
            </w:r>
          </w:p>
        </w:tc>
        <w:tc>
          <w:tcPr>
            <w:tcW w:w="623"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316 </w:t>
            </w:r>
          </w:p>
        </w:tc>
      </w:tr>
    </w:tbl>
    <w:p>
      <w:pPr>
        <w:spacing w:line="520" w:lineRule="exact"/>
        <w:ind w:firstLine="560"/>
        <w:rPr>
          <w:iCs/>
          <w:color w:val="000000" w:themeColor="text1"/>
          <w:szCs w:val="28"/>
          <w14:textFill>
            <w14:solidFill>
              <w14:schemeClr w14:val="tx1"/>
            </w14:solidFill>
          </w14:textFill>
        </w:rPr>
      </w:pPr>
      <w:r>
        <w:rPr>
          <w:rFonts w:hint="eastAsia"/>
          <w:iCs/>
          <w:color w:val="000000" w:themeColor="text1"/>
          <w:szCs w:val="28"/>
          <w14:textFill>
            <w14:solidFill>
              <w14:schemeClr w14:val="tx1"/>
            </w14:solidFill>
          </w14:textFill>
        </w:rPr>
        <w:t>3）</w:t>
      </w:r>
      <w:r>
        <w:rPr>
          <w:iCs/>
          <w:color w:val="000000" w:themeColor="text1"/>
          <w:szCs w:val="28"/>
          <w14:textFill>
            <w14:solidFill>
              <w14:schemeClr w14:val="tx1"/>
            </w14:solidFill>
          </w14:textFill>
        </w:rPr>
        <w:t>需安云水库供水量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安云水库建成后，通过水库调蓄汛期水量后，为灌区内5.8万亩灌面提供农业用水，为灌区内4.66万人提供生产生活用水，根据以上需水预测成果，2035年需安云水库提供毛水量为1717万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，其中灌溉需水量1642万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rFonts w:hint="eastAsia"/>
          <w:iCs/>
          <w:color w:val="000000" w:themeColor="text1"/>
          <w:szCs w:val="28"/>
          <w14:textFill>
            <w14:solidFill>
              <w14:schemeClr w14:val="tx1"/>
            </w14:solidFill>
          </w14:textFill>
        </w:rPr>
        <w:t>4）城区补水及备用水量</w:t>
      </w:r>
    </w:p>
    <w:p>
      <w:pPr>
        <w:spacing w:line="520" w:lineRule="exact"/>
        <w:ind w:firstLine="560"/>
        <w:rPr>
          <w:iCs/>
          <w:color w:val="000000" w:themeColor="text1"/>
          <w:szCs w:val="28"/>
          <w14:textFill>
            <w14:solidFill>
              <w14:schemeClr w14:val="tx1"/>
            </w14:solidFill>
          </w14:textFill>
        </w:rPr>
      </w:pPr>
      <w:r>
        <w:rPr>
          <w:rFonts w:hint="eastAsia"/>
          <w:iCs/>
          <w:color w:val="000000" w:themeColor="text1"/>
          <w:szCs w:val="28"/>
          <w14:textFill>
            <w14:solidFill>
              <w14:schemeClr w14:val="tx1"/>
            </w14:solidFill>
          </w14:textFill>
        </w:rPr>
        <w:t>根据安云水库建设位置，结合目前长滩湖水库初步管线布置方案，在远期水平年，安云水库具备建设供水管道接入长滩湖水库管线的条件，因此，水库具备结合长滩湖水库供水管为达州市城区补水及应急供水的条件</w:t>
      </w:r>
      <w:r>
        <w:rPr>
          <w:iCs/>
          <w:color w:val="000000" w:themeColor="text1"/>
          <w:szCs w:val="28"/>
          <w14:textFill>
            <w14:solidFill>
              <w14:schemeClr w14:val="tx1"/>
            </w14:solidFill>
          </w14:textFill>
        </w:rPr>
        <w:t>。</w:t>
      </w:r>
      <w:r>
        <w:rPr>
          <w:rFonts w:hint="eastAsia"/>
          <w:iCs/>
          <w:color w:val="000000" w:themeColor="text1"/>
          <w:szCs w:val="28"/>
          <w14:textFill>
            <w14:solidFill>
              <w14:schemeClr w14:val="tx1"/>
            </w14:solidFill>
          </w14:textFill>
        </w:rPr>
        <w:t>建议下阶段安云水库结合长滩湖水库管线进行进一步分析。</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7.1.3.4 水库特征水位初选</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 水库死水位初选</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水库所在流域的地质、地貌、地形条件，安云水库坝址处多年平均推移质输沙量，本阶段按悬沙的20%估算，为0.46万t，水库泥沙不是制约死水位选择的主要因素。经综合分析，本阶段初步确定死水位为385m，相应库容149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 水库正常蓄水位初选</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本阶段推荐安云水库正常蓄水位为430m，对应库容1807万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，调节库容1658万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。经初步调节计算，水库多年平均可供水量1625万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pStyle w:val="5"/>
        <w:rPr>
          <w:rFonts w:ascii="Times New Roman" w:hAnsi="Times New Roman"/>
          <w:color w:val="000000" w:themeColor="text1"/>
          <w14:textFill>
            <w14:solidFill>
              <w14:schemeClr w14:val="tx1"/>
            </w14:solidFill>
          </w14:textFill>
        </w:rPr>
      </w:pPr>
      <w:bookmarkStart w:id="295" w:name="_Toc10985"/>
      <w:bookmarkStart w:id="296" w:name="_Toc26341"/>
      <w:bookmarkStart w:id="297" w:name="_Toc15717"/>
      <w:bookmarkStart w:id="298" w:name="_Toc9937"/>
      <w:r>
        <w:rPr>
          <w:rFonts w:ascii="Times New Roman" w:hAnsi="Times New Roman"/>
          <w:color w:val="000000" w:themeColor="text1"/>
          <w14:textFill>
            <w14:solidFill>
              <w14:schemeClr w14:val="tx1"/>
            </w14:solidFill>
          </w14:textFill>
        </w:rPr>
        <w:t>7.1.4  工程总布置</w:t>
      </w:r>
      <w:bookmarkEnd w:id="295"/>
      <w:bookmarkEnd w:id="296"/>
      <w:bookmarkEnd w:id="297"/>
      <w:bookmarkEnd w:id="298"/>
    </w:p>
    <w:p>
      <w:pPr>
        <w:pStyle w:val="6"/>
        <w:rPr>
          <w:color w:val="000000" w:themeColor="text1"/>
          <w14:textFill>
            <w14:solidFill>
              <w14:schemeClr w14:val="tx1"/>
            </w14:solidFill>
          </w14:textFill>
        </w:rPr>
      </w:pPr>
      <w:bookmarkStart w:id="299" w:name="_Toc18301"/>
      <w:bookmarkStart w:id="300" w:name="_Toc15866"/>
      <w:bookmarkStart w:id="301" w:name="_Toc27828"/>
      <w:bookmarkStart w:id="302" w:name="_Toc472344256"/>
      <w:bookmarkStart w:id="303" w:name="_Toc224829649"/>
      <w:r>
        <w:rPr>
          <w:color w:val="000000" w:themeColor="text1"/>
          <w14:textFill>
            <w14:solidFill>
              <w14:schemeClr w14:val="tx1"/>
            </w14:solidFill>
          </w14:textFill>
        </w:rPr>
        <w:t>7.1.4.1  工程等别及洪水标准</w:t>
      </w:r>
    </w:p>
    <w:p>
      <w:pPr>
        <w:adjustRightInd/>
        <w:snapToGrid/>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1  工程等别</w:t>
      </w:r>
    </w:p>
    <w:p>
      <w:pPr>
        <w:adjustRightInd/>
        <w:snapToGrid/>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安云水库坝址位于达州市通川区安云乡田家河坝，距离达州市约30公里。该工程的主要任务是灌溉和城镇供水，水库总库容2200万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adjustRightInd/>
        <w:snapToGrid/>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依据SL252-2017《水利水电工程等级划分与洪水标准》的有关规定，工程属Ⅲ等中型，永久主要建筑物拦河大坝、取水建筑物、泄水建筑物、放空建筑物为3级，永久次要建筑物为4级，临时建筑物为5级。</w:t>
      </w:r>
    </w:p>
    <w:p>
      <w:pPr>
        <w:adjustRightInd/>
        <w:snapToGrid/>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2  洪水标准</w:t>
      </w:r>
    </w:p>
    <w:p>
      <w:pPr>
        <w:adjustRightInd/>
        <w:snapToGrid/>
        <w:spacing w:line="520" w:lineRule="exact"/>
        <w:ind w:firstLine="560"/>
        <w:rPr>
          <w:color w:val="000000" w:themeColor="text1"/>
          <w14:textFill>
            <w14:solidFill>
              <w14:schemeClr w14:val="tx1"/>
            </w14:solidFill>
          </w14:textFill>
        </w:rPr>
      </w:pPr>
      <w:r>
        <w:rPr>
          <w:iCs/>
          <w:color w:val="000000" w:themeColor="text1"/>
          <w:szCs w:val="28"/>
          <w14:textFill>
            <w14:solidFill>
              <w14:schemeClr w14:val="tx1"/>
            </w14:solidFill>
          </w14:textFill>
        </w:rPr>
        <w:t>安云水库工程枢纽建筑物防洪标准，依据《水利水电工程等级划分及洪水标准》（SL252–2017）及《防洪标准》（GB50204-2014）的规定，各水工建筑物防洪标准见表7.1.10。</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表7.1.10   主要建筑物防洪标准</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733"/>
        <w:gridCol w:w="2562"/>
        <w:gridCol w:w="27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0"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工      程</w:t>
            </w:r>
          </w:p>
        </w:tc>
        <w:tc>
          <w:tcPr>
            <w:tcW w:w="1414"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设计防洪标准</w:t>
            </w:r>
          </w:p>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（重现期a）</w:t>
            </w:r>
          </w:p>
        </w:tc>
        <w:tc>
          <w:tcPr>
            <w:tcW w:w="1526"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校核防洪标准</w:t>
            </w:r>
          </w:p>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（重现期a）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0" w:type="pct"/>
            <w:vAlign w:val="center"/>
          </w:tcPr>
          <w:p>
            <w:pPr>
              <w:adjustRightInd/>
              <w:snapToGrid/>
              <w:spacing w:line="300" w:lineRule="exact"/>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挡水建筑物</w:t>
            </w:r>
          </w:p>
        </w:tc>
        <w:tc>
          <w:tcPr>
            <w:tcW w:w="1414"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50</w:t>
            </w:r>
          </w:p>
        </w:tc>
        <w:tc>
          <w:tcPr>
            <w:tcW w:w="1526"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0" w:type="pct"/>
            <w:vAlign w:val="center"/>
          </w:tcPr>
          <w:p>
            <w:pPr>
              <w:adjustRightInd/>
              <w:snapToGrid/>
              <w:spacing w:line="300" w:lineRule="exact"/>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取水建筑物</w:t>
            </w:r>
          </w:p>
        </w:tc>
        <w:tc>
          <w:tcPr>
            <w:tcW w:w="1414"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50</w:t>
            </w:r>
          </w:p>
        </w:tc>
        <w:tc>
          <w:tcPr>
            <w:tcW w:w="1526"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0" w:type="pct"/>
            <w:vAlign w:val="center"/>
          </w:tcPr>
          <w:p>
            <w:pPr>
              <w:adjustRightInd/>
              <w:snapToGrid/>
              <w:spacing w:line="300" w:lineRule="exact"/>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放空建筑物</w:t>
            </w:r>
          </w:p>
        </w:tc>
        <w:tc>
          <w:tcPr>
            <w:tcW w:w="1414"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50</w:t>
            </w:r>
          </w:p>
        </w:tc>
        <w:tc>
          <w:tcPr>
            <w:tcW w:w="1526"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0" w:type="pct"/>
            <w:vAlign w:val="center"/>
          </w:tcPr>
          <w:p>
            <w:pPr>
              <w:adjustRightInd/>
              <w:snapToGrid/>
              <w:spacing w:line="300" w:lineRule="exact"/>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泄水建筑物</w:t>
            </w:r>
          </w:p>
        </w:tc>
        <w:tc>
          <w:tcPr>
            <w:tcW w:w="1414"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30</w:t>
            </w:r>
          </w:p>
        </w:tc>
        <w:tc>
          <w:tcPr>
            <w:tcW w:w="1526" w:type="pct"/>
            <w:vAlign w:val="center"/>
          </w:tcPr>
          <w:p>
            <w:pPr>
              <w:adjustRightInd/>
              <w:snapToGrid/>
              <w:spacing w:line="300" w:lineRule="exact"/>
              <w:ind w:left="-140" w:leftChars="-50" w:right="-140" w:rightChars="-50" w:firstLine="0" w:firstLineChars="0"/>
              <w:jc w:val="center"/>
              <w:rPr>
                <w:rFonts w:eastAsia="宋体"/>
                <w:color w:val="000000" w:themeColor="text1"/>
                <w:sz w:val="24"/>
                <w14:textFill>
                  <w14:solidFill>
                    <w14:schemeClr w14:val="tx1"/>
                  </w14:solidFill>
                </w14:textFill>
              </w:rPr>
            </w:pP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7.1.4.2  工程选址</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1  坝段概况</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安云水库工程位于</w:t>
      </w:r>
      <w:r>
        <w:rPr>
          <w:iCs/>
          <w:color w:val="000000" w:themeColor="text1"/>
          <w:szCs w:val="28"/>
          <w14:textFill>
            <w14:solidFill>
              <w14:schemeClr w14:val="tx1"/>
            </w14:solidFill>
          </w14:textFill>
        </w:rPr>
        <w:t>达州市通川区安云乡田家河坝</w:t>
      </w:r>
      <w:r>
        <w:rPr>
          <w:bCs/>
          <w:color w:val="000000" w:themeColor="text1"/>
          <w14:textFill>
            <w14:solidFill>
              <w14:schemeClr w14:val="tx1"/>
            </w14:solidFill>
          </w14:textFill>
        </w:rPr>
        <w:t>。坝段往上游选择，水库库容偏少，难以满足需水要求；坝段向下游选择，势必将安云乡场镇纳入，由于安云乡人烟稠密，良田成片，水库淹没及建设移民征地的投资巨大，坝址距积安云乡场镇太近也不利于安云乡场镇未来的发展规划。因此往上游或向下游选择已无较好的建库、建坝条件。</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根据坝段地形、地质和来水等条件，通过现场查勘，初步拟定了上、下两个坝址。上坝址位于三层村上游约430m处，下坝址位于三层村下游约320m处。</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2  坝址选择</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坝址比较原则：</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（1）坝址库区库容条件相近，满足水库库容要求，水库有效库容相同或相近；</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（2）坝址处地形、地质条件适合建坝；</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（3）尽量减少淹没及移民搬迁。</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通过对上、下两个坝址进行枢纽布置，初拟各建筑物的结构尺寸，进行各建筑物工程量计算和投资估算。上坝址工程量较大，工程静态总投资较高。</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综上所述，上、下坝址均具备建库、建坝条件，地质条件、施工条件、交通条件等相近。但上坝址水库容积较小，且工程投资及经济指标下坝址略优于上坝址，因此本阶段推荐下坝址。</w:t>
      </w:r>
    </w:p>
    <w:p>
      <w:pPr>
        <w:pStyle w:val="6"/>
        <w:rPr>
          <w:color w:val="000000" w:themeColor="text1"/>
          <w14:textFill>
            <w14:solidFill>
              <w14:schemeClr w14:val="tx1"/>
            </w14:solidFill>
          </w14:textFill>
        </w:rPr>
      </w:pPr>
      <w:r>
        <w:rPr>
          <w:color w:val="000000" w:themeColor="text1"/>
          <w14:textFill>
            <w14:solidFill>
              <w14:schemeClr w14:val="tx1"/>
            </w14:solidFill>
          </w14:textFill>
        </w:rPr>
        <w:t>7.1.4.3 工程总体布置和主要建筑物型式</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1 坝型拟定</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由于河床坝段地形、地质条件较差，不宜修建拱坝和重力坝等刚性坝。结合地形、地质条件及建材情况，将当地材料坝作为研究的重点。在当地材料中，坝址附近有丰富的灰岩料，但当地防渗土料极少，故重点比较混凝土面板堆石坝和沥青混凝土心墙石渣坝两种当地材料坝。经分析论证，沥青混凝土心墙石渣坝在工程静态投资方面略优。</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2 工程总体布置</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安云水库工程由水库枢纽工程和渠系工程两大部份组成。其中水库枢纽工程为拦河大坝、泄水建筑物、取水隧洞、放空（导流）隧洞等建筑物；渠系工程包括明渠和暗渠、渡槽、隧洞及小件等建筑物。</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水库枢纽工程布置在</w:t>
      </w:r>
      <w:r>
        <w:rPr>
          <w:iCs/>
          <w:color w:val="000000" w:themeColor="text1"/>
          <w:szCs w:val="28"/>
          <w14:textFill>
            <w14:solidFill>
              <w14:schemeClr w14:val="tx1"/>
            </w14:solidFill>
          </w14:textFill>
        </w:rPr>
        <w:t>安云乡田家河坝</w:t>
      </w:r>
      <w:r>
        <w:rPr>
          <w:bCs/>
          <w:color w:val="000000" w:themeColor="text1"/>
          <w14:textFill>
            <w14:solidFill>
              <w14:schemeClr w14:val="tx1"/>
            </w14:solidFill>
          </w14:textFill>
        </w:rPr>
        <w:t>，本阶段推荐下坝址，大坝采用沥青混凝土心墙石渣坝型，大坝左岸设溢洪道、放空（导流）隧洞和取水建筑物，取水隧洞出口接输水干渠。</w:t>
      </w:r>
    </w:p>
    <w:p>
      <w:pPr>
        <w:pStyle w:val="6"/>
        <w:rPr>
          <w:color w:val="000000" w:themeColor="text1"/>
          <w14:textFill>
            <w14:solidFill>
              <w14:schemeClr w14:val="tx1"/>
            </w14:solidFill>
          </w14:textFill>
        </w:rPr>
      </w:pPr>
      <w:r>
        <w:rPr>
          <w:color w:val="000000" w:themeColor="text1"/>
          <w14:textFill>
            <w14:solidFill>
              <w14:schemeClr w14:val="tx1"/>
            </w14:solidFill>
          </w14:textFill>
        </w:rPr>
        <w:t>7.1.4.4 主要建筑物</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1  拦河大坝</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拦河大坝采用沥青混凝土心墙石渣坝型，坝顶高程431.5m，坝顶宽6.0m，最大坝高43.5m，坝顶长度254m。坝顶上游侧设置1.2m高的C20砼防浪墙，防浪墙顶高程432.7m。沥青混凝土心墙位于坝体中部，心墙顶高程430.5m，心墙与基础接合部设置宽3.0m、厚2.0m的C25砼齿板作为帷幕灌浆和固结灌浆的盖板，为确保心墙底部与齿板的有效联接，除扩大心墙底部外，并在心墙底面上涂涮一层厚度为1cm的砂质沥青玛碲脂，同时在心墙底部和齿板接合部位，设两道止水，均为止水铜片。心墙上、下游侧设反滤过渡料，采用新鲜灰岩人工破碎，水平宽度均3.0m。坝顶路面为混凝土路面，路面向下游侧以1%倾斜，以利排水。</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河床覆盖层较厚，且土体软弱，大坝基础置于河床弱风化基岩上。大坝上游坝壳采用弱风化灰岩料填筑，坝坡迎水面采用厚0.15m的C20砼预制块护坡，并在高程411.5m处设置宽2.0m的马道，马道以上边坡坡比1：2.0，马道以下边坡坡比1:2.5。大坝下游坝壳采用弱风化灰岩与强风化灰岩混合料填筑，在高程411.50m处设1级马道，宽2.0m，马道以上边坡坡比1：2.0，马道以下边坡坡比1:2.2。下游河床段设2.0m厚的排水带，坡脚设置贴坡排水，水平宽度5m，排水带及贴坡排水采用砂砾石填筑，下游坝坡采用C15砼预制块护坡。开挖形成的岩质高边坡采用挂网喷C20砼封闭，厚度8cm。</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2 取水建筑物</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取水建筑物位于大坝左岸，由引水渠、岸塔式取水塔、取水隧洞等组成。引渠段进口底板高程392.00m，采用梯形断面，底宽2.5m，边坡1：0.5。取水塔长15m，宽10m，高41m。取水塔平台高程431.5m，平台上设闸门启闭机房，以交通桥与左坝肩公路相连。进水口闸室设置拦污栅1扇，拦污栅后接事故检修闸门1扇，尺寸为2×2m。取水塔后接取水隧洞，洞内设消力池，池长15.0m，池宽2m，池深1.5m。消力池后紧接无压隧洞洞身段，底坡1/1000，城门无压洞型断面尺寸为2×2m（宽×高），无压段长630m；出口底板高程391.3m，出口与输水干渠相连。</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3 放空（导流）洞</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放空洞位于大坝左岸，由进口明渠段、岸塔式进水口、放空隧洞、洞内消力池、出口明渠组成，隧洞全长508m，放空洞兼作施工期导流隧洞。</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进口明渠长30m，进口底板高程为389m，底宽3m。岸塔式进水口顺水流方向长16m，横向宽度为9m，塔顶高程431.5m。采用长50m的工作桥与岸边公路连接。进水口闸室底板高程389m，顶部高程为431.5m，高42.5m。放空洞设置事故检修门和工作门各1扇，孔口尺寸均为3×3m，闸门采用潜孔平面定轮门，采用固定卷扬式启闭机现地操作。进水口后设15m长消力池，隧洞为城门洞型。</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放空（导流）洞长493m，底板坡度i=1/400，隧洞为城门洞型，宽、高均为3m，C25砼衬砌，洞身段衬砌厚度为0.3m。洞室段全长范围内均采取固结灌浆，灌浆孔排距2m，灌浆深度1.5m；顶拱120度范围内进行回填灌浆。放空洞出口为长8m的渐变段，C20砼衬砌，衬砌厚度为0.40m，后接放水明渠，明渠底宽2.5m，渠道边坡1：0.75，采用20cm厚C15砼护面，底板厚度20cm，渠顶采用C15砼压顶。放空洞底板内埋设直径10cm生态放水管，满足下游生态放水流量要求。</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4 泄水建筑物</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大坝泄水建筑物溢洪道位于大坝左岸，建基于弱风化基岩，由引水渠、控制段、泄槽段、消力池及海幔组成。引水渠底板高程为421m，控制段宽10m，闸室底高程为421m，闸顶高程为431.5m，控制段闸室与大坝坝左端相接。控制段闸室设工作门和事故门，均为平板门。泄槽槽宽10m，槽深9m，上段及转弯段坡率i=0.06，下段坡率i=0.12。消力池长40m，宽10m，深2m。消力池后设海幔与放空洞出口渠道相接，泄水入原河道。</w:t>
      </w:r>
    </w:p>
    <w:p>
      <w:pPr>
        <w:pStyle w:val="5"/>
        <w:rPr>
          <w:rFonts w:ascii="Times New Roman" w:hAnsi="Times New Roman"/>
          <w:color w:val="000000" w:themeColor="text1"/>
          <w14:textFill>
            <w14:solidFill>
              <w14:schemeClr w14:val="tx1"/>
            </w14:solidFill>
          </w14:textFill>
        </w:rPr>
      </w:pPr>
      <w:bookmarkStart w:id="304" w:name="_Toc24895"/>
      <w:r>
        <w:rPr>
          <w:rFonts w:ascii="Times New Roman" w:hAnsi="Times New Roman"/>
          <w:color w:val="000000" w:themeColor="text1"/>
          <w14:textFill>
            <w14:solidFill>
              <w14:schemeClr w14:val="tx1"/>
            </w14:solidFill>
          </w14:textFill>
        </w:rPr>
        <w:t>7.1.5  水库淹没及工程占地</w:t>
      </w:r>
      <w:bookmarkEnd w:id="299"/>
      <w:bookmarkEnd w:id="300"/>
      <w:bookmarkEnd w:id="301"/>
      <w:bookmarkEnd w:id="302"/>
      <w:bookmarkEnd w:id="303"/>
      <w:bookmarkEnd w:id="304"/>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建设征地共征收征用各类土地6418.55亩，其中永久征收5264.67亩，耕地794.42亩；临时征用1153.88亩。人口158人，房屋8819.56</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。其中水库淹没区涉及达州市通川区安云乡2村7个组，水库淹没农村人口140人，拆迁房屋7404.60</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，水库淹没土地4143.94亩，其中耕地654.32亩。淹没专项设施有乡村公路7.7km，10kv线路3.5km，电信线路4.2km，广电线路2.7km。</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 xml:space="preserve">工程建设区共计征收征用土地2274.61亩，其中永久征收1120.73亩，耕地140.1亩，人口18人，房屋1414.96 </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，临时征用土地1153.88亩。</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经估算，安云水库推荐方案建设征地移民补偿总投资33282.19万元，其中水库淹没影响区总投资26156.91万元，枢纽工程建设征地区总投资4851.99万元，渠系工程建设区2273.29万元。</w:t>
      </w:r>
    </w:p>
    <w:p>
      <w:pPr>
        <w:pStyle w:val="5"/>
        <w:rPr>
          <w:rFonts w:ascii="Times New Roman" w:hAnsi="Times New Roman"/>
          <w:color w:val="000000" w:themeColor="text1"/>
          <w14:textFill>
            <w14:solidFill>
              <w14:schemeClr w14:val="tx1"/>
            </w14:solidFill>
          </w14:textFill>
        </w:rPr>
      </w:pPr>
      <w:bookmarkStart w:id="305" w:name="_Toc2792"/>
      <w:r>
        <w:rPr>
          <w:rFonts w:ascii="Times New Roman" w:hAnsi="Times New Roman"/>
          <w:color w:val="000000" w:themeColor="text1"/>
          <w14:textFill>
            <w14:solidFill>
              <w14:schemeClr w14:val="tx1"/>
            </w14:solidFill>
          </w14:textFill>
        </w:rPr>
        <w:t>7.1.6  投资及效益分析</w:t>
      </w:r>
      <w:bookmarkEnd w:id="305"/>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项目静态总投资9.0亿元，其中工程总投资5.67万元，移民补偿总投资3.33亿元。</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项目实施后，可实现年灌溉效益3600万元，年供水效益1200万元，效益费用比约1.2。该项目在经济上合理可行，具有一定的抗风险能力。</w:t>
      </w:r>
    </w:p>
    <w:p>
      <w:pPr>
        <w:pStyle w:val="4"/>
        <w:rPr>
          <w:rFonts w:ascii="Times New Roman" w:hAnsi="Times New Roman" w:cs="Times New Roman"/>
          <w:color w:val="000000" w:themeColor="text1"/>
          <w14:textFill>
            <w14:solidFill>
              <w14:schemeClr w14:val="tx1"/>
            </w14:solidFill>
          </w14:textFill>
        </w:rPr>
      </w:pPr>
      <w:bookmarkStart w:id="306" w:name="_Toc27267"/>
      <w:bookmarkStart w:id="307" w:name="_Toc6958"/>
      <w:r>
        <w:rPr>
          <w:rFonts w:ascii="Times New Roman" w:hAnsi="Times New Roman" w:cs="Times New Roman"/>
          <w:color w:val="000000" w:themeColor="text1"/>
          <w14:textFill>
            <w14:solidFill>
              <w14:schemeClr w14:val="tx1"/>
            </w14:solidFill>
          </w14:textFill>
        </w:rPr>
        <w:t>7.2  车家河水库简介</w:t>
      </w:r>
      <w:bookmarkEnd w:id="306"/>
      <w:bookmarkEnd w:id="307"/>
    </w:p>
    <w:p>
      <w:pPr>
        <w:pStyle w:val="5"/>
        <w:rPr>
          <w:rFonts w:ascii="Times New Roman" w:hAnsi="Times New Roman"/>
          <w:color w:val="000000" w:themeColor="text1"/>
          <w14:textFill>
            <w14:solidFill>
              <w14:schemeClr w14:val="tx1"/>
            </w14:solidFill>
          </w14:textFill>
        </w:rPr>
      </w:pPr>
      <w:bookmarkStart w:id="308" w:name="_Toc16284"/>
      <w:r>
        <w:rPr>
          <w:rFonts w:ascii="Times New Roman" w:hAnsi="Times New Roman"/>
          <w:color w:val="000000" w:themeColor="text1"/>
          <w14:textFill>
            <w14:solidFill>
              <w14:schemeClr w14:val="tx1"/>
            </w14:solidFill>
          </w14:textFill>
        </w:rPr>
        <w:t>7.2.1  工程建设必要性</w:t>
      </w:r>
      <w:bookmarkEnd w:id="308"/>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（1） 是解决通川区社会经济快速发展带来的用水需求与区域供水能力之间矛盾的重要工程</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根据达州市发展定位，同时结合通川区水资源分布特点及其经济社会发展格局，通川区工作思路以坚持以习近平新时代中国特色社会主义思想为指导，全面贯彻党的十九大、十九届二中、三中、四中全会以及省委十一届六次、市委四届巴中全会精神、认真落实中央、省委和市委各项决策部署，紧紧围绕2025年经济总量、2035年城市规模目标任务，大力实施</w:t>
      </w:r>
      <w:r>
        <w:rPr>
          <w:rFonts w:hint="eastAsia"/>
          <w:color w:val="000000" w:themeColor="text1"/>
          <w14:textFill>
            <w14:solidFill>
              <w14:schemeClr w14:val="tx1"/>
            </w14:solidFill>
          </w14:textFill>
        </w:rPr>
        <w:t>“三城三地三片”</w:t>
      </w:r>
      <w:r>
        <w:rPr>
          <w:color w:val="000000" w:themeColor="text1"/>
          <w14:textFill>
            <w14:solidFill>
              <w14:schemeClr w14:val="tx1"/>
            </w14:solidFill>
          </w14:textFill>
        </w:rPr>
        <w:t>发展战略。通川区作为达州市主城核心区，既是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创副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的主阵地，也是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创副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的最大受益者。</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基于快速发展的社会经济，本次预测的通川区2025年、2030年、2035年需水总量分别为18146万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、24873万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、27389万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。根据一次平衡成果，按照现有水利设施供水能力，2025年、2030年、2035年通川区缺水将分别达到4576万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、9448万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、11741万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，缺水比例非常高。</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目前，通川区多年平均地表径流量5.17亿</w:t>
      </w:r>
      <w:r>
        <w:rPr>
          <w:rFonts w:hint="eastAsia"/>
          <w:color w:val="000000" w:themeColor="text1"/>
          <w14:textFill>
            <w14:solidFill>
              <w14:schemeClr w14:val="tx1"/>
            </w14:solidFill>
          </w14:textFill>
        </w:rPr>
        <w:t>m³</w:t>
      </w:r>
      <w:r>
        <w:rPr>
          <w:rFonts w:eastAsia="仿宋"/>
          <w:color w:val="000000" w:themeColor="text1"/>
          <w14:textFill>
            <w14:solidFill>
              <w14:schemeClr w14:val="tx1"/>
            </w14:solidFill>
          </w14:textFill>
        </w:rPr>
        <w:t>，但目前已有水库的调蓄能力不大，总的兴利库容仅</w:t>
      </w:r>
      <w:r>
        <w:rPr>
          <w:color w:val="000000" w:themeColor="text1"/>
          <w14:textFill>
            <w14:solidFill>
              <w14:schemeClr w14:val="tx1"/>
            </w14:solidFill>
          </w14:textFill>
        </w:rPr>
        <w:t>0.79亿</w:t>
      </w:r>
      <w:r>
        <w:rPr>
          <w:rFonts w:hint="eastAsia"/>
          <w:color w:val="000000" w:themeColor="text1"/>
          <w14:textFill>
            <w14:solidFill>
              <w14:schemeClr w14:val="tx1"/>
            </w14:solidFill>
          </w14:textFill>
        </w:rPr>
        <w:t>m³</w:t>
      </w:r>
      <w:r>
        <w:rPr>
          <w:rFonts w:eastAsia="仿宋"/>
          <w:color w:val="000000" w:themeColor="text1"/>
          <w14:textFill>
            <w14:solidFill>
              <w14:schemeClr w14:val="tx1"/>
            </w14:solidFill>
          </w14:textFill>
        </w:rPr>
        <w:t>，占多年平均地表径流量的</w:t>
      </w:r>
      <w:r>
        <w:rPr>
          <w:color w:val="000000" w:themeColor="text1"/>
          <w14:textFill>
            <w14:solidFill>
              <w14:schemeClr w14:val="tx1"/>
            </w14:solidFill>
          </w14:textFill>
        </w:rPr>
        <w:t>15%，远远不能满足通川区社会经济发展对水资源的需求，特别是遇枯水年份或连续干旱年份供用水矛盾更为突出。</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基于区域突出的供需水矛盾，通川区需强化节水、提高中水回用，同时大力建设一批骨干水利工程，提高对当地水资源的利用率，车家河水库建成后，可大幅增加供水能力，为区域水资源配置提供稳定、优质的供水水源。</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（2） 是战胜干旱、保障区域粮食安全、供水安全，促进农业可持续发展的需要</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通川区幅员面积888k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，水资源总量5.17亿</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，人均水资源量570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。低于达州市人均水资源量1852</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，远低于四川省人均水资源量3200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，低于全国人均水资源量2100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w:t>
      </w:r>
      <w:r>
        <w:rPr>
          <w:bCs/>
          <w:color w:val="000000" w:themeColor="text1"/>
          <w14:textFill>
            <w14:solidFill>
              <w14:schemeClr w14:val="tx1"/>
            </w14:solidFill>
          </w14:textFill>
        </w:rPr>
        <w:t>由于水量分布不均，水利设施不配套，同时受气候和地理条件的影响，全区缺水问题主要表现为季节性缺水。</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通川区降水量年际变化较明显，境内降水量变差系数在0.15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0.27之间，降水量年内分配不均，主要集中在5月～10月，其降水量占全年总量的70%以上，通川区降水量呈地区分布不均匀特点，降水量在1150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1250mm之间，由于流域地形条件复杂，降水时空分布不均，冬干、春旱、夏旱、伏旱频繁，加之水利基础设施不足，灌溉保证率低，抗御干旱能力弱，危及粮食和人畜饮水安全，制约了农业生产及国民经济的发展。</w:t>
      </w:r>
    </w:p>
    <w:p>
      <w:pPr>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本地水资源是通川区的主要水源，本区历史以来受到严重的干旱威胁，尤其是春旱和伏旱，严重地影响着区内人民的生产和生活。区域内的水资源在时空上分配不均，尤其是枯期水量不足，当地河流源短流小，溪沟多数断流，又加大了水资源开发利用难度。针对当地径流的特点，考虑目前已建大量的小型水利工程，应立足于挖掘现有水利工程潜力，选择具有条件的水源工程，通过工程蓄水措施，提高水资源开发利用程度，以此充分利用基本水源具有就近利用灌溉的优势，发挥基本水源的优势。</w:t>
      </w:r>
    </w:p>
    <w:p>
      <w:pPr>
        <w:spacing w:line="520" w:lineRule="exact"/>
        <w:ind w:firstLine="560"/>
        <w:rPr>
          <w:bCs/>
          <w:color w:val="000000" w:themeColor="text1"/>
          <w14:textFill>
            <w14:solidFill>
              <w14:schemeClr w14:val="tx1"/>
            </w14:solidFill>
          </w14:textFill>
        </w:rPr>
      </w:pPr>
      <w:r>
        <w:rPr>
          <w:color w:val="000000" w:themeColor="text1"/>
          <w:szCs w:val="28"/>
          <w14:textFill>
            <w14:solidFill>
              <w14:schemeClr w14:val="tx1"/>
            </w14:solidFill>
          </w14:textFill>
        </w:rPr>
        <w:t>由于缺乏骨干工程，通川区的有效灌溉面积的发展受到制约，限制了粮食产量的提高，人均粮食产量将逐步下降，存在粮食安全隐患。要提高粮食单产，必须加强区域水利基础设施建设。兴建车家河水库将提高区域供水能力，保障农业生产发展对水的需求，增加高产农田面积4.2万亩，</w:t>
      </w:r>
      <w:r>
        <w:rPr>
          <w:bCs/>
          <w:color w:val="000000" w:themeColor="text1"/>
          <w14:textFill>
            <w14:solidFill>
              <w14:schemeClr w14:val="tx1"/>
            </w14:solidFill>
          </w14:textFill>
        </w:rPr>
        <w:t>是保障区域粮食安全、促进农业可持续发展的需要。</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车家河水库的建设可保障地区用水安全，促进地方经济协调发展的需要。该水源点可解决梓桐镇、北山镇生活饮用水及灌溉用水问题。由于水库坝址处集雨面积33k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，水量相对丰富，可作为通川区北部片区的灌溉、供水、旅游景观及生态用水。该片区水源问题的解决可进一步带动通川区北部片区经济的飞跃，有效保障北部片区供水安全。</w:t>
      </w:r>
    </w:p>
    <w:p>
      <w:pPr>
        <w:pStyle w:val="5"/>
        <w:rPr>
          <w:rFonts w:ascii="Times New Roman" w:hAnsi="Times New Roman"/>
          <w:color w:val="000000" w:themeColor="text1"/>
          <w14:textFill>
            <w14:solidFill>
              <w14:schemeClr w14:val="tx1"/>
            </w14:solidFill>
          </w14:textFill>
        </w:rPr>
      </w:pPr>
      <w:bookmarkStart w:id="309" w:name="_Toc1918"/>
      <w:r>
        <w:rPr>
          <w:rFonts w:ascii="Times New Roman" w:hAnsi="Times New Roman"/>
          <w:color w:val="000000" w:themeColor="text1"/>
          <w14:textFill>
            <w14:solidFill>
              <w14:schemeClr w14:val="tx1"/>
            </w14:solidFill>
          </w14:textFill>
        </w:rPr>
        <w:t>7.2.2  工程建设条件</w:t>
      </w:r>
      <w:bookmarkEnd w:id="309"/>
    </w:p>
    <w:p>
      <w:pPr>
        <w:pStyle w:val="6"/>
        <w:rPr>
          <w:color w:val="000000" w:themeColor="text1"/>
          <w14:textFill>
            <w14:solidFill>
              <w14:schemeClr w14:val="tx1"/>
            </w14:solidFill>
          </w14:textFill>
        </w:rPr>
      </w:pPr>
      <w:r>
        <w:rPr>
          <w:color w:val="000000" w:themeColor="text1"/>
          <w14:textFill>
            <w14:solidFill>
              <w14:schemeClr w14:val="tx1"/>
            </w14:solidFill>
          </w14:textFill>
        </w:rPr>
        <w:t>7.2.2.1  工程地质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（1）水库工程地质</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1）基本地质条件</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水库区山顶高程600～750m，相对高差260～410m，库区为典型的低山峡谷区，河谷多呈狭窄的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U</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型谷，河谷基本对称。库区沟底大多被坡洪积覆盖，两岸地形多呈台阶状，斜坡或缓台地，大多为坡残积覆盖。崩塌较为发育，库内洞沟村一带连续分布有崩坡积堆积体，其余陡坡段基岩裸露，库岸主要为岩质岸坡，岩性为J</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p蓬莱镇组紫红色粉砂质泥岩及青灰色砂岩。水库有一小向斜穿库而过，走向N35°E，背斜NW翼岩层产状为N21～48°E /SE∠2～3°，SE翼岩层产状为N30～40°E /SW∠2～5°，未见断层通过。</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2）水库渗漏</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两库岸山体宽厚，无低于正常蓄水位（367m）的低邻谷存在，库盆在地形上封闭条件良好。库盆主要由J</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p蓬莱镇组紫红色粉砂质泥岩及青灰色砂岩组成。库区无碳酸盐岩地层分布，库区内无断裂构造，水库总体上存在封闭条件。因此，水库封闭条件良好，具备成库条件。</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3）库岸稳定</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库区正常蓄水位（367m）附近大多基岩裸露，岸坡岩性主要为J</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p蓬莱镇组粉砂质泥岩及砂岩，岩层产状平缓，地面自然坡度一般15°～35°，为缓坡～斜坡地形，边坡中植被较为发育。库内洞沟村一带连续分布有崩坡积堆积体，据调查，崩坡积堆积体整体稳定性均较好，蓄水后前缘附近有失稳或塌岸的可能，前缘失稳对水库的正常运行影响不大，但会增加水库淤积。</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4）水库浸没</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库区呈条带状分布，沟底宽40～80m，上覆为第四系坡洪积层，组成物质为紫红色粉质粘土，坡脚为坡残积层或崩坡积堆积体，下伏基岩为J</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p蓬莱镇组粉砂质泥岩及砂岩。正常蓄水位（367m）附近岸坡多为林地，不存在浸没问题。</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5）矿产、文物淹没及水库诱发地震</w:t>
      </w:r>
    </w:p>
    <w:p>
      <w:pPr>
        <w:pStyle w:val="16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据调查，库区内无矿产分布，也没有文物保护单位（点）分布，工程对地下、地面文物均不构成影响。因此，库区内均不存在矿产、文物淹没问题。</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根据库坝区地质构造条件、地震活动特征和水文地质条件综合分析，库坝区地层产状平缓，区内无断裂构造通过，库区岩体透水性微弱，因此水库蓄水后不具备产生诱发地震的地质条件。</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（2）天然建筑材料</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工程区砂砾石料已禁采，砂岩料不能满足人工骨料质量技术要求，调查的万源市固军镇桅杆岭灰岩人工骨料料场储量丰富，新鲜岩石符合混凝土骨料料源质量技术要求，运距约120km。工区出露的J</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p粉砂质泥岩及砂岩，岩性软弱，可作为软岩堆石料料源，储量丰富，可满足工程所需。库区沟底坡洪积之粉质粘土可作为防渗料源，储量丰富</w:t>
      </w:r>
      <w:r>
        <w:rPr>
          <w:iCs/>
          <w:color w:val="000000" w:themeColor="text1"/>
          <w:szCs w:val="28"/>
          <w14:textFill>
            <w14:solidFill>
              <w14:schemeClr w14:val="tx1"/>
            </w14:solidFill>
          </w14:textFill>
        </w:rPr>
        <w:t>。</w:t>
      </w:r>
    </w:p>
    <w:p>
      <w:pPr>
        <w:pStyle w:val="6"/>
        <w:rPr>
          <w:color w:val="000000" w:themeColor="text1"/>
          <w14:textFill>
            <w14:solidFill>
              <w14:schemeClr w14:val="tx1"/>
            </w14:solidFill>
          </w14:textFill>
        </w:rPr>
      </w:pPr>
      <w:r>
        <w:rPr>
          <w:color w:val="000000" w:themeColor="text1"/>
          <w14:textFill>
            <w14:solidFill>
              <w14:schemeClr w14:val="tx1"/>
            </w14:solidFill>
          </w14:textFill>
        </w:rPr>
        <w:t>7.2.2.2  水文</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（1）流域概况</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车家河水库位于巴河一级支流长滩河右岸梓桐河支流当门河上，坝址（东经107°21'54.18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，北纬31°30'31.31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）下距当门河汇口约0.5km。当门河发源于平昌县泥龙镇小山村，于梓潼镇两河村汇入梓桐河（又名小杨河），全长15.4km，河口流量0.44</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/s，年径流量约1400万</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。车家河水库坝址河底高程329m，水库集雨面积33k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，坝址流量0.44</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 径流</w:t>
      </w:r>
    </w:p>
    <w:p>
      <w:pPr>
        <w:spacing w:line="520" w:lineRule="exact"/>
        <w:ind w:firstLine="560"/>
        <w:rPr>
          <w:color w:val="000000" w:themeColor="text1"/>
          <w14:textFill>
            <w14:solidFill>
              <w14:schemeClr w14:val="tx1"/>
            </w14:solidFill>
          </w14:textFill>
        </w:rPr>
      </w:pPr>
      <w:r>
        <w:rPr>
          <w:iCs/>
          <w:color w:val="000000" w:themeColor="text1"/>
          <w:szCs w:val="28"/>
          <w14:textFill>
            <w14:solidFill>
              <w14:schemeClr w14:val="tx1"/>
            </w14:solidFill>
          </w14:textFill>
        </w:rPr>
        <w:t>长滩河上游永红水文站，为小河流域代表站，设立于1970年，控制流域面积605k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观测项目有水位、流量及降水量等，具有设站至今完整的水位、流量及降雨资料，该站控制区域内在地质、植被等下垫面条件及降水与设计流域基本相近，其径流特性也较为相似，且与设计流域相邻并属相同径流分区。因此，本次采用永红站作为水库水文分析计算的依据站。</w:t>
      </w:r>
      <w:r>
        <w:rPr>
          <w:color w:val="000000" w:themeColor="text1"/>
          <w14:textFill>
            <w14:solidFill>
              <w14:schemeClr w14:val="tx1"/>
            </w14:solidFill>
          </w14:textFill>
        </w:rPr>
        <w:t>永红站径流计算成果见表7.1.1。</w:t>
      </w:r>
    </w:p>
    <w:p>
      <w:pPr>
        <w:spacing w:line="520" w:lineRule="exact"/>
        <w:ind w:firstLine="560"/>
        <w:rPr>
          <w:color w:val="000000" w:themeColor="text1"/>
          <w14:textFill>
            <w14:solidFill>
              <w14:schemeClr w14:val="tx1"/>
            </w14:solidFill>
          </w14:textFill>
        </w:rPr>
      </w:pPr>
      <w:r>
        <w:rPr>
          <w:iCs/>
          <w:color w:val="000000" w:themeColor="text1"/>
          <w:szCs w:val="28"/>
          <w14:textFill>
            <w14:solidFill>
              <w14:schemeClr w14:val="tx1"/>
            </w14:solidFill>
          </w14:textFill>
        </w:rPr>
        <w:t>采用水文比拟法，将永红站的设计径流成果按面积加雨量修正，移至车家河水库坝址，得水库的径流。永红站控制集水区的面平均雨量按沿山、花池、马渡和永红四个雨量站的算术平均计算为1158.7mm，车家河水库水库坝址以上降雨读通川区降雨等值线图求得，为1190mm。计算的水库坝址径流成果见表7.2.1。</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表7.2.1  车家河水库坝址径流成果表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985"/>
        <w:gridCol w:w="843"/>
        <w:gridCol w:w="830"/>
        <w:gridCol w:w="946"/>
        <w:gridCol w:w="946"/>
        <w:gridCol w:w="946"/>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restart"/>
            <w:noWrap/>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水库</w:t>
            </w:r>
          </w:p>
        </w:tc>
        <w:tc>
          <w:tcPr>
            <w:tcW w:w="1096" w:type="pct"/>
            <w:vMerge w:val="restar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时段</w:t>
            </w: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均值</w:t>
            </w:r>
          </w:p>
        </w:tc>
        <w:tc>
          <w:tcPr>
            <w:tcW w:w="2545" w:type="pct"/>
            <w:gridSpan w:val="5"/>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各频率设计值Q</w:t>
            </w:r>
            <w:r>
              <w:rPr>
                <w:rFonts w:eastAsia="宋体"/>
                <w:iCs/>
                <w:color w:val="000000" w:themeColor="text1"/>
                <w:sz w:val="24"/>
                <w:vertAlign w:val="subscript"/>
                <w14:textFill>
                  <w14:solidFill>
                    <w14:schemeClr w14:val="tx1"/>
                  </w14:solidFill>
                </w14:textFill>
              </w:rPr>
              <w:t>P</w:t>
            </w:r>
            <w:r>
              <w:rPr>
                <w:rFonts w:eastAsia="宋体"/>
                <w:iCs/>
                <w:color w:val="000000" w:themeColor="text1"/>
                <w:sz w:val="24"/>
                <w14:textFill>
                  <w14:solidFill>
                    <w14:schemeClr w14:val="tx1"/>
                  </w14:solidFill>
                </w14:textFill>
              </w:rPr>
              <w:t>(</w:t>
            </w:r>
            <w:r>
              <w:rPr>
                <w:rFonts w:hint="eastAsia" w:eastAsia="宋体"/>
                <w:iCs/>
                <w:color w:val="000000" w:themeColor="text1"/>
                <w:sz w:val="24"/>
                <w14:textFill>
                  <w14:solidFill>
                    <w14:schemeClr w14:val="tx1"/>
                  </w14:solidFill>
                </w14:textFill>
              </w:rPr>
              <w:t>m³</w:t>
            </w:r>
            <w:r>
              <w:rPr>
                <w:rFonts w:eastAsia="宋体"/>
                <w:iCs/>
                <w:color w:val="000000" w:themeColor="text1"/>
                <w:sz w:val="24"/>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1096"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464"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w:t>
            </w:r>
            <w:r>
              <w:rPr>
                <w:rFonts w:hint="eastAsia" w:eastAsia="宋体"/>
                <w:iCs/>
                <w:color w:val="000000" w:themeColor="text1"/>
                <w:sz w:val="24"/>
                <w14:textFill>
                  <w14:solidFill>
                    <w14:schemeClr w14:val="tx1"/>
                  </w14:solidFill>
                </w14:textFill>
              </w:rPr>
              <w:t>m³</w:t>
            </w:r>
            <w:r>
              <w:rPr>
                <w:rFonts w:eastAsia="宋体"/>
                <w:iCs/>
                <w:color w:val="000000" w:themeColor="text1"/>
                <w:sz w:val="24"/>
                <w14:textFill>
                  <w14:solidFill>
                    <w14:schemeClr w14:val="tx1"/>
                  </w14:solidFill>
                </w14:textFill>
              </w:rPr>
              <w:t>/s)</w:t>
            </w:r>
          </w:p>
        </w:tc>
        <w:tc>
          <w:tcPr>
            <w:tcW w:w="458"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p=5%</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p=30%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p=50%</w:t>
            </w:r>
          </w:p>
        </w:tc>
        <w:tc>
          <w:tcPr>
            <w:tcW w:w="522"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p=70%</w:t>
            </w:r>
          </w:p>
        </w:tc>
        <w:tc>
          <w:tcPr>
            <w:tcW w:w="52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0" w:type="dxa"/>
            <w:vMerge w:val="restart"/>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车家河水库</w:t>
            </w:r>
          </w:p>
        </w:tc>
        <w:tc>
          <w:tcPr>
            <w:tcW w:w="198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日历年</w:t>
            </w:r>
          </w:p>
        </w:tc>
        <w:tc>
          <w:tcPr>
            <w:tcW w:w="8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0.648</w:t>
            </w:r>
          </w:p>
        </w:tc>
        <w:tc>
          <w:tcPr>
            <w:tcW w:w="83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1.27</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0.770</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0.596</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0.450</w:t>
            </w:r>
          </w:p>
        </w:tc>
        <w:tc>
          <w:tcPr>
            <w:tcW w:w="945"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0" w:type="dxa"/>
            <w:vMerge w:val="continue"/>
            <w:vAlign w:val="center"/>
          </w:tcPr>
          <w:p>
            <w:pPr>
              <w:pStyle w:val="50"/>
              <w:spacing w:before="0" w:beforeLines="0"/>
              <w:rPr>
                <w:color w:val="000000" w:themeColor="text1"/>
                <w:szCs w:val="24"/>
                <w14:textFill>
                  <w14:solidFill>
                    <w14:schemeClr w14:val="tx1"/>
                  </w14:solidFill>
                </w14:textFill>
              </w:rPr>
            </w:pPr>
          </w:p>
        </w:tc>
        <w:tc>
          <w:tcPr>
            <w:tcW w:w="198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水利年</w:t>
            </w:r>
          </w:p>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(6月～次年5月)</w:t>
            </w:r>
          </w:p>
        </w:tc>
        <w:tc>
          <w:tcPr>
            <w:tcW w:w="8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0.636</w:t>
            </w:r>
          </w:p>
        </w:tc>
        <w:tc>
          <w:tcPr>
            <w:tcW w:w="83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1.26</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0.758</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0.580</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0.429</w:t>
            </w:r>
          </w:p>
        </w:tc>
        <w:tc>
          <w:tcPr>
            <w:tcW w:w="945"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0" w:type="dxa"/>
            <w:vMerge w:val="continue"/>
            <w:vAlign w:val="center"/>
          </w:tcPr>
          <w:p>
            <w:pPr>
              <w:pStyle w:val="50"/>
              <w:spacing w:before="0" w:beforeLines="0"/>
              <w:rPr>
                <w:color w:val="000000" w:themeColor="text1"/>
                <w:szCs w:val="24"/>
                <w14:textFill>
                  <w14:solidFill>
                    <w14:schemeClr w14:val="tx1"/>
                  </w14:solidFill>
                </w14:textFill>
              </w:rPr>
            </w:pPr>
          </w:p>
        </w:tc>
        <w:tc>
          <w:tcPr>
            <w:tcW w:w="198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12月～次年2月</w:t>
            </w:r>
          </w:p>
        </w:tc>
        <w:tc>
          <w:tcPr>
            <w:tcW w:w="841"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0.076</w:t>
            </w:r>
          </w:p>
        </w:tc>
        <w:tc>
          <w:tcPr>
            <w:tcW w:w="830"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0.201</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0.087</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0.056</w:t>
            </w:r>
          </w:p>
        </w:tc>
        <w:tc>
          <w:tcPr>
            <w:tcW w:w="946"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0.035</w:t>
            </w:r>
          </w:p>
        </w:tc>
        <w:tc>
          <w:tcPr>
            <w:tcW w:w="945" w:type="dxa"/>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0.017</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(3)洪水</w:t>
      </w:r>
    </w:p>
    <w:p>
      <w:pPr>
        <w:spacing w:line="520" w:lineRule="exact"/>
        <w:ind w:firstLine="560"/>
        <w:jc w:val="left"/>
        <w:rPr>
          <w:color w:val="000000" w:themeColor="text1"/>
          <w14:textFill>
            <w14:solidFill>
              <w14:schemeClr w14:val="tx1"/>
            </w14:solidFill>
          </w14:textFill>
        </w:rPr>
      </w:pPr>
      <w:r>
        <w:rPr>
          <w:iCs/>
          <w:color w:val="000000" w:themeColor="text1"/>
          <w:szCs w:val="28"/>
          <w14:textFill>
            <w14:solidFill>
              <w14:schemeClr w14:val="tx1"/>
            </w14:solidFill>
          </w14:textFill>
        </w:rPr>
        <w:t>车家河水库流域面积较小，采用推理公式法计算设计洪水。流域无暴雨观测资料，采用《暴雨统计参数图集》查得坝址以上流域重心处的点暴雨统计参数，</w:t>
      </w:r>
      <w:r>
        <w:rPr>
          <w:color w:val="000000" w:themeColor="text1"/>
          <w14:textFill>
            <w14:solidFill>
              <w14:schemeClr w14:val="tx1"/>
            </w14:solidFill>
          </w14:textFill>
        </w:rPr>
        <w:t>根据《省暴雨洪水手册》，集雨面积大于25km²的流域均需考虑点面折减，对于集雨面积大于分区暴雨点面折减上限面积的还需考虑二次折减。设计流域属Ⅱ₁区，6h、24h暴雨点面折减上限面积分别为70km²、110km²。计算得各断面流域面平均暴雨量，见表7.2.2。</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表7.2.2 车家河水库水库各时段年最大暴雨统计参数成果表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时段（h）</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均值（mm）</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Cv</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Cs/Cv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1/6</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15</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0.35</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40</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0.4</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6</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75</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0.47</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24</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120</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0.48</w:t>
            </w:r>
          </w:p>
        </w:tc>
        <w:tc>
          <w:tcPr>
            <w:tcW w:w="1250" w:type="pc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3.5</w:t>
            </w:r>
          </w:p>
        </w:tc>
      </w:tr>
    </w:tbl>
    <w:p>
      <w:pPr>
        <w:spacing w:line="54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设计流域无实测洪水资料，本阶段拟采用推理公式推求，车家河水库坝址以上流域特征参数见表7.2.3。</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表7.2.3  车家河水库流域参数特征值表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adjustRightInd/>
              <w:spacing w:before="120" w:beforeLines="50" w:line="240" w:lineRule="auto"/>
              <w:ind w:firstLine="0" w:firstLineChars="0"/>
              <w:jc w:val="center"/>
              <w:textAlignment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水库</w:t>
            </w:r>
          </w:p>
        </w:tc>
        <w:tc>
          <w:tcPr>
            <w:tcW w:w="1250" w:type="pct"/>
            <w:vAlign w:val="center"/>
          </w:tcPr>
          <w:p>
            <w:pPr>
              <w:adjustRightInd/>
              <w:spacing w:before="120" w:beforeLines="50"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F(k</w:t>
            </w:r>
            <w:r>
              <w:rPr>
                <w:rFonts w:hint="eastAsia" w:eastAsia="宋体"/>
                <w:bCs/>
                <w:color w:val="000000" w:themeColor="text1"/>
                <w:sz w:val="24"/>
                <w14:textFill>
                  <w14:solidFill>
                    <w14:schemeClr w14:val="tx1"/>
                  </w14:solidFill>
                </w14:textFill>
              </w:rPr>
              <w:t>m²</w:t>
            </w:r>
            <w:r>
              <w:rPr>
                <w:rFonts w:eastAsia="宋体"/>
                <w:bCs/>
                <w:color w:val="000000" w:themeColor="text1"/>
                <w:sz w:val="24"/>
                <w14:textFill>
                  <w14:solidFill>
                    <w14:schemeClr w14:val="tx1"/>
                  </w14:solidFill>
                </w14:textFill>
              </w:rPr>
              <w:t>)</w:t>
            </w:r>
          </w:p>
        </w:tc>
        <w:tc>
          <w:tcPr>
            <w:tcW w:w="1250" w:type="pct"/>
            <w:vAlign w:val="center"/>
          </w:tcPr>
          <w:p>
            <w:pPr>
              <w:adjustRightInd/>
              <w:spacing w:before="120" w:beforeLines="50"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L(km)</w:t>
            </w:r>
          </w:p>
        </w:tc>
        <w:tc>
          <w:tcPr>
            <w:tcW w:w="1250" w:type="pct"/>
            <w:vAlign w:val="center"/>
          </w:tcPr>
          <w:p>
            <w:pPr>
              <w:adjustRightInd/>
              <w:spacing w:before="120" w:beforeLines="50"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vAlign w:val="center"/>
          </w:tcPr>
          <w:p>
            <w:pPr>
              <w:adjustRightInd/>
              <w:spacing w:before="120" w:beforeLines="50" w:line="240" w:lineRule="auto"/>
              <w:ind w:firstLine="0" w:firstLineChars="0"/>
              <w:jc w:val="center"/>
              <w:textAlignment w:val="center"/>
              <w:rPr>
                <w:rFonts w:eastAsia="宋体"/>
                <w:b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车家河水库</w:t>
            </w:r>
          </w:p>
        </w:tc>
        <w:tc>
          <w:tcPr>
            <w:tcW w:w="2265" w:type="dxa"/>
            <w:vAlign w:val="center"/>
          </w:tcPr>
          <w:p>
            <w:pPr>
              <w:adjustRightInd/>
              <w:spacing w:before="120" w:beforeLines="50" w:line="240" w:lineRule="auto"/>
              <w:ind w:firstLine="0" w:firstLineChars="0"/>
              <w:jc w:val="center"/>
              <w:textAlignment w:val="center"/>
              <w:rPr>
                <w:rFonts w:eastAsia="宋体"/>
                <w:i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33</w:t>
            </w:r>
          </w:p>
        </w:tc>
        <w:tc>
          <w:tcPr>
            <w:tcW w:w="2265" w:type="dxa"/>
            <w:vAlign w:val="center"/>
          </w:tcPr>
          <w:p>
            <w:pPr>
              <w:adjustRightInd/>
              <w:spacing w:before="120" w:beforeLines="50" w:line="240" w:lineRule="auto"/>
              <w:ind w:firstLine="0" w:firstLineChars="0"/>
              <w:jc w:val="center"/>
              <w:textAlignment w:val="center"/>
              <w:rPr>
                <w:rFonts w:eastAsia="宋体"/>
                <w:i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13.2</w:t>
            </w:r>
          </w:p>
        </w:tc>
        <w:tc>
          <w:tcPr>
            <w:tcW w:w="2265" w:type="dxa"/>
            <w:vAlign w:val="center"/>
          </w:tcPr>
          <w:p>
            <w:pPr>
              <w:adjustRightInd/>
              <w:spacing w:before="120" w:beforeLines="50" w:line="240" w:lineRule="auto"/>
              <w:ind w:firstLine="0" w:firstLineChars="0"/>
              <w:jc w:val="center"/>
              <w:textAlignment w:val="center"/>
              <w:rPr>
                <w:rFonts w:eastAsia="宋体"/>
                <w:iCs/>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22.1</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按《四川省中小流域暴雨洪水计算手册》中的有关综合参数进行计算，推理公式为：</w:t>
      </w:r>
    </w:p>
    <w:p>
      <w:pPr>
        <w:spacing w:line="520" w:lineRule="exact"/>
        <w:ind w:firstLine="560"/>
        <w:rPr>
          <w:iCs/>
          <w:color w:val="000000" w:themeColor="text1"/>
          <w:szCs w:val="28"/>
          <w14:textFill>
            <w14:solidFill>
              <w14:schemeClr w14:val="tx1"/>
            </w14:solidFill>
          </w14:textFill>
        </w:rPr>
      </w:pPr>
      <w:r>
        <w:rPr>
          <w:color w:val="000000" w:themeColor="text1"/>
          <w:szCs w:val="28"/>
          <w14:textFill>
            <w14:solidFill>
              <w14:schemeClr w14:val="tx1"/>
            </w14:solidFill>
          </w14:textFill>
        </w:rPr>
        <w:t>Q=0.278ψ（s/τ</w:t>
      </w:r>
      <w:r>
        <w:rPr>
          <w:color w:val="000000" w:themeColor="text1"/>
          <w:szCs w:val="28"/>
          <w:vertAlign w:val="superscript"/>
          <w14:textFill>
            <w14:solidFill>
              <w14:schemeClr w14:val="tx1"/>
            </w14:solidFill>
          </w14:textFill>
        </w:rPr>
        <w:t>n</w:t>
      </w:r>
      <w:r>
        <w:rPr>
          <w:color w:val="000000" w:themeColor="text1"/>
          <w:szCs w:val="28"/>
          <w14:textFill>
            <w14:solidFill>
              <w14:schemeClr w14:val="tx1"/>
            </w14:solidFill>
          </w14:textFill>
        </w:rPr>
        <w:t>）F</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上式中：Q－最大洪峰流量(</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/s)</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Ψ－洪峰径流系数</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i－最大平均暴雨强度</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S－暴雨雨力，即最大1h暴雨量(mm/h)</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n－暴雨公式指数</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τ－流域汇流时间(h)</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u－产流参数，即产流历时内流域平均入渗强度(mm/h)</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m－汇流参数</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根据设计流域下垫面条件和《四川省中小流域暴雨洪水手册》区划，选取产汇流参数计算公式。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其中流域产流参数属盆地丘陵山区，计算式为：</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μ=4.8F-0.19；Cv=0.18；Cs=3.5Cv</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流域汇流参数属盆地丘陵区，计算式为：</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θ=1～30时，m=0.40θ</w:t>
      </w:r>
      <w:r>
        <w:rPr>
          <w:iCs/>
          <w:color w:val="000000" w:themeColor="text1"/>
          <w:szCs w:val="28"/>
          <w:vertAlign w:val="superscript"/>
          <w14:textFill>
            <w14:solidFill>
              <w14:schemeClr w14:val="tx1"/>
            </w14:solidFill>
          </w14:textFill>
        </w:rPr>
        <w:t>0.204</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θ=30～300时，m=0.092θ</w:t>
      </w:r>
      <w:r>
        <w:rPr>
          <w:iCs/>
          <w:color w:val="000000" w:themeColor="text1"/>
          <w:szCs w:val="28"/>
          <w:vertAlign w:val="superscript"/>
          <w14:textFill>
            <w14:solidFill>
              <w14:schemeClr w14:val="tx1"/>
            </w14:solidFill>
          </w14:textFill>
        </w:rPr>
        <w:t>0.636</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上式中：</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θ－流域特征参数，θ=L/(J</w:t>
      </w:r>
      <w:r>
        <w:rPr>
          <w:iCs/>
          <w:color w:val="000000" w:themeColor="text1"/>
          <w:szCs w:val="28"/>
          <w:vertAlign w:val="superscript"/>
          <w14:textFill>
            <w14:solidFill>
              <w14:schemeClr w14:val="tx1"/>
            </w14:solidFill>
          </w14:textFill>
        </w:rPr>
        <w:t>1/3</w:t>
      </w:r>
      <w:r>
        <w:rPr>
          <w:iCs/>
          <w:color w:val="000000" w:themeColor="text1"/>
          <w:szCs w:val="28"/>
          <w14:textFill>
            <w14:solidFill>
              <w14:schemeClr w14:val="tx1"/>
            </w14:solidFill>
          </w14:textFill>
        </w:rPr>
        <w:t>F</w:t>
      </w:r>
      <w:r>
        <w:rPr>
          <w:iCs/>
          <w:color w:val="000000" w:themeColor="text1"/>
          <w:szCs w:val="28"/>
          <w:vertAlign w:val="superscript"/>
          <w14:textFill>
            <w14:solidFill>
              <w14:schemeClr w14:val="tx1"/>
            </w14:solidFill>
          </w14:textFill>
        </w:rPr>
        <w:t>1/4</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L－河长，km；</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J－比降，‰；</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F－流域面积，k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按照所选取的产汇流计算参数，用推理公式计算各频率设计洪峰流量。经计算，车家河水库工程处洪峰流量成果及主要参数见表7.2.4。</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表7.2.4  车家河水库设计洪峰流量成果表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057"/>
        <w:gridCol w:w="699"/>
        <w:gridCol w:w="754"/>
        <w:gridCol w:w="754"/>
        <w:gridCol w:w="627"/>
        <w:gridCol w:w="627"/>
        <w:gridCol w:w="754"/>
        <w:gridCol w:w="627"/>
        <w:gridCol w:w="711"/>
        <w:gridCol w:w="711"/>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vMerge w:val="restar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水库</w:t>
            </w:r>
          </w:p>
        </w:tc>
        <w:tc>
          <w:tcPr>
            <w:tcW w:w="583" w:type="pct"/>
            <w:vMerge w:val="restart"/>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面积（k</w:t>
            </w:r>
            <w:r>
              <w:rPr>
                <w:rFonts w:hint="eastAsia" w:eastAsia="宋体"/>
                <w:iCs/>
                <w:color w:val="000000" w:themeColor="text1"/>
                <w:sz w:val="24"/>
                <w14:textFill>
                  <w14:solidFill>
                    <w14:schemeClr w14:val="tx1"/>
                  </w14:solidFill>
                </w14:textFill>
              </w:rPr>
              <w:t>m²</w:t>
            </w:r>
            <w:r>
              <w:rPr>
                <w:rFonts w:eastAsia="宋体"/>
                <w:iCs/>
                <w:color w:val="000000" w:themeColor="text1"/>
                <w:sz w:val="24"/>
                <w14:textFill>
                  <w14:solidFill>
                    <w14:schemeClr w14:val="tx1"/>
                  </w14:solidFill>
                </w14:textFill>
              </w:rPr>
              <w:t>）</w:t>
            </w:r>
          </w:p>
        </w:tc>
        <w:tc>
          <w:tcPr>
            <w:tcW w:w="3852" w:type="pct"/>
            <w:gridSpan w:val="10"/>
            <w:vAlign w:val="center"/>
          </w:tcPr>
          <w:p>
            <w:pPr>
              <w:spacing w:line="240" w:lineRule="auto"/>
              <w:ind w:firstLine="0" w:firstLineChars="0"/>
              <w:jc w:val="center"/>
              <w:rPr>
                <w:rFonts w:eastAsia="宋体"/>
                <w:iCs/>
                <w:color w:val="000000" w:themeColor="text1"/>
                <w:sz w:val="24"/>
                <w14:textFill>
                  <w14:solidFill>
                    <w14:schemeClr w14:val="tx1"/>
                  </w14:solidFill>
                </w14:textFill>
              </w:rPr>
            </w:pPr>
            <w:r>
              <w:rPr>
                <w:rFonts w:eastAsia="宋体"/>
                <w:iCs/>
                <w:color w:val="000000" w:themeColor="text1"/>
                <w:sz w:val="24"/>
                <w14:textFill>
                  <w14:solidFill>
                    <w14:schemeClr w14:val="tx1"/>
                  </w14:solidFill>
                </w14:textFill>
              </w:rPr>
              <w:t>各频率设计值Qp（</w:t>
            </w:r>
            <w:r>
              <w:rPr>
                <w:rFonts w:hint="eastAsia" w:eastAsia="宋体"/>
                <w:iCs/>
                <w:color w:val="000000" w:themeColor="text1"/>
                <w:sz w:val="24"/>
                <w14:textFill>
                  <w14:solidFill>
                    <w14:schemeClr w14:val="tx1"/>
                  </w14:solidFill>
                </w14:textFill>
              </w:rPr>
              <w:t>m³</w:t>
            </w:r>
            <w:r>
              <w:rPr>
                <w:rFonts w:eastAsia="宋体"/>
                <w:iCs/>
                <w:color w:val="000000" w:themeColor="text1"/>
                <w:sz w:val="24"/>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583" w:type="pct"/>
            <w:vMerge w:val="continue"/>
            <w:vAlign w:val="center"/>
          </w:tcPr>
          <w:p>
            <w:pPr>
              <w:spacing w:line="240" w:lineRule="auto"/>
              <w:ind w:firstLine="0" w:firstLineChars="0"/>
              <w:jc w:val="center"/>
              <w:rPr>
                <w:rFonts w:eastAsia="宋体"/>
                <w:iCs/>
                <w:color w:val="000000" w:themeColor="text1"/>
                <w:sz w:val="24"/>
                <w14:textFill>
                  <w14:solidFill>
                    <w14:schemeClr w14:val="tx1"/>
                  </w14:solidFill>
                </w14:textFill>
              </w:rPr>
            </w:pPr>
          </w:p>
        </w:tc>
        <w:tc>
          <w:tcPr>
            <w:tcW w:w="38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=0.05%</w:t>
            </w:r>
          </w:p>
        </w:tc>
        <w:tc>
          <w:tcPr>
            <w:tcW w:w="41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=0.1%</w:t>
            </w:r>
          </w:p>
        </w:tc>
        <w:tc>
          <w:tcPr>
            <w:tcW w:w="41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=0.2%</w:t>
            </w:r>
          </w:p>
        </w:tc>
        <w:tc>
          <w:tcPr>
            <w:tcW w:w="34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=1%</w:t>
            </w:r>
          </w:p>
        </w:tc>
        <w:tc>
          <w:tcPr>
            <w:tcW w:w="34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=2%</w:t>
            </w:r>
          </w:p>
        </w:tc>
        <w:tc>
          <w:tcPr>
            <w:tcW w:w="41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=3.3%</w:t>
            </w:r>
          </w:p>
        </w:tc>
        <w:tc>
          <w:tcPr>
            <w:tcW w:w="346"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=5%</w:t>
            </w:r>
          </w:p>
        </w:tc>
        <w:tc>
          <w:tcPr>
            <w:tcW w:w="392"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=10%</w:t>
            </w:r>
          </w:p>
        </w:tc>
        <w:tc>
          <w:tcPr>
            <w:tcW w:w="392"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=20%</w:t>
            </w:r>
          </w:p>
        </w:tc>
        <w:tc>
          <w:tcPr>
            <w:tcW w:w="391" w:type="pct"/>
            <w:vAlign w:val="center"/>
          </w:tcPr>
          <w:p>
            <w:pPr>
              <w:spacing w:line="240" w:lineRule="auto"/>
              <w:ind w:firstLine="0" w:firstLineChars="0"/>
              <w:jc w:val="center"/>
              <w:rPr>
                <w:rFonts w:eastAsia="宋体"/>
                <w:i/>
                <w:iCs/>
                <w:color w:val="000000" w:themeColor="text1"/>
                <w:sz w:val="24"/>
                <w14:textFill>
                  <w14:solidFill>
                    <w14:schemeClr w14:val="tx1"/>
                  </w14:solidFill>
                </w14:textFill>
              </w:rPr>
            </w:pPr>
            <w:r>
              <w:rPr>
                <w:rFonts w:eastAsia="宋体"/>
                <w:i/>
                <w:iCs/>
                <w:color w:val="000000" w:themeColor="text1"/>
                <w:sz w:val="24"/>
                <w14:textFill>
                  <w14:solidFill>
                    <w14:schemeClr w14:val="tx1"/>
                  </w14:solidFill>
                </w14:textFill>
              </w:rPr>
              <w:t>p</w:t>
            </w:r>
            <w:r>
              <w:rPr>
                <w:rFonts w:eastAsia="宋体"/>
                <w:iCs/>
                <w:color w:val="000000" w:themeColor="text1"/>
                <w:sz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车家河水库</w:t>
            </w:r>
          </w:p>
        </w:tc>
        <w:tc>
          <w:tcPr>
            <w:tcW w:w="1058"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36</w:t>
            </w:r>
          </w:p>
        </w:tc>
        <w:tc>
          <w:tcPr>
            <w:tcW w:w="700"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636</w:t>
            </w:r>
          </w:p>
        </w:tc>
        <w:tc>
          <w:tcPr>
            <w:tcW w:w="754"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582</w:t>
            </w:r>
          </w:p>
        </w:tc>
        <w:tc>
          <w:tcPr>
            <w:tcW w:w="754"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527</w:t>
            </w:r>
          </w:p>
        </w:tc>
        <w:tc>
          <w:tcPr>
            <w:tcW w:w="628"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402</w:t>
            </w:r>
          </w:p>
        </w:tc>
        <w:tc>
          <w:tcPr>
            <w:tcW w:w="628"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350</w:t>
            </w:r>
          </w:p>
        </w:tc>
        <w:tc>
          <w:tcPr>
            <w:tcW w:w="754"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310</w:t>
            </w:r>
          </w:p>
        </w:tc>
        <w:tc>
          <w:tcPr>
            <w:tcW w:w="628"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279</w:t>
            </w:r>
          </w:p>
        </w:tc>
        <w:tc>
          <w:tcPr>
            <w:tcW w:w="712"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226</w:t>
            </w:r>
          </w:p>
        </w:tc>
        <w:tc>
          <w:tcPr>
            <w:tcW w:w="712"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173</w:t>
            </w:r>
          </w:p>
        </w:tc>
        <w:tc>
          <w:tcPr>
            <w:tcW w:w="710" w:type="dxa"/>
            <w:noWrap/>
            <w:vAlign w:val="center"/>
          </w:tcPr>
          <w:p>
            <w:pPr>
              <w:pStyle w:val="50"/>
              <w:spacing w:before="0" w:beforeLines="0"/>
              <w:rPr>
                <w:color w:val="000000" w:themeColor="text1"/>
                <w:szCs w:val="24"/>
                <w14:textFill>
                  <w14:solidFill>
                    <w14:schemeClr w14:val="tx1"/>
                  </w14:solidFill>
                </w14:textFill>
              </w:rPr>
            </w:pPr>
            <w:r>
              <w:rPr>
                <w:color w:val="000000" w:themeColor="text1"/>
                <w:szCs w:val="24"/>
                <w14:textFill>
                  <w14:solidFill>
                    <w14:schemeClr w14:val="tx1"/>
                  </w14:solidFill>
                </w14:textFill>
              </w:rPr>
              <w:t>101</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(4) 泥沙</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 沙来源及特性</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河流的泥沙来源及产沙特性与其自然地理情况有着密切的关系，车家河水库库区为浅切低山河谷，由于库区内人口众多，较之森林覆盖率低，农耕发达，壤土裸露，部分耕地坡度较大，时有山体坍塌发生，泥沙来源条件较为有利，遇到大雨或暴雨时，泥沙被携带入槽，形成泥沙主要的来源。</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 悬移质泥沙</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由于设计流域无实测泥沙资料，本阶段采用《四川省水文手册》多年平均悬移质输沙模数等值线图，由此查得本流域重心处多年平均悬移质输沙模数为500t/k</w:t>
      </w:r>
      <w:r>
        <w:rPr>
          <w:rFonts w:hint="eastAsia"/>
          <w:iCs/>
          <w:color w:val="000000" w:themeColor="text1"/>
          <w:szCs w:val="28"/>
          <w14:textFill>
            <w14:solidFill>
              <w14:schemeClr w14:val="tx1"/>
            </w14:solidFill>
          </w14:textFill>
        </w:rPr>
        <w:t>m²</w:t>
      </w:r>
      <w:r>
        <w:rPr>
          <w:iCs/>
          <w:color w:val="000000" w:themeColor="text1"/>
          <w:szCs w:val="28"/>
          <w14:textFill>
            <w14:solidFill>
              <w14:schemeClr w14:val="tx1"/>
            </w14:solidFill>
          </w14:textFill>
        </w:rPr>
        <w:t>，则车家河水库坝址处多年平均悬移质输沙量分别为1.98万t。</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表7.2.5  车家河水库泥沙成果表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905"/>
        <w:gridCol w:w="1193"/>
        <w:gridCol w:w="1670"/>
        <w:gridCol w:w="1670"/>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89"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水库</w:t>
            </w:r>
          </w:p>
        </w:tc>
        <w:tc>
          <w:tcPr>
            <w:tcW w:w="1051"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悬移质输沙模数</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（t/k</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tc>
        <w:tc>
          <w:tcPr>
            <w:tcW w:w="658"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流量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/s）</w:t>
            </w:r>
          </w:p>
        </w:tc>
        <w:tc>
          <w:tcPr>
            <w:tcW w:w="921"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悬移质输沙量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（万t）</w:t>
            </w:r>
          </w:p>
        </w:tc>
        <w:tc>
          <w:tcPr>
            <w:tcW w:w="921"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推移质输沙量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（万t）</w:t>
            </w:r>
          </w:p>
        </w:tc>
        <w:tc>
          <w:tcPr>
            <w:tcW w:w="657" w:type="pct"/>
            <w:vAlign w:val="center"/>
          </w:tcPr>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多年平均</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输沙总量</w:t>
            </w:r>
          </w:p>
          <w:p>
            <w:pPr>
              <w:pStyle w:val="50"/>
              <w:spacing w:before="0" w:beforeLines="0"/>
              <w:rPr>
                <w:color w:val="000000" w:themeColor="text1"/>
                <w14:textFill>
                  <w14:solidFill>
                    <w14:schemeClr w14:val="tx1"/>
                  </w14:solidFill>
                </w14:textFill>
              </w:rPr>
            </w:pPr>
            <w:r>
              <w:rPr>
                <w:color w:val="000000" w:themeColor="text1"/>
                <w14:textFill>
                  <w14:solidFill>
                    <w14:schemeClr w14:val="tx1"/>
                  </w14:solidFill>
                </w14:textFill>
              </w:rPr>
              <w:t>（万t）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89" w:type="pct"/>
            <w:vAlign w:val="center"/>
          </w:tcPr>
          <w:p>
            <w:pPr>
              <w:pStyle w:val="50"/>
              <w:spacing w:before="0" w:beforeLines="0"/>
              <w:rPr>
                <w:color w:val="000000" w:themeColor="text1"/>
                <w:lang w:bidi="ar"/>
                <w14:textFill>
                  <w14:solidFill>
                    <w14:schemeClr w14:val="tx1"/>
                  </w14:solidFill>
                </w14:textFill>
              </w:rPr>
            </w:pPr>
            <w:r>
              <w:rPr>
                <w:color w:val="000000" w:themeColor="text1"/>
                <w:lang w:bidi="ar"/>
                <w14:textFill>
                  <w14:solidFill>
                    <w14:schemeClr w14:val="tx1"/>
                  </w14:solidFill>
                </w14:textFill>
              </w:rPr>
              <w:t>车家河水库</w:t>
            </w:r>
          </w:p>
        </w:tc>
        <w:tc>
          <w:tcPr>
            <w:tcW w:w="1051" w:type="pct"/>
            <w:vAlign w:val="center"/>
          </w:tcPr>
          <w:p>
            <w:pPr>
              <w:pStyle w:val="50"/>
              <w:spacing w:before="0" w:beforeLines="0"/>
              <w:rPr>
                <w:color w:val="000000" w:themeColor="text1"/>
                <w:sz w:val="22"/>
                <w14:textFill>
                  <w14:solidFill>
                    <w14:schemeClr w14:val="tx1"/>
                  </w14:solidFill>
                </w14:textFill>
              </w:rPr>
            </w:pPr>
            <w:r>
              <w:rPr>
                <w:color w:val="000000" w:themeColor="text1"/>
                <w:sz w:val="22"/>
                <w14:textFill>
                  <w14:solidFill>
                    <w14:schemeClr w14:val="tx1"/>
                  </w14:solidFill>
                </w14:textFill>
              </w:rPr>
              <w:t>500</w:t>
            </w:r>
          </w:p>
        </w:tc>
        <w:tc>
          <w:tcPr>
            <w:tcW w:w="1192" w:type="dxa"/>
            <w:vAlign w:val="center"/>
          </w:tcPr>
          <w:p>
            <w:pPr>
              <w:pStyle w:val="50"/>
              <w:spacing w:before="0" w:beforeLines="0"/>
              <w:rPr>
                <w:color w:val="000000" w:themeColor="text1"/>
                <w:sz w:val="22"/>
                <w14:textFill>
                  <w14:solidFill>
                    <w14:schemeClr w14:val="tx1"/>
                  </w14:solidFill>
                </w14:textFill>
              </w:rPr>
            </w:pPr>
            <w:r>
              <w:rPr>
                <w:color w:val="000000" w:themeColor="text1"/>
                <w:sz w:val="22"/>
                <w14:textFill>
                  <w14:solidFill>
                    <w14:schemeClr w14:val="tx1"/>
                  </w14:solidFill>
                </w14:textFill>
              </w:rPr>
              <w:t>0.594</w:t>
            </w:r>
          </w:p>
        </w:tc>
        <w:tc>
          <w:tcPr>
            <w:tcW w:w="1671" w:type="dxa"/>
            <w:vAlign w:val="center"/>
          </w:tcPr>
          <w:p>
            <w:pPr>
              <w:pStyle w:val="50"/>
              <w:spacing w:before="0" w:beforeLines="0"/>
              <w:rPr>
                <w:color w:val="000000" w:themeColor="text1"/>
                <w:sz w:val="22"/>
                <w14:textFill>
                  <w14:solidFill>
                    <w14:schemeClr w14:val="tx1"/>
                  </w14:solidFill>
                </w14:textFill>
              </w:rPr>
            </w:pPr>
            <w:r>
              <w:rPr>
                <w:color w:val="000000" w:themeColor="text1"/>
                <w:sz w:val="22"/>
                <w14:textFill>
                  <w14:solidFill>
                    <w14:schemeClr w14:val="tx1"/>
                  </w14:solidFill>
                </w14:textFill>
              </w:rPr>
              <w:t>1.65</w:t>
            </w:r>
          </w:p>
        </w:tc>
        <w:tc>
          <w:tcPr>
            <w:tcW w:w="1671" w:type="dxa"/>
            <w:vAlign w:val="center"/>
          </w:tcPr>
          <w:p>
            <w:pPr>
              <w:pStyle w:val="50"/>
              <w:spacing w:before="0" w:beforeLines="0"/>
              <w:rPr>
                <w:color w:val="000000" w:themeColor="text1"/>
                <w:sz w:val="22"/>
                <w14:textFill>
                  <w14:solidFill>
                    <w14:schemeClr w14:val="tx1"/>
                  </w14:solidFill>
                </w14:textFill>
              </w:rPr>
            </w:pPr>
            <w:r>
              <w:rPr>
                <w:color w:val="000000" w:themeColor="text1"/>
                <w:sz w:val="22"/>
                <w14:textFill>
                  <w14:solidFill>
                    <w14:schemeClr w14:val="tx1"/>
                  </w14:solidFill>
                </w14:textFill>
              </w:rPr>
              <w:t>0.33</w:t>
            </w:r>
          </w:p>
        </w:tc>
        <w:tc>
          <w:tcPr>
            <w:tcW w:w="1190" w:type="dxa"/>
            <w:vAlign w:val="center"/>
          </w:tcPr>
          <w:p>
            <w:pPr>
              <w:pStyle w:val="50"/>
              <w:spacing w:before="0" w:beforeLines="0"/>
              <w:rPr>
                <w:color w:val="000000" w:themeColor="text1"/>
                <w:sz w:val="22"/>
                <w14:textFill>
                  <w14:solidFill>
                    <w14:schemeClr w14:val="tx1"/>
                  </w14:solidFill>
                </w14:textFill>
              </w:rPr>
            </w:pPr>
            <w:r>
              <w:rPr>
                <w:color w:val="000000" w:themeColor="text1"/>
                <w:sz w:val="22"/>
                <w14:textFill>
                  <w14:solidFill>
                    <w14:schemeClr w14:val="tx1"/>
                  </w14:solidFill>
                </w14:textFill>
              </w:rPr>
              <w:t>1.98</w:t>
            </w:r>
          </w:p>
        </w:tc>
      </w:tr>
    </w:tbl>
    <w:p>
      <w:pPr>
        <w:pStyle w:val="5"/>
        <w:rPr>
          <w:rFonts w:ascii="Times New Roman" w:hAnsi="Times New Roman"/>
          <w:color w:val="000000" w:themeColor="text1"/>
          <w14:textFill>
            <w14:solidFill>
              <w14:schemeClr w14:val="tx1"/>
            </w14:solidFill>
          </w14:textFill>
        </w:rPr>
      </w:pPr>
      <w:bookmarkStart w:id="310" w:name="_Toc12677"/>
      <w:r>
        <w:rPr>
          <w:rFonts w:ascii="Times New Roman" w:hAnsi="Times New Roman"/>
          <w:color w:val="000000" w:themeColor="text1"/>
          <w14:textFill>
            <w14:solidFill>
              <w14:schemeClr w14:val="tx1"/>
            </w14:solidFill>
          </w14:textFill>
        </w:rPr>
        <w:t>7.2.3  工程规模</w:t>
      </w:r>
      <w:bookmarkEnd w:id="310"/>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1开发任务</w:t>
      </w:r>
    </w:p>
    <w:p>
      <w:pPr>
        <w:pStyle w:val="51"/>
        <w:spacing w:line="520" w:lineRule="exact"/>
        <w:ind w:firstLine="560"/>
        <w:rPr>
          <w:rFonts w:cs="Times New Roman"/>
          <w:iCs/>
          <w:color w:val="000000" w:themeColor="text1"/>
          <w:spacing w:val="0"/>
          <w:szCs w:val="28"/>
          <w14:textFill>
            <w14:solidFill>
              <w14:schemeClr w14:val="tx1"/>
            </w14:solidFill>
          </w14:textFill>
        </w:rPr>
      </w:pPr>
      <w:r>
        <w:rPr>
          <w:rFonts w:cs="Times New Roman"/>
          <w:iCs/>
          <w:color w:val="000000" w:themeColor="text1"/>
          <w:spacing w:val="0"/>
          <w:szCs w:val="28"/>
          <w14:textFill>
            <w14:solidFill>
              <w14:schemeClr w14:val="tx1"/>
            </w14:solidFill>
          </w14:textFill>
        </w:rPr>
        <w:t>车家河水库开发任务是以灌溉、乡镇供水为主，兼顾改善环境等综合利用。</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2 供水范围</w:t>
      </w:r>
    </w:p>
    <w:p>
      <w:pPr>
        <w:pStyle w:val="51"/>
        <w:spacing w:line="520" w:lineRule="exact"/>
        <w:ind w:firstLine="560"/>
        <w:rPr>
          <w:rFonts w:cs="Times New Roman"/>
          <w:iCs/>
          <w:color w:val="000000" w:themeColor="text1"/>
          <w:spacing w:val="0"/>
          <w:szCs w:val="28"/>
          <w14:textFill>
            <w14:solidFill>
              <w14:schemeClr w14:val="tx1"/>
            </w14:solidFill>
          </w14:textFill>
        </w:rPr>
      </w:pPr>
      <w:r>
        <w:rPr>
          <w:rFonts w:cs="Times New Roman"/>
          <w:iCs/>
          <w:color w:val="000000" w:themeColor="text1"/>
          <w:spacing w:val="0"/>
          <w:szCs w:val="28"/>
          <w14:textFill>
            <w14:solidFill>
              <w14:schemeClr w14:val="tx1"/>
            </w14:solidFill>
          </w14:textFill>
        </w:rPr>
        <w:t>建成后将主要解决引水沿线梓桐镇、北山镇、碑庙镇、江陵镇的生活饮用水及灌溉用水问题。</w:t>
      </w:r>
    </w:p>
    <w:p>
      <w:pPr>
        <w:adjustRightInd/>
        <w:snapToGrid/>
        <w:spacing w:line="520" w:lineRule="exact"/>
        <w:ind w:firstLine="562"/>
        <w:rPr>
          <w:b/>
          <w:color w:val="000000" w:themeColor="text1"/>
          <w14:textFill>
            <w14:solidFill>
              <w14:schemeClr w14:val="tx1"/>
            </w14:solidFill>
          </w14:textFill>
        </w:rPr>
      </w:pPr>
      <w:r>
        <w:rPr>
          <w:b/>
          <w:color w:val="000000" w:themeColor="text1"/>
          <w14:textFill>
            <w14:solidFill>
              <w14:schemeClr w14:val="tx1"/>
            </w14:solidFill>
          </w14:textFill>
        </w:rPr>
        <w:t>3水库供水范围内需水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1）灌溉需水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（1）灌溉面积</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根据本次规划，车家河水库控灌灌溉面积3.4万亩。</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（2）灌溉定额</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依据灌区内的田土规划及种植规划，规划水平年2035年达到建设节水型灌区的设计要求，分析确定灌区</w:t>
      </w:r>
      <w:r>
        <w:rPr>
          <w:color w:val="000000" w:themeColor="text1"/>
          <w:szCs w:val="28"/>
          <w14:textFill>
            <w14:solidFill>
              <w14:schemeClr w14:val="tx1"/>
            </w14:solidFill>
          </w14:textFill>
        </w:rPr>
        <w:t>1971年6月～2013年5月共42年</w:t>
      </w:r>
      <w:r>
        <w:rPr>
          <w:iCs/>
          <w:color w:val="000000" w:themeColor="text1"/>
          <w:szCs w:val="28"/>
          <w14:textFill>
            <w14:solidFill>
              <w14:schemeClr w14:val="tx1"/>
            </w14:solidFill>
          </w14:textFill>
        </w:rPr>
        <w:t>系列的田土综合灌溉定额为160</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/亩。</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（3）灌溉需水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灌溉净需水由灌溉面积乘以综合灌溉过程线推求。经计算，2035水平年，车家河水库灌区多年平均净需水量为544万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，毛需水量777万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2）乡镇生产生活及农村用水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（1）人口与牲畜发展预测</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水库涉及乡镇为梓桐镇、北山镇、碑庙镇、江陵镇4个乡镇，本次社会经济预测人口、产值与牲畜增长率与4.1节全区国民经济发展预测一致。</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到2035年，灌区内供水人口3.78万人，其中城镇人口0.61万人；灌区范围内GDP由现状的4.29亿元增长到10.09亿元；牲畜总头数由现状5.65万头增加到5.68万头，不同水平年人口、牲畜数量发展预测成果详见表7.2.6。</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表7.2.6  车家河水库灌区不同水平年社会经济预测结果表</w:t>
      </w:r>
    </w:p>
    <w:tbl>
      <w:tblPr>
        <w:tblStyle w:val="40"/>
        <w:tblW w:w="4998" w:type="pct"/>
        <w:tblInd w:w="0" w:type="dxa"/>
        <w:tblLayout w:type="autofit"/>
        <w:tblCellMar>
          <w:top w:w="0" w:type="dxa"/>
          <w:left w:w="0" w:type="dxa"/>
          <w:bottom w:w="0" w:type="dxa"/>
          <w:right w:w="0" w:type="dxa"/>
        </w:tblCellMar>
      </w:tblPr>
      <w:tblGrid>
        <w:gridCol w:w="510"/>
        <w:gridCol w:w="696"/>
        <w:gridCol w:w="696"/>
        <w:gridCol w:w="699"/>
        <w:gridCol w:w="750"/>
        <w:gridCol w:w="697"/>
        <w:gridCol w:w="697"/>
        <w:gridCol w:w="697"/>
        <w:gridCol w:w="697"/>
        <w:gridCol w:w="707"/>
        <w:gridCol w:w="697"/>
        <w:gridCol w:w="697"/>
        <w:gridCol w:w="630"/>
      </w:tblGrid>
      <w:tr>
        <w:tblPrEx>
          <w:tblCellMar>
            <w:top w:w="0" w:type="dxa"/>
            <w:left w:w="0" w:type="dxa"/>
            <w:bottom w:w="0" w:type="dxa"/>
            <w:right w:w="0" w:type="dxa"/>
          </w:tblCellMar>
        </w:tblPrEx>
        <w:trPr>
          <w:trHeight w:val="397" w:hRule="atLeast"/>
        </w:trPr>
        <w:tc>
          <w:tcPr>
            <w:tcW w:w="282"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水平年</w:t>
            </w:r>
          </w:p>
        </w:tc>
        <w:tc>
          <w:tcPr>
            <w:tcW w:w="1190"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人口</w:t>
            </w:r>
          </w:p>
        </w:tc>
        <w:tc>
          <w:tcPr>
            <w:tcW w:w="2382" w:type="pct"/>
            <w:gridSpan w:val="6"/>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GDP（万元）</w:t>
            </w:r>
          </w:p>
        </w:tc>
        <w:tc>
          <w:tcPr>
            <w:tcW w:w="1144"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牲畜头数（头）</w:t>
            </w:r>
          </w:p>
        </w:tc>
      </w:tr>
      <w:tr>
        <w:tblPrEx>
          <w:tblCellMar>
            <w:top w:w="0" w:type="dxa"/>
            <w:left w:w="0" w:type="dxa"/>
            <w:bottom w:w="0" w:type="dxa"/>
            <w:right w:w="0" w:type="dxa"/>
          </w:tblCellMar>
        </w:tblPrEx>
        <w:trPr>
          <w:trHeight w:val="397" w:hRule="atLeast"/>
        </w:trPr>
        <w:tc>
          <w:tcPr>
            <w:tcW w:w="282"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总人口</w:t>
            </w:r>
          </w:p>
        </w:tc>
        <w:tc>
          <w:tcPr>
            <w:tcW w:w="3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城镇</w:t>
            </w:r>
          </w:p>
        </w:tc>
        <w:tc>
          <w:tcPr>
            <w:tcW w:w="397"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一产</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二产</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#工业</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#建筑业</w:t>
            </w:r>
          </w:p>
        </w:tc>
        <w:tc>
          <w:tcPr>
            <w:tcW w:w="3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三产</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39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#大</w:t>
            </w:r>
          </w:p>
        </w:tc>
        <w:tc>
          <w:tcPr>
            <w:tcW w:w="35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bottom"/>
          </w:tcPr>
          <w:p>
            <w:pPr>
              <w:widowControl/>
              <w:spacing w:line="240" w:lineRule="auto"/>
              <w:ind w:firstLine="0" w:firstLineChars="0"/>
              <w:jc w:val="center"/>
              <w:textAlignment w:val="bottom"/>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w:t>
            </w:r>
          </w:p>
        </w:tc>
      </w:tr>
      <w:tr>
        <w:tblPrEx>
          <w:tblCellMar>
            <w:top w:w="0" w:type="dxa"/>
            <w:left w:w="0" w:type="dxa"/>
            <w:bottom w:w="0" w:type="dxa"/>
            <w:right w:w="0" w:type="dxa"/>
          </w:tblCellMar>
        </w:tblPrEx>
        <w:trPr>
          <w:trHeight w:val="397" w:hRule="atLeast"/>
        </w:trPr>
        <w:tc>
          <w:tcPr>
            <w:tcW w:w="282"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2020</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33656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3441 </w:t>
            </w:r>
          </w:p>
        </w:tc>
        <w:tc>
          <w:tcPr>
            <w:tcW w:w="70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30215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42949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29418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4731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3990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741 </w:t>
            </w:r>
          </w:p>
        </w:tc>
        <w:tc>
          <w:tcPr>
            <w:tcW w:w="71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8800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56509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6375 </w:t>
            </w:r>
          </w:p>
        </w:tc>
        <w:tc>
          <w:tcPr>
            <w:tcW w:w="62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50134 </w:t>
            </w:r>
          </w:p>
        </w:tc>
      </w:tr>
      <w:tr>
        <w:tblPrEx>
          <w:tblCellMar>
            <w:top w:w="0" w:type="dxa"/>
            <w:left w:w="0" w:type="dxa"/>
            <w:bottom w:w="0" w:type="dxa"/>
            <w:right w:w="0" w:type="dxa"/>
          </w:tblCellMar>
        </w:tblPrEx>
        <w:trPr>
          <w:trHeight w:val="397" w:hRule="atLeast"/>
        </w:trPr>
        <w:tc>
          <w:tcPr>
            <w:tcW w:w="282"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2025</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35587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4350 </w:t>
            </w:r>
          </w:p>
        </w:tc>
        <w:tc>
          <w:tcPr>
            <w:tcW w:w="70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31237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63968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38711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8108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6838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1270 </w:t>
            </w:r>
          </w:p>
        </w:tc>
        <w:tc>
          <w:tcPr>
            <w:tcW w:w="71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17148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56644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6510 </w:t>
            </w:r>
          </w:p>
        </w:tc>
        <w:tc>
          <w:tcPr>
            <w:tcW w:w="62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50134 </w:t>
            </w:r>
          </w:p>
        </w:tc>
      </w:tr>
      <w:tr>
        <w:tblPrEx>
          <w:tblCellMar>
            <w:top w:w="0" w:type="dxa"/>
            <w:left w:w="0" w:type="dxa"/>
            <w:bottom w:w="0" w:type="dxa"/>
            <w:right w:w="0" w:type="dxa"/>
          </w:tblCellMar>
        </w:tblPrEx>
        <w:trPr>
          <w:trHeight w:val="397" w:hRule="atLeast"/>
        </w:trPr>
        <w:tc>
          <w:tcPr>
            <w:tcW w:w="282" w:type="pc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2035</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37780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6130 </w:t>
            </w:r>
          </w:p>
        </w:tc>
        <w:tc>
          <w:tcPr>
            <w:tcW w:w="70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31651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100868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53300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13849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11680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2169 </w:t>
            </w:r>
          </w:p>
        </w:tc>
        <w:tc>
          <w:tcPr>
            <w:tcW w:w="71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33719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56842 </w:t>
            </w:r>
          </w:p>
        </w:tc>
        <w:tc>
          <w:tcPr>
            <w:tcW w:w="70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6708 </w:t>
            </w:r>
          </w:p>
        </w:tc>
        <w:tc>
          <w:tcPr>
            <w:tcW w:w="625"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50134 </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（2）需水量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车家河水库灌区需水定额指标与4.3.1节定额成果一致，定额指标如下表7.2.7。</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表7.2.7  车家河水库定额成果表</w:t>
      </w:r>
    </w:p>
    <w:tbl>
      <w:tblPr>
        <w:tblStyle w:val="41"/>
        <w:tblW w:w="8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335"/>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水平年</w:t>
            </w:r>
          </w:p>
        </w:tc>
        <w:tc>
          <w:tcPr>
            <w:tcW w:w="2415" w:type="dxa"/>
            <w:gridSpan w:val="2"/>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居民生活净定额（L/p</w:t>
            </w:r>
            <w:r>
              <w:rPr>
                <w:rFonts w:hint="eastAsia" w:ascii="宋体" w:hAnsi="宋体" w:eastAsia="宋体"/>
                <w:color w:val="000000" w:themeColor="text1"/>
                <w:kern w:val="0"/>
                <w:sz w:val="24"/>
                <w:lang w:bidi="ar"/>
                <w14:textFill>
                  <w14:solidFill>
                    <w14:schemeClr w14:val="tx1"/>
                  </w14:solidFill>
                </w14:textFill>
              </w:rPr>
              <w:t>·</w:t>
            </w:r>
            <w:r>
              <w:rPr>
                <w:rFonts w:eastAsia="宋体"/>
                <w:color w:val="000000" w:themeColor="text1"/>
                <w:kern w:val="0"/>
                <w:sz w:val="24"/>
                <w:lang w:bidi="ar"/>
                <w14:textFill>
                  <w14:solidFill>
                    <w14:schemeClr w14:val="tx1"/>
                  </w14:solidFill>
                </w14:textFill>
              </w:rPr>
              <w:t>d）</w:t>
            </w:r>
          </w:p>
        </w:tc>
        <w:tc>
          <w:tcPr>
            <w:tcW w:w="5400" w:type="dxa"/>
            <w:gridSpan w:val="5"/>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生产需水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335" w:type="dxa"/>
            <w:vMerge w:val="restart"/>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乡镇</w:t>
            </w:r>
          </w:p>
        </w:tc>
        <w:tc>
          <w:tcPr>
            <w:tcW w:w="1080" w:type="dxa"/>
            <w:vMerge w:val="restart"/>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w:t>
            </w:r>
          </w:p>
        </w:tc>
        <w:tc>
          <w:tcPr>
            <w:tcW w:w="3240" w:type="dxa"/>
            <w:gridSpan w:val="3"/>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城镇生产</w:t>
            </w:r>
          </w:p>
        </w:tc>
        <w:tc>
          <w:tcPr>
            <w:tcW w:w="2160" w:type="dxa"/>
            <w:gridSpan w:val="2"/>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335"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restart"/>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工业</w:t>
            </w:r>
          </w:p>
        </w:tc>
        <w:tc>
          <w:tcPr>
            <w:tcW w:w="1080" w:type="dxa"/>
            <w:vMerge w:val="restart"/>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建筑业</w:t>
            </w:r>
          </w:p>
        </w:tc>
        <w:tc>
          <w:tcPr>
            <w:tcW w:w="1080" w:type="dxa"/>
            <w:vMerge w:val="restart"/>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三产</w:t>
            </w:r>
          </w:p>
        </w:tc>
        <w:tc>
          <w:tcPr>
            <w:tcW w:w="2160" w:type="dxa"/>
            <w:gridSpan w:val="2"/>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牲畜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335"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vMerge w:val="continue"/>
          </w:tcPr>
          <w:p>
            <w:pPr>
              <w:spacing w:line="240" w:lineRule="auto"/>
              <w:ind w:firstLine="0" w:firstLineChars="0"/>
              <w:jc w:val="center"/>
              <w:rPr>
                <w:rFonts w:eastAsia="宋体"/>
                <w:color w:val="000000" w:themeColor="text1"/>
                <w:sz w:val="24"/>
                <w14:textFill>
                  <w14:solidFill>
                    <w14:schemeClr w14:val="tx1"/>
                  </w14:solidFill>
                </w14:textFill>
              </w:rPr>
            </w:pP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大</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2020</w:t>
            </w:r>
          </w:p>
        </w:tc>
        <w:tc>
          <w:tcPr>
            <w:tcW w:w="1335"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80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35</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18</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30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2025</w:t>
            </w:r>
          </w:p>
        </w:tc>
        <w:tc>
          <w:tcPr>
            <w:tcW w:w="1335"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25</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12</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7</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2035</w:t>
            </w:r>
          </w:p>
        </w:tc>
        <w:tc>
          <w:tcPr>
            <w:tcW w:w="1335"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150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90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14</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6</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40</w:t>
            </w:r>
          </w:p>
        </w:tc>
        <w:tc>
          <w:tcPr>
            <w:tcW w:w="1080" w:type="dxa"/>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w:t>
            </w:r>
          </w:p>
        </w:tc>
      </w:tr>
    </w:tbl>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根据前述人口、产值、牲畜发展预测结果及需水指标预测成果，预测得到设计水平年2035年车家河水库灌区需水量如表7.2.8。</w:t>
      </w:r>
    </w:p>
    <w:p>
      <w:pPr>
        <w:pStyle w:val="2"/>
        <w:ind w:firstLine="560"/>
        <w:rPr>
          <w:color w:val="000000" w:themeColor="text1"/>
          <w14:textFill>
            <w14:solidFill>
              <w14:schemeClr w14:val="tx1"/>
            </w14:solidFill>
          </w14:textFill>
        </w:rPr>
      </w:pPr>
    </w:p>
    <w:p>
      <w:pPr>
        <w:pStyle w:val="49"/>
        <w:rPr>
          <w:color w:val="000000" w:themeColor="text1"/>
          <w14:textFill>
            <w14:solidFill>
              <w14:schemeClr w14:val="tx1"/>
            </w14:solidFill>
          </w14:textFill>
        </w:rPr>
      </w:pPr>
      <w:r>
        <w:rPr>
          <w:color w:val="000000" w:themeColor="text1"/>
          <w14:textFill>
            <w14:solidFill>
              <w14:schemeClr w14:val="tx1"/>
            </w14:solidFill>
          </w14:textFill>
        </w:rPr>
        <w:t>表7.2.8  车家河水库灌区不同水平年需水量预测成果表</w:t>
      </w:r>
    </w:p>
    <w:p>
      <w:pPr>
        <w:spacing w:line="240" w:lineRule="exact"/>
        <w:ind w:firstLine="480"/>
        <w:jc w:val="righ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单位：万</w:t>
      </w:r>
      <w:r>
        <w:rPr>
          <w:rFonts w:hint="eastAsia"/>
          <w:color w:val="000000" w:themeColor="text1"/>
          <w:kern w:val="0"/>
          <w:sz w:val="24"/>
          <w14:textFill>
            <w14:solidFill>
              <w14:schemeClr w14:val="tx1"/>
            </w14:solidFill>
          </w14:textFill>
        </w:rPr>
        <w:t>m³</w:t>
      </w:r>
    </w:p>
    <w:tbl>
      <w:tblPr>
        <w:tblStyle w:val="40"/>
        <w:tblW w:w="4998" w:type="pct"/>
        <w:tblInd w:w="0" w:type="dxa"/>
        <w:tblLayout w:type="autofit"/>
        <w:tblCellMar>
          <w:top w:w="0" w:type="dxa"/>
          <w:left w:w="0" w:type="dxa"/>
          <w:bottom w:w="0" w:type="dxa"/>
          <w:right w:w="0" w:type="dxa"/>
        </w:tblCellMar>
      </w:tblPr>
      <w:tblGrid>
        <w:gridCol w:w="510"/>
        <w:gridCol w:w="418"/>
        <w:gridCol w:w="503"/>
        <w:gridCol w:w="528"/>
        <w:gridCol w:w="705"/>
        <w:gridCol w:w="705"/>
        <w:gridCol w:w="705"/>
        <w:gridCol w:w="705"/>
        <w:gridCol w:w="716"/>
        <w:gridCol w:w="706"/>
        <w:gridCol w:w="706"/>
        <w:gridCol w:w="717"/>
        <w:gridCol w:w="623"/>
        <w:gridCol w:w="623"/>
      </w:tblGrid>
      <w:tr>
        <w:tblPrEx>
          <w:tblCellMar>
            <w:top w:w="0" w:type="dxa"/>
            <w:left w:w="0" w:type="dxa"/>
            <w:bottom w:w="0" w:type="dxa"/>
            <w:right w:w="0" w:type="dxa"/>
          </w:tblCellMar>
        </w:tblPrEx>
        <w:trPr>
          <w:trHeight w:val="270" w:hRule="atLeast"/>
        </w:trPr>
        <w:tc>
          <w:tcPr>
            <w:tcW w:w="283"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水平年</w:t>
            </w:r>
          </w:p>
        </w:tc>
        <w:tc>
          <w:tcPr>
            <w:tcW w:w="818"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居民生活需水</w:t>
            </w:r>
          </w:p>
        </w:tc>
        <w:tc>
          <w:tcPr>
            <w:tcW w:w="3196" w:type="pct"/>
            <w:gridSpan w:val="8"/>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生产需水</w:t>
            </w:r>
          </w:p>
        </w:tc>
        <w:tc>
          <w:tcPr>
            <w:tcW w:w="35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净需水合计</w:t>
            </w:r>
          </w:p>
        </w:tc>
        <w:tc>
          <w:tcPr>
            <w:tcW w:w="35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毛需水合计</w:t>
            </w:r>
          </w:p>
        </w:tc>
      </w:tr>
      <w:tr>
        <w:tblPrEx>
          <w:tblCellMar>
            <w:top w:w="0" w:type="dxa"/>
            <w:left w:w="0" w:type="dxa"/>
            <w:bottom w:w="0" w:type="dxa"/>
            <w:right w:w="0" w:type="dxa"/>
          </w:tblCellMar>
        </w:tblPrEx>
        <w:trPr>
          <w:trHeight w:val="270" w:hRule="atLeast"/>
        </w:trPr>
        <w:tc>
          <w:tcPr>
            <w:tcW w:w="28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36"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乡镇</w:t>
            </w:r>
          </w:p>
        </w:tc>
        <w:tc>
          <w:tcPr>
            <w:tcW w:w="284"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w:t>
            </w:r>
          </w:p>
        </w:tc>
        <w:tc>
          <w:tcPr>
            <w:tcW w:w="2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1996" w:type="pct"/>
            <w:gridSpan w:val="5"/>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城镇生产</w:t>
            </w:r>
          </w:p>
        </w:tc>
        <w:tc>
          <w:tcPr>
            <w:tcW w:w="1199"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农村生产</w:t>
            </w: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270" w:hRule="atLeast"/>
        </w:trPr>
        <w:tc>
          <w:tcPr>
            <w:tcW w:w="28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36"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84"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二产</w:t>
            </w: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#工业</w:t>
            </w: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#建筑业</w:t>
            </w:r>
          </w:p>
        </w:tc>
        <w:tc>
          <w:tcPr>
            <w:tcW w:w="398"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三产</w:t>
            </w:r>
          </w:p>
        </w:tc>
        <w:tc>
          <w:tcPr>
            <w:tcW w:w="402" w:type="pct"/>
            <w:vMerge w:val="restar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小计</w:t>
            </w:r>
          </w:p>
        </w:tc>
        <w:tc>
          <w:tcPr>
            <w:tcW w:w="1199" w:type="pct"/>
            <w:gridSpan w:val="3"/>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牲畜</w:t>
            </w: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270" w:hRule="atLeast"/>
        </w:trPr>
        <w:tc>
          <w:tcPr>
            <w:tcW w:w="28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36"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84"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2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402" w:type="pct"/>
            <w:vMerge w:val="continue"/>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大</w:t>
            </w:r>
          </w:p>
        </w:tc>
        <w:tc>
          <w:tcPr>
            <w:tcW w:w="39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小</w:t>
            </w:r>
          </w:p>
        </w:tc>
        <w:tc>
          <w:tcPr>
            <w:tcW w:w="40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合计</w:t>
            </w: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c>
          <w:tcPr>
            <w:tcW w:w="35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spacing w:line="240" w:lineRule="auto"/>
              <w:ind w:firstLine="0" w:firstLineChars="0"/>
              <w:jc w:val="center"/>
              <w:rPr>
                <w:rFonts w:eastAsia="宋体"/>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15" w:hRule="atLeast"/>
        </w:trPr>
        <w:tc>
          <w:tcPr>
            <w:tcW w:w="283"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2020</w:t>
            </w:r>
          </w:p>
        </w:tc>
        <w:tc>
          <w:tcPr>
            <w:tcW w:w="41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18 </w:t>
            </w:r>
          </w:p>
        </w:tc>
        <w:tc>
          <w:tcPr>
            <w:tcW w:w="504"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88 </w:t>
            </w:r>
          </w:p>
        </w:tc>
        <w:tc>
          <w:tcPr>
            <w:tcW w:w="52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106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18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17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9 </w:t>
            </w:r>
          </w:p>
        </w:tc>
        <w:tc>
          <w:tcPr>
            <w:tcW w:w="71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27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7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27 </w:t>
            </w:r>
          </w:p>
        </w:tc>
        <w:tc>
          <w:tcPr>
            <w:tcW w:w="71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34 </w:t>
            </w:r>
          </w:p>
        </w:tc>
        <w:tc>
          <w:tcPr>
            <w:tcW w:w="623"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167 </w:t>
            </w:r>
          </w:p>
        </w:tc>
        <w:tc>
          <w:tcPr>
            <w:tcW w:w="623"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209 </w:t>
            </w:r>
          </w:p>
        </w:tc>
      </w:tr>
      <w:tr>
        <w:tblPrEx>
          <w:tblCellMar>
            <w:top w:w="0" w:type="dxa"/>
            <w:left w:w="0" w:type="dxa"/>
            <w:bottom w:w="0" w:type="dxa"/>
            <w:right w:w="0" w:type="dxa"/>
          </w:tblCellMar>
        </w:tblPrEx>
        <w:trPr>
          <w:trHeight w:val="315" w:hRule="atLeast"/>
        </w:trPr>
        <w:tc>
          <w:tcPr>
            <w:tcW w:w="283"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2025</w:t>
            </w:r>
          </w:p>
        </w:tc>
        <w:tc>
          <w:tcPr>
            <w:tcW w:w="41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24 </w:t>
            </w:r>
          </w:p>
        </w:tc>
        <w:tc>
          <w:tcPr>
            <w:tcW w:w="504"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103 </w:t>
            </w:r>
          </w:p>
        </w:tc>
        <w:tc>
          <w:tcPr>
            <w:tcW w:w="52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126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22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20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12 </w:t>
            </w:r>
          </w:p>
        </w:tc>
        <w:tc>
          <w:tcPr>
            <w:tcW w:w="71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34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10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37 </w:t>
            </w:r>
          </w:p>
        </w:tc>
        <w:tc>
          <w:tcPr>
            <w:tcW w:w="71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46 </w:t>
            </w:r>
          </w:p>
        </w:tc>
        <w:tc>
          <w:tcPr>
            <w:tcW w:w="623"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206 </w:t>
            </w:r>
          </w:p>
        </w:tc>
        <w:tc>
          <w:tcPr>
            <w:tcW w:w="623"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258 </w:t>
            </w:r>
          </w:p>
        </w:tc>
      </w:tr>
      <w:tr>
        <w:tblPrEx>
          <w:tblCellMar>
            <w:top w:w="0" w:type="dxa"/>
            <w:left w:w="0" w:type="dxa"/>
            <w:bottom w:w="0" w:type="dxa"/>
            <w:right w:w="0" w:type="dxa"/>
          </w:tblCellMar>
        </w:tblPrEx>
        <w:trPr>
          <w:trHeight w:val="315" w:hRule="atLeast"/>
        </w:trPr>
        <w:tc>
          <w:tcPr>
            <w:tcW w:w="283"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2035</w:t>
            </w:r>
          </w:p>
        </w:tc>
        <w:tc>
          <w:tcPr>
            <w:tcW w:w="41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34 </w:t>
            </w:r>
          </w:p>
        </w:tc>
        <w:tc>
          <w:tcPr>
            <w:tcW w:w="504"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104 </w:t>
            </w:r>
          </w:p>
        </w:tc>
        <w:tc>
          <w:tcPr>
            <w:tcW w:w="52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138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21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19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13 </w:t>
            </w:r>
          </w:p>
        </w:tc>
        <w:tc>
          <w:tcPr>
            <w:tcW w:w="71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34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10 </w:t>
            </w:r>
          </w:p>
        </w:tc>
        <w:tc>
          <w:tcPr>
            <w:tcW w:w="706"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37 </w:t>
            </w:r>
          </w:p>
        </w:tc>
        <w:tc>
          <w:tcPr>
            <w:tcW w:w="71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46 </w:t>
            </w:r>
          </w:p>
        </w:tc>
        <w:tc>
          <w:tcPr>
            <w:tcW w:w="623"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218 </w:t>
            </w:r>
          </w:p>
        </w:tc>
        <w:tc>
          <w:tcPr>
            <w:tcW w:w="623"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auto"/>
              <w:ind w:firstLine="0" w:firstLineChars="0"/>
              <w:jc w:val="center"/>
              <w:textAlignment w:val="center"/>
              <w:rPr>
                <w:rFonts w:eastAsia="宋体"/>
                <w:color w:val="000000" w:themeColor="text1"/>
                <w:sz w:val="24"/>
                <w14:textFill>
                  <w14:solidFill>
                    <w14:schemeClr w14:val="tx1"/>
                  </w14:solidFill>
                </w14:textFill>
              </w:rPr>
            </w:pPr>
            <w:r>
              <w:rPr>
                <w:rFonts w:eastAsia="宋体"/>
                <w:color w:val="000000" w:themeColor="text1"/>
                <w:kern w:val="0"/>
                <w:sz w:val="24"/>
                <w:lang w:bidi="ar"/>
                <w14:textFill>
                  <w14:solidFill>
                    <w14:schemeClr w14:val="tx1"/>
                  </w14:solidFill>
                </w14:textFill>
              </w:rPr>
              <w:t xml:space="preserve">273 </w:t>
            </w:r>
          </w:p>
        </w:tc>
      </w:tr>
    </w:tbl>
    <w:p>
      <w:pPr>
        <w:numPr>
          <w:ilvl w:val="0"/>
          <w:numId w:val="8"/>
        </w:num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需车家河水库供水量</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车家河水库建成后，通过水库调蓄汛期水量后，为灌区内3.4万亩灌面提供农业用水，为灌区内3.78万人提供生产生活用水，根据以上需水预测成果，2035年需车家河水库提供毛水量为998万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，其中灌溉需水量777万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4 水库特征水位初选</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1 水库死水位初选</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根据水库所在流域的地质、地貌、地形条件，车家河水库坝址处多年平均推移质输沙量，本阶段按悬沙的20%估算，为0.36万t。水库泥沙不是制约死水位选择的主要因素。经综合分析，本阶段初步确定死水位为340m，相应库容134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2 水库正常蓄水位初选</w:t>
      </w:r>
    </w:p>
    <w:p>
      <w:pPr>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本阶段初步推荐车家河水库正常蓄水位为365m，对应库容1119万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，调节库容985万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。经初步调节计算，水库多年平均可供水量910万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pStyle w:val="5"/>
        <w:rPr>
          <w:rFonts w:ascii="Times New Roman" w:hAnsi="Times New Roman"/>
          <w:color w:val="000000" w:themeColor="text1"/>
          <w14:textFill>
            <w14:solidFill>
              <w14:schemeClr w14:val="tx1"/>
            </w14:solidFill>
          </w14:textFill>
        </w:rPr>
      </w:pPr>
      <w:bookmarkStart w:id="311" w:name="_Toc26843"/>
      <w:r>
        <w:rPr>
          <w:rFonts w:ascii="Times New Roman" w:hAnsi="Times New Roman"/>
          <w:color w:val="000000" w:themeColor="text1"/>
          <w14:textFill>
            <w14:solidFill>
              <w14:schemeClr w14:val="tx1"/>
            </w14:solidFill>
          </w14:textFill>
        </w:rPr>
        <w:t>7.2.4  工程总布置</w:t>
      </w:r>
      <w:bookmarkEnd w:id="311"/>
    </w:p>
    <w:p>
      <w:pPr>
        <w:pStyle w:val="6"/>
        <w:rPr>
          <w:color w:val="000000" w:themeColor="text1"/>
          <w14:textFill>
            <w14:solidFill>
              <w14:schemeClr w14:val="tx1"/>
            </w14:solidFill>
          </w14:textFill>
        </w:rPr>
      </w:pPr>
      <w:r>
        <w:rPr>
          <w:color w:val="000000" w:themeColor="text1"/>
          <w14:textFill>
            <w14:solidFill>
              <w14:schemeClr w14:val="tx1"/>
            </w14:solidFill>
          </w14:textFill>
        </w:rPr>
        <w:t>7.2.4.1  工程等别及洪水标准</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1 工程等别</w:t>
      </w:r>
    </w:p>
    <w:p>
      <w:pPr>
        <w:spacing w:line="56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车家河水库坝址位于达州市通川区</w:t>
      </w:r>
      <w:r>
        <w:rPr>
          <w:rFonts w:hint="eastAsia"/>
          <w:iCs/>
          <w:color w:val="000000" w:themeColor="text1"/>
          <w:szCs w:val="28"/>
          <w14:textFill>
            <w14:solidFill>
              <w14:schemeClr w14:val="tx1"/>
            </w14:solidFill>
          </w14:textFill>
        </w:rPr>
        <w:t>梓潼镇两河村</w:t>
      </w:r>
      <w:r>
        <w:rPr>
          <w:iCs/>
          <w:color w:val="000000" w:themeColor="text1"/>
          <w:szCs w:val="28"/>
          <w14:textFill>
            <w14:solidFill>
              <w14:schemeClr w14:val="tx1"/>
            </w14:solidFill>
          </w14:textFill>
        </w:rPr>
        <w:t>，距离达州市约55公里。该工程的主要任务是灌溉和城镇供水，水库总库容1300万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w:t>
      </w:r>
    </w:p>
    <w:p>
      <w:pPr>
        <w:adjustRightInd/>
        <w:snapToGrid/>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依据SL252—2017《水利水电工程等级划分与洪水标准》的有关规定，工程属Ⅲ等中型，永久主要建筑物拦河大坝、取水建筑物、泄水建筑物、放空建筑物为3级，永久次要建筑物为4级，临时建筑物为5级。</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2 洪水标准</w:t>
      </w:r>
    </w:p>
    <w:p>
      <w:pPr>
        <w:adjustRightInd/>
        <w:snapToGrid/>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车家河水库工程枢纽建筑物防洪标准，依据《水利水电工程等级划分及洪水标准》（SL252–2017）及《防洪标准》（GB50204-2014）的规定，各水工建筑物防洪标准见表7.2.9。</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表7.2.9   主要建筑物防洪标准</w:t>
      </w:r>
    </w:p>
    <w:tbl>
      <w:tblPr>
        <w:tblStyle w:val="4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416"/>
        <w:gridCol w:w="2344"/>
        <w:gridCol w:w="25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16"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工      程</w:t>
            </w:r>
          </w:p>
        </w:tc>
        <w:tc>
          <w:tcPr>
            <w:tcW w:w="2344"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设计防洪标准</w:t>
            </w:r>
          </w:p>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（重现期a）</w:t>
            </w:r>
          </w:p>
        </w:tc>
        <w:tc>
          <w:tcPr>
            <w:tcW w:w="2530"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校核防洪标准</w:t>
            </w:r>
          </w:p>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（重现期a）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16" w:type="dxa"/>
            <w:vAlign w:val="center"/>
          </w:tcPr>
          <w:p>
            <w:pPr>
              <w:adjustRightInd/>
              <w:snapToGrid/>
              <w:spacing w:line="240" w:lineRule="auto"/>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挡水建筑物</w:t>
            </w:r>
          </w:p>
        </w:tc>
        <w:tc>
          <w:tcPr>
            <w:tcW w:w="2344"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50</w:t>
            </w:r>
          </w:p>
        </w:tc>
        <w:tc>
          <w:tcPr>
            <w:tcW w:w="2530"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16" w:type="dxa"/>
            <w:vAlign w:val="center"/>
          </w:tcPr>
          <w:p>
            <w:pPr>
              <w:adjustRightInd/>
              <w:snapToGrid/>
              <w:spacing w:line="240" w:lineRule="auto"/>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取水建筑物</w:t>
            </w:r>
          </w:p>
        </w:tc>
        <w:tc>
          <w:tcPr>
            <w:tcW w:w="2344"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50</w:t>
            </w:r>
          </w:p>
        </w:tc>
        <w:tc>
          <w:tcPr>
            <w:tcW w:w="2530"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16" w:type="dxa"/>
            <w:vAlign w:val="center"/>
          </w:tcPr>
          <w:p>
            <w:pPr>
              <w:adjustRightInd/>
              <w:snapToGrid/>
              <w:spacing w:line="240" w:lineRule="auto"/>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放空建筑物</w:t>
            </w:r>
          </w:p>
        </w:tc>
        <w:tc>
          <w:tcPr>
            <w:tcW w:w="2344"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50</w:t>
            </w:r>
          </w:p>
        </w:tc>
        <w:tc>
          <w:tcPr>
            <w:tcW w:w="2530"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16" w:type="dxa"/>
            <w:vAlign w:val="center"/>
          </w:tcPr>
          <w:p>
            <w:pPr>
              <w:adjustRightInd/>
              <w:snapToGrid/>
              <w:spacing w:line="240" w:lineRule="auto"/>
              <w:ind w:left="70" w:leftChars="25"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泄水建筑物</w:t>
            </w:r>
          </w:p>
        </w:tc>
        <w:tc>
          <w:tcPr>
            <w:tcW w:w="2344"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30</w:t>
            </w:r>
          </w:p>
        </w:tc>
        <w:tc>
          <w:tcPr>
            <w:tcW w:w="2530" w:type="dxa"/>
            <w:vAlign w:val="center"/>
          </w:tcPr>
          <w:p>
            <w:pPr>
              <w:adjustRightInd/>
              <w:snapToGrid/>
              <w:spacing w:line="240" w:lineRule="auto"/>
              <w:ind w:left="-140" w:leftChars="-50" w:right="-140" w:rightChars="-50" w:firstLine="0" w:firstLineChars="0"/>
              <w:jc w:val="center"/>
              <w:rPr>
                <w:rFonts w:eastAsia="宋体"/>
                <w:color w:val="000000" w:themeColor="text1"/>
                <w:sz w:val="24"/>
                <w14:textFill>
                  <w14:solidFill>
                    <w14:schemeClr w14:val="tx1"/>
                  </w14:solidFill>
                </w14:textFill>
              </w:rPr>
            </w:pP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7.2.4.2 工程总体布置和主要建筑物型式</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1 坝型拟定</w:t>
      </w:r>
    </w:p>
    <w:p>
      <w:pPr>
        <w:adjustRightInd/>
        <w:snapToGrid/>
        <w:spacing w:line="520" w:lineRule="exact"/>
        <w:ind w:firstLine="560"/>
        <w:rPr>
          <w:bCs/>
          <w:color w:val="000000" w:themeColor="text1"/>
          <w14:textFill>
            <w14:solidFill>
              <w14:schemeClr w14:val="tx1"/>
            </w14:solidFill>
          </w14:textFill>
        </w:rPr>
      </w:pPr>
      <w:r>
        <w:rPr>
          <w:bCs/>
          <w:color w:val="000000" w:themeColor="text1"/>
          <w:szCs w:val="28"/>
          <w14:textFill>
            <w14:solidFill>
              <w14:schemeClr w14:val="tx1"/>
            </w14:solidFill>
          </w14:textFill>
        </w:rPr>
        <w:t>由于河床坝段地形、地质条件较差，不宜修建拱坝和重力坝等刚性坝。结合地形、地质条件及建材情况，将当地材料坝作为研究的重点。在当地材料中，坝址附近有丰富的灰岩料，但当地防渗土料极少，故重点比较混凝土面板堆石坝和沥青混凝土心墙石渣坝两种当地材料坝。经分析论证，沥青混凝土心墙石渣坝在工程静态投资方面略优。</w:t>
      </w:r>
    </w:p>
    <w:p>
      <w:pPr>
        <w:adjustRightInd/>
        <w:snapToGrid/>
        <w:spacing w:line="520" w:lineRule="exact"/>
        <w:ind w:firstLine="560"/>
        <w:rPr>
          <w:bCs/>
          <w:color w:val="000000" w:themeColor="text1"/>
          <w14:textFill>
            <w14:solidFill>
              <w14:schemeClr w14:val="tx1"/>
            </w14:solidFill>
          </w14:textFill>
        </w:rPr>
      </w:pPr>
      <w:r>
        <w:rPr>
          <w:bCs/>
          <w:color w:val="000000" w:themeColor="text1"/>
          <w14:textFill>
            <w14:solidFill>
              <w14:schemeClr w14:val="tx1"/>
            </w14:solidFill>
          </w14:textFill>
        </w:rPr>
        <w:t>2 工程总体布置</w:t>
      </w:r>
    </w:p>
    <w:p>
      <w:pPr>
        <w:adjustRightInd/>
        <w:snapToGrid/>
        <w:spacing w:line="520" w:lineRule="exact"/>
        <w:ind w:firstLine="560"/>
        <w:rPr>
          <w:bCs/>
          <w:color w:val="000000" w:themeColor="text1"/>
          <w14:textFill>
            <w14:solidFill>
              <w14:schemeClr w14:val="tx1"/>
            </w14:solidFill>
          </w14:textFill>
        </w:rPr>
      </w:pPr>
      <w:r>
        <w:rPr>
          <w:bCs/>
          <w:color w:val="000000" w:themeColor="text1"/>
          <w:szCs w:val="28"/>
          <w14:textFill>
            <w14:solidFill>
              <w14:schemeClr w14:val="tx1"/>
            </w14:solidFill>
          </w14:textFill>
        </w:rPr>
        <w:t>车家河水库枢纽区包括碾压式沥青混凝土心墙石渣坝、放空建筑物、泄洪建筑物和取水建筑物。大坝采用碾压式沥青混凝土心墙石渣坝，左岸分别设放空隧洞、取水隧洞（含生态放水管），右岸设溢洪道。车家河水库规划总库容1300万</w:t>
      </w:r>
      <w:r>
        <w:rPr>
          <w:rFonts w:hint="eastAsia"/>
          <w:bCs/>
          <w:color w:val="000000" w:themeColor="text1"/>
          <w:szCs w:val="28"/>
          <w14:textFill>
            <w14:solidFill>
              <w14:schemeClr w14:val="tx1"/>
            </w14:solidFill>
          </w14:textFill>
        </w:rPr>
        <w:t>m³</w:t>
      </w:r>
      <w:r>
        <w:rPr>
          <w:bCs/>
          <w:color w:val="000000" w:themeColor="text1"/>
          <w:szCs w:val="28"/>
          <w14:textFill>
            <w14:solidFill>
              <w14:schemeClr w14:val="tx1"/>
            </w14:solidFill>
          </w14:textFill>
        </w:rPr>
        <w:t>，对应水位为367m。水库灌区布置一条干渠，控灌团高墩子河左岸农田，并为梓桐镇供水。</w:t>
      </w:r>
    </w:p>
    <w:p>
      <w:pPr>
        <w:pStyle w:val="6"/>
        <w:rPr>
          <w:color w:val="000000" w:themeColor="text1"/>
          <w14:textFill>
            <w14:solidFill>
              <w14:schemeClr w14:val="tx1"/>
            </w14:solidFill>
          </w14:textFill>
        </w:rPr>
      </w:pPr>
      <w:r>
        <w:rPr>
          <w:color w:val="000000" w:themeColor="text1"/>
          <w14:textFill>
            <w14:solidFill>
              <w14:schemeClr w14:val="tx1"/>
            </w14:solidFill>
          </w14:textFill>
        </w:rPr>
        <w:t>7.2.4.4 主要建筑物</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1拦河大坝</w:t>
      </w:r>
    </w:p>
    <w:p>
      <w:pPr>
        <w:spacing w:line="56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拦河大坝采用沥青混凝土心墙石渣坝型，坝顶高程368.5m，坝顶宽6.0m，最大坝高45m，坝顶长度268m。坝顶上游侧设置1.2m高的C20砼防浪墙，防浪墙顶高程369.7m。沥青混凝土心墙位于坝体中部，心墙顶高程367.5m，心墙与基础接合部设置宽3.0m、厚2.0m的C25砼齿板作为帷幕灌浆和固结灌浆的盖板，为确保心墙底部与齿板的有效联接，除扩大心墙底部外，并在心墙底面上涂涮一层厚度为1cm的砂质沥青玛碲脂，同时在心墙底部和齿板接合部位，设两道止水，均为止水铜片。心墙上、下游侧设反滤过渡料，采用新鲜灰岩人工破碎，水平宽度均3.0m。坝顶路面为混凝土路面，路面向下游侧以1%倾斜，以利排水。</w:t>
      </w:r>
    </w:p>
    <w:p>
      <w:pPr>
        <w:spacing w:line="56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河床覆盖层较厚，且土体软弱，大坝基础置于河床弱风化基岩上。大坝上游坝壳采用弱风化灰岩料填筑，坝坡迎水面采用厚0.15m的C20砼预制块护坡，并在高程348.5m处设置宽2.0m的马道，马道以上边坡坡比1：2.0，马道以下边坡坡比1:2.5。大坝下游坝壳采用弱风化灰岩与强风化灰岩混合料填筑，在高程348.50m处设1级马道，宽2.0m，马道以上边坡坡比1：2.0，马道以下边坡坡比1:2.2。下游河床段设2.0m厚的排水带，坡脚设置贴坡排水，水平宽度5m，排水带及贴坡排水采用砂砾石填筑，下游坝坡采用C15砼预制块护坡。开挖形成的岩质高边坡采用挂网喷C20砼封闭，厚度8cm。</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2取水建筑物</w:t>
      </w:r>
    </w:p>
    <w:p>
      <w:pPr>
        <w:spacing w:line="56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取水建筑物位于大坝左岸，由引水渠、岸塔式取水塔、取水隧洞等组成。引渠段进口底板高程335.00m，采用梯形断面，底宽2.5m，边坡1：0.5。取水塔长15m，宽10m，高33.5m。取水塔平台高程368.5m，平台上设闸门启闭机房，以交通桥与左坝肩公路相连。进水口闸室设置拦污栅1扇，拦污栅后接事故检修闸门1扇，尺寸为2×2m。取水塔后接取水隧洞，洞内设消力池，池长15.0m，池宽2m，池深1.5m。消力池后紧接无压隧洞洞身段，底坡1/1000，城门无压洞型断面尺寸为2×2m（宽×高），无压段长500m；出口底板高程334.5m，出口与输水干渠相连。</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3放空（导流）洞</w:t>
      </w:r>
    </w:p>
    <w:p>
      <w:pPr>
        <w:spacing w:line="56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放空洞位于大坝左岸，由进口明渠段、岸塔式进水口、放空隧洞、洞内消力池、出口明渠组成，隧洞全长350m，放空洞兼作施工期导流隧洞。</w:t>
      </w:r>
    </w:p>
    <w:p>
      <w:pPr>
        <w:spacing w:line="56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岸塔式进口底板高程为332.0m，进水口顺水流方向长16m，横向宽度为9m，塔顶高程368.5m。采用长40m的工作桥与岸边公路连接。放空洞设置事故检修门和工作门各1扇，孔口尺寸均为3×3m，闸门采用潜孔平面定轮门，采用固定卷扬式启闭机现地操作。进水口后设15m长消力池，隧洞为城门洞型。</w:t>
      </w:r>
    </w:p>
    <w:p>
      <w:pPr>
        <w:spacing w:line="560" w:lineRule="exact"/>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放空（导流）洞长350m，底板坡度i=1/400，隧洞为城门洞型，宽、高均为3m，C25砼衬砌，洞身段衬砌厚度为0.3m。洞室段全长范围内均采取固结灌浆，灌浆孔排距2m，灌浆深度1.5m；顶拱120度范围内进行回填灌浆。放空洞出口为长8m的渐变段，C20砼衬砌，衬砌厚度为0.40m，后接放水明渠，明渠底宽2.5m，渠道边坡1：0.75，采用20cm厚C15砼护面，底板厚度20cm，渠顶采用C15砼压顶。放空洞底板内埋设直径10cm生态放水管，满足下游生态放水流量要求。</w:t>
      </w:r>
    </w:p>
    <w:p>
      <w:pPr>
        <w:spacing w:line="520" w:lineRule="exact"/>
        <w:ind w:firstLine="562"/>
        <w:rPr>
          <w:b/>
          <w:bCs/>
          <w:iCs/>
          <w:color w:val="000000" w:themeColor="text1"/>
          <w:szCs w:val="28"/>
          <w14:textFill>
            <w14:solidFill>
              <w14:schemeClr w14:val="tx1"/>
            </w14:solidFill>
          </w14:textFill>
        </w:rPr>
      </w:pPr>
      <w:r>
        <w:rPr>
          <w:b/>
          <w:bCs/>
          <w:iCs/>
          <w:color w:val="000000" w:themeColor="text1"/>
          <w:szCs w:val="28"/>
          <w14:textFill>
            <w14:solidFill>
              <w14:schemeClr w14:val="tx1"/>
            </w14:solidFill>
          </w14:textFill>
        </w:rPr>
        <w:t>4泄水建筑物</w:t>
      </w:r>
    </w:p>
    <w:p>
      <w:pPr>
        <w:adjustRightInd/>
        <w:snapToGrid/>
        <w:spacing w:line="520" w:lineRule="exact"/>
        <w:ind w:firstLine="560"/>
        <w:rPr>
          <w:bCs/>
          <w:color w:val="000000" w:themeColor="text1"/>
          <w14:textFill>
            <w14:solidFill>
              <w14:schemeClr w14:val="tx1"/>
            </w14:solidFill>
          </w14:textFill>
        </w:rPr>
      </w:pPr>
      <w:r>
        <w:rPr>
          <w:bCs/>
          <w:color w:val="000000" w:themeColor="text1"/>
          <w:kern w:val="0"/>
          <w:szCs w:val="28"/>
          <w14:textFill>
            <w14:solidFill>
              <w14:schemeClr w14:val="tx1"/>
            </w14:solidFill>
          </w14:textFill>
        </w:rPr>
        <w:t>大坝泄水建筑物溢洪道位于大坝左岸，建基于弱风化基岩，由引水渠、控制段、泄槽段、消力池及海幔组成。引水渠底板高程为357m，控制段宽10m，闸室底高程为355m，闸顶高程为368.5m，控制段闸室与大坝坝左端相接。控制段闸室设工作门和事故门，均为平板门。泄槽槽宽10m，槽深9m，泄槽坡率i=0.2。消力池长40m，宽10m，深2m。消力池后设海幔与放空洞出口渠道相接，泄水入原河道。</w:t>
      </w:r>
    </w:p>
    <w:p>
      <w:pPr>
        <w:pStyle w:val="5"/>
        <w:rPr>
          <w:rFonts w:ascii="Times New Roman" w:hAnsi="Times New Roman"/>
          <w:color w:val="000000" w:themeColor="text1"/>
          <w14:textFill>
            <w14:solidFill>
              <w14:schemeClr w14:val="tx1"/>
            </w14:solidFill>
          </w14:textFill>
        </w:rPr>
      </w:pPr>
      <w:bookmarkStart w:id="312" w:name="_Toc13126"/>
      <w:r>
        <w:rPr>
          <w:rFonts w:ascii="Times New Roman" w:hAnsi="Times New Roman"/>
          <w:color w:val="000000" w:themeColor="text1"/>
          <w14:textFill>
            <w14:solidFill>
              <w14:schemeClr w14:val="tx1"/>
            </w14:solidFill>
          </w14:textFill>
        </w:rPr>
        <w:t>7.2.5 水库淹没及工程占地</w:t>
      </w:r>
      <w:bookmarkEnd w:id="312"/>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建设征地共征收征用各类土地4168.33亩，其中永久征收2419.65亩，耕地47.52亩；临时征用1748.68亩。人口35人，房屋1793.05</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。其中水库淹没区涉及达州市通川区江陵镇洞沟村3个组，水库淹没农村人口35人，房屋1793.05</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，水库淹没土地1457.33亩，其中耕地364.33亩。淹没专项设施有乡村公路2.6km。</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工程建设区共计征收征用土地2711.01亩，其中永久征收962.33亩，耕地47.52亩，临时征用土地1748.68亩。</w:t>
      </w:r>
    </w:p>
    <w:p>
      <w:pPr>
        <w:spacing w:line="520" w:lineRule="exact"/>
        <w:ind w:firstLine="560"/>
        <w:rPr>
          <w:iCs/>
          <w:color w:val="000000" w:themeColor="text1"/>
          <w:szCs w:val="28"/>
          <w14:textFill>
            <w14:solidFill>
              <w14:schemeClr w14:val="tx1"/>
            </w14:solidFill>
          </w14:textFill>
        </w:rPr>
      </w:pPr>
      <w:r>
        <w:rPr>
          <w:color w:val="000000" w:themeColor="text1"/>
          <w14:textFill>
            <w14:solidFill>
              <w14:schemeClr w14:val="tx1"/>
            </w14:solidFill>
          </w14:textFill>
        </w:rPr>
        <w:t>经估算，车家河水库推荐方案建设征地移民补偿总投资17553.78万元，其中水库淹没影响区总投资9712.36万元，枢纽工程建设区总投资2278.87万元，渠道工程建设区总投资5562.55万元。</w:t>
      </w:r>
    </w:p>
    <w:p>
      <w:pPr>
        <w:pStyle w:val="5"/>
        <w:rPr>
          <w:rFonts w:ascii="Times New Roman" w:hAnsi="Times New Roman"/>
          <w:color w:val="000000" w:themeColor="text1"/>
          <w14:textFill>
            <w14:solidFill>
              <w14:schemeClr w14:val="tx1"/>
            </w14:solidFill>
          </w14:textFill>
        </w:rPr>
      </w:pPr>
      <w:bookmarkStart w:id="313" w:name="_Toc4277"/>
      <w:r>
        <w:rPr>
          <w:rFonts w:ascii="Times New Roman" w:hAnsi="Times New Roman"/>
          <w:color w:val="000000" w:themeColor="text1"/>
          <w14:textFill>
            <w14:solidFill>
              <w14:schemeClr w14:val="tx1"/>
            </w14:solidFill>
          </w14:textFill>
        </w:rPr>
        <w:t>7.2.6  投资及效益分析</w:t>
      </w:r>
      <w:bookmarkEnd w:id="313"/>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项目静态总投资7.85亿元，其中工程总投资6.09亿元，移民补偿总投资1.76亿元。</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项目实施后，可实现年灌溉效益4000万元，年供水效益590万元。该项目在经济上合理可行，具有一定的抗风险能力。</w:t>
      </w:r>
    </w:p>
    <w:p>
      <w:pPr>
        <w:pStyle w:val="4"/>
        <w:rPr>
          <w:rFonts w:ascii="Times New Roman" w:hAnsi="Times New Roman" w:cs="Times New Roman"/>
          <w:color w:val="000000" w:themeColor="text1"/>
          <w14:textFill>
            <w14:solidFill>
              <w14:schemeClr w14:val="tx1"/>
            </w14:solidFill>
          </w14:textFill>
        </w:rPr>
      </w:pPr>
      <w:bookmarkStart w:id="314" w:name="_Toc22664"/>
      <w:bookmarkStart w:id="315" w:name="_Toc23773"/>
      <w:r>
        <w:rPr>
          <w:rFonts w:ascii="Times New Roman" w:hAnsi="Times New Roman" w:cs="Times New Roman"/>
          <w:color w:val="000000" w:themeColor="text1"/>
          <w14:textFill>
            <w14:solidFill>
              <w14:schemeClr w14:val="tx1"/>
            </w14:solidFill>
          </w14:textFill>
        </w:rPr>
        <w:t>7.3  双龙河、魏家河水生态治理工程</w:t>
      </w:r>
      <w:bookmarkEnd w:id="314"/>
      <w:bookmarkEnd w:id="315"/>
    </w:p>
    <w:p>
      <w:pPr>
        <w:spacing w:line="520" w:lineRule="exact"/>
        <w:ind w:firstLine="560"/>
        <w:rPr>
          <w:color w:val="000000" w:themeColor="text1"/>
          <w14:textFill>
            <w14:solidFill>
              <w14:schemeClr w14:val="tx1"/>
            </w14:solidFill>
          </w14:textFill>
        </w:rPr>
      </w:pPr>
      <w:r>
        <w:rPr>
          <w:color w:val="000000" w:themeColor="text1"/>
          <w:kern w:val="0"/>
          <w:szCs w:val="28"/>
          <w14:textFill>
            <w14:solidFill>
              <w14:schemeClr w14:val="tx1"/>
            </w14:solidFill>
          </w14:textFill>
        </w:rPr>
        <w:t>由4.3.2.2节河道内需水预测成果，双龙河、魏家河水质较差，</w:t>
      </w:r>
      <w:r>
        <w:rPr>
          <w:color w:val="000000" w:themeColor="text1"/>
          <w14:textFill>
            <w14:solidFill>
              <w14:schemeClr w14:val="tx1"/>
            </w14:solidFill>
          </w14:textFill>
        </w:rPr>
        <w:t>水环境承载能力非常有限，规划年即使在采取严控污染物排放、增强污水处理能力等措施的前提下，仍超出河流的水环境承载能力，需增加河道内流量，提高河流水环境承载能力，以维持河流水质达标。</w:t>
      </w:r>
    </w:p>
    <w:p>
      <w:pPr>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规划2025年，通川区部分断面采取严控污染物排放、增强污水处理能力等截污减排措施的前提下，为维持河流水质达标，9个生态补水断面多年平均生态补水总量为4029万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。9个断面中，双龙河需补水量759万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4月）需补水量597万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，占全年补水量的78.72%；魏家河需补水量313万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4月）需补水量257万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，占全年补水量的81.84%。规划2035年，通川区部分断面采取严控污染物排放、增强污水处理能力等截污减排措施的前提下，为维持河流水质达标，9个生态补水断面多年平均生态补水总量为5578万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。9个断面中，双龙河需补水量1381万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4月）需补水量1041万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，占全年补水量的75.37%；魏家河需补水量650万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，其中非汛期（11</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4月）需补水量509万</w:t>
      </w:r>
      <w:r>
        <w:rPr>
          <w:rFonts w:hint="eastAsia"/>
          <w:color w:val="000000" w:themeColor="text1"/>
          <w:kern w:val="0"/>
          <w:szCs w:val="28"/>
          <w14:textFill>
            <w14:solidFill>
              <w14:schemeClr w14:val="tx1"/>
            </w14:solidFill>
          </w14:textFill>
        </w:rPr>
        <w:t>m³</w:t>
      </w:r>
      <w:r>
        <w:rPr>
          <w:color w:val="000000" w:themeColor="text1"/>
          <w:kern w:val="0"/>
          <w:szCs w:val="28"/>
          <w14:textFill>
            <w14:solidFill>
              <w14:schemeClr w14:val="tx1"/>
            </w14:solidFill>
          </w14:textFill>
        </w:rPr>
        <w:t>，占全年补水量的78.33%。</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结合通川区及达州市实际情况，考虑到工程建设时序及保障程度，本次规划双龙河水生态治理工程、安云水库至双龙河水系连通工程两个工程满足双龙河、魏家河的生态需水要求。</w:t>
      </w: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（1）双龙河水生态治理工程</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双龙河水生态治理工程水源为规划的达州市第二水源</w:t>
      </w:r>
      <w:r>
        <w:rPr>
          <w:rFonts w:hint="eastAsia"/>
          <w:color w:val="000000" w:themeColor="text1"/>
          <w:szCs w:val="28"/>
          <w14:textFill>
            <w14:solidFill>
              <w14:schemeClr w14:val="tx1"/>
            </w14:solidFill>
          </w14:textFill>
        </w:rPr>
        <w:t>长滩湖水库</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长滩湖水库</w:t>
      </w:r>
      <w:r>
        <w:rPr>
          <w:color w:val="000000" w:themeColor="text1"/>
          <w:szCs w:val="28"/>
          <w14:textFill>
            <w14:solidFill>
              <w14:schemeClr w14:val="tx1"/>
            </w14:solidFill>
          </w14:textFill>
        </w:rPr>
        <w:t>位于巴河一级支流长滩河上游的鲁班河河段友谊电站处，距离宣汉县庆云乡场镇约4.0km，水库集雨面积402.0k</w:t>
      </w:r>
      <w:r>
        <w:rPr>
          <w:rFonts w:hint="eastAsia"/>
          <w:color w:val="000000" w:themeColor="text1"/>
          <w:szCs w:val="28"/>
          <w14:textFill>
            <w14:solidFill>
              <w14:schemeClr w14:val="tx1"/>
            </w14:solidFill>
          </w14:textFill>
        </w:rPr>
        <w:t>m²</w:t>
      </w:r>
      <w:r>
        <w:rPr>
          <w:color w:val="000000" w:themeColor="text1"/>
          <w:szCs w:val="28"/>
          <w14:textFill>
            <w14:solidFill>
              <w14:schemeClr w14:val="tx1"/>
            </w14:solidFill>
          </w14:textFill>
        </w:rPr>
        <w:t>，水库的正常蓄水位可为415.00m，以避免对上游马渡场镇的淹没影响，大坝的最大坝高约85.0m，调节库容约8000万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，引用流量5.2</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s。水库库区移民安置较少，移民人口约380人，工程的互适性较强；同时为保证水质不被污染，引水工程建筑物主要由隧洞、渡槽、暗渠组成，并实行全封闭式管理；引水线路长度约40.0km，其间的控制性工程为罗家岩隧洞（连接安云镇与蒲家镇），初步估算总投资约10.0亿元。该水源点</w:t>
      </w:r>
      <w:r>
        <w:rPr>
          <w:rFonts w:hint="eastAsia"/>
          <w:color w:val="000000" w:themeColor="text1"/>
          <w:szCs w:val="28"/>
          <w14:textFill>
            <w14:solidFill>
              <w14:schemeClr w14:val="tx1"/>
            </w14:solidFill>
          </w14:textFill>
        </w:rPr>
        <w:t>长滩湖水库</w:t>
      </w:r>
      <w:r>
        <w:rPr>
          <w:color w:val="000000" w:themeColor="text1"/>
          <w:szCs w:val="28"/>
          <w14:textFill>
            <w14:solidFill>
              <w14:schemeClr w14:val="tx1"/>
            </w14:solidFill>
          </w14:textFill>
        </w:rPr>
        <w:t>设计年供水量5000万</w:t>
      </w:r>
      <w:r>
        <w:rPr>
          <w:rFonts w:hint="eastAsia"/>
          <w:color w:val="000000" w:themeColor="text1"/>
          <w:szCs w:val="28"/>
          <w14:textFill>
            <w14:solidFill>
              <w14:schemeClr w14:val="tx1"/>
            </w14:solidFill>
          </w14:textFill>
        </w:rPr>
        <w:t>m³</w:t>
      </w:r>
      <w:r>
        <w:rPr>
          <w:color w:val="000000" w:themeColor="text1"/>
          <w:szCs w:val="28"/>
          <w14:textFill>
            <w14:solidFill>
              <w14:schemeClr w14:val="tx1"/>
            </w14:solidFill>
          </w14:textFill>
        </w:rPr>
        <w:t>，建成后不但可解决达州城区200万人口的生活饮用水问题，同时也是双龙河、魏家河生态补水的重要保证。</w:t>
      </w:r>
    </w:p>
    <w:p>
      <w:pPr>
        <w:spacing w:line="520" w:lineRule="exa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规划补水线路从</w:t>
      </w:r>
      <w:r>
        <w:rPr>
          <w:rFonts w:hint="eastAsia"/>
          <w:color w:val="000000" w:themeColor="text1"/>
          <w:szCs w:val="28"/>
          <w14:textFill>
            <w14:solidFill>
              <w14:schemeClr w14:val="tx1"/>
            </w14:solidFill>
          </w14:textFill>
        </w:rPr>
        <w:t>长滩湖水库</w:t>
      </w:r>
      <w:r>
        <w:rPr>
          <w:color w:val="000000" w:themeColor="text1"/>
          <w:szCs w:val="28"/>
          <w14:textFill>
            <w14:solidFill>
              <w14:schemeClr w14:val="tx1"/>
            </w14:solidFill>
          </w14:textFill>
        </w:rPr>
        <w:t>坝址上游左岸取水，由北向南经青宁、安云、碑庙、蒲家补水至魏家河、双龙河，线路总长度26km，其中魏家河补水支管长度2km，详见附图</w:t>
      </w:r>
      <w:r>
        <w:rPr>
          <w:rFonts w:hint="eastAsia"/>
          <w:color w:val="000000" w:themeColor="text1"/>
          <w:szCs w:val="28"/>
          <w:lang w:val="en-US" w:eastAsia="zh-CN"/>
          <w14:textFill>
            <w14:solidFill>
              <w14:schemeClr w14:val="tx1"/>
            </w14:solidFill>
          </w14:textFill>
        </w:rPr>
        <w:t>8</w:t>
      </w:r>
      <w:r>
        <w:rPr>
          <w:color w:val="000000" w:themeColor="text1"/>
          <w:szCs w:val="28"/>
          <w14:textFill>
            <w14:solidFill>
              <w14:schemeClr w14:val="tx1"/>
            </w14:solidFill>
          </w14:textFill>
        </w:rPr>
        <w:t>。</w:t>
      </w:r>
    </w:p>
    <w:p>
      <w:pPr>
        <w:pStyle w:val="2"/>
        <w:ind w:firstLine="560"/>
        <w:rPr>
          <w:color w:val="000000" w:themeColor="text1"/>
          <w14:textFill>
            <w14:solidFill>
              <w14:schemeClr w14:val="tx1"/>
            </w14:solidFill>
          </w14:textFill>
        </w:rPr>
      </w:pPr>
    </w:p>
    <w:p>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（2）安云水库至双龙河水系连通工程</w:t>
      </w:r>
    </w:p>
    <w:p>
      <w:pPr>
        <w:spacing w:line="520" w:lineRule="exact"/>
        <w:ind w:firstLine="560"/>
        <w:rPr>
          <w:rFonts w:eastAsia="华文仿宋"/>
          <w:color w:val="000000" w:themeColor="text1"/>
          <w:szCs w:val="28"/>
          <w14:textFill>
            <w14:solidFill>
              <w14:schemeClr w14:val="tx1"/>
            </w14:solidFill>
          </w14:textFill>
        </w:rPr>
      </w:pPr>
      <w:r>
        <w:rPr>
          <w:color w:val="000000" w:themeColor="text1"/>
          <w:szCs w:val="28"/>
          <w14:textFill>
            <w14:solidFill>
              <w14:schemeClr w14:val="tx1"/>
            </w14:solidFill>
          </w14:textFill>
        </w:rPr>
        <w:t>安云水库至双龙河水系连通工程水源点为规划的安云中型水库，补水管道从安云水库左岸取水，由北向南至安云、蒲家交界处后，线路与双龙河生态补水线路重合。补水线路总长8km。</w:t>
      </w:r>
    </w:p>
    <w:p>
      <w:pPr>
        <w:widowControl/>
        <w:adjustRightInd/>
        <w:snapToGrid/>
        <w:spacing w:line="240" w:lineRule="auto"/>
        <w:ind w:firstLine="0" w:firstLineChars="0"/>
        <w:jc w:val="left"/>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br w:type="page"/>
      </w:r>
    </w:p>
    <w:p>
      <w:pPr>
        <w:pStyle w:val="3"/>
        <w:rPr>
          <w:color w:val="000000" w:themeColor="text1"/>
          <w14:textFill>
            <w14:solidFill>
              <w14:schemeClr w14:val="tx1"/>
            </w14:solidFill>
          </w14:textFill>
        </w:rPr>
      </w:pPr>
      <w:bookmarkStart w:id="316" w:name="_Toc9469"/>
      <w:bookmarkStart w:id="317" w:name="_Toc24091"/>
      <w:bookmarkStart w:id="318" w:name="_Toc13402"/>
      <w:bookmarkStart w:id="319" w:name="_Toc12986"/>
      <w:bookmarkStart w:id="320" w:name="_Toc19853"/>
      <w:r>
        <w:rPr>
          <w:color w:val="000000" w:themeColor="text1"/>
          <w14:textFill>
            <w14:solidFill>
              <w14:schemeClr w14:val="tx1"/>
            </w14:solidFill>
          </w14:textFill>
        </w:rPr>
        <w:t>8  投资匡算及效益分析</w:t>
      </w:r>
      <w:bookmarkEnd w:id="316"/>
      <w:bookmarkEnd w:id="317"/>
      <w:bookmarkEnd w:id="318"/>
      <w:bookmarkEnd w:id="319"/>
      <w:bookmarkEnd w:id="320"/>
    </w:p>
    <w:p>
      <w:pPr>
        <w:pStyle w:val="4"/>
        <w:rPr>
          <w:rFonts w:ascii="Times New Roman" w:hAnsi="Times New Roman" w:cs="Times New Roman"/>
          <w:color w:val="000000" w:themeColor="text1"/>
          <w14:textFill>
            <w14:solidFill>
              <w14:schemeClr w14:val="tx1"/>
            </w14:solidFill>
          </w14:textFill>
        </w:rPr>
      </w:pPr>
      <w:bookmarkStart w:id="321" w:name="_Toc26108"/>
      <w:bookmarkStart w:id="322" w:name="_Toc32232"/>
      <w:r>
        <w:rPr>
          <w:rFonts w:ascii="Times New Roman" w:hAnsi="Times New Roman" w:cs="Times New Roman"/>
          <w:color w:val="000000" w:themeColor="text1"/>
          <w14:textFill>
            <w14:solidFill>
              <w14:schemeClr w14:val="tx1"/>
            </w14:solidFill>
          </w14:textFill>
        </w:rPr>
        <w:t>8.1  工程投资匡算</w:t>
      </w:r>
      <w:bookmarkEnd w:id="321"/>
      <w:bookmarkEnd w:id="322"/>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23" w:name="_Toc136845484"/>
      <w:bookmarkStart w:id="324" w:name="_Toc30178"/>
      <w:r>
        <w:rPr>
          <w:rFonts w:eastAsia="黑体"/>
          <w:b/>
          <w:bCs/>
          <w:color w:val="000000" w:themeColor="text1"/>
          <w:szCs w:val="32"/>
          <w14:textFill>
            <w14:solidFill>
              <w14:schemeClr w14:val="tx1"/>
            </w14:solidFill>
          </w14:textFill>
        </w:rPr>
        <w:t>8.1.1  编制原则及依据</w:t>
      </w:r>
      <w:bookmarkEnd w:id="323"/>
      <w:bookmarkEnd w:id="324"/>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1编制原则</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执行水利部现行有关文件、规定、办法、定额、费率标准，采用2020年2季度材料设备价格。</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主体建筑工程进行单价分析，其它采用扩大指标计算。</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  主要依据</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（1）川水发[2015]9号颁发四川省水利厅关于发布《四川省水利水电工程概（估）算编制规定》的通知；</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（2）川水发[2007]20号文颁发关于《四川省水利水电建筑工程预算定额》的通知；</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（3）水总[2002]116号文颁发关于《水利工程施工机械台时费定额》的通知；</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（4）水建管[1999]523号文颁发关于《水利水电设备安装工程概算定额》的通知；</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（5）川水办[2016]109号文关于印发«营业税改增值税后‹四川省水利水电工程设计概(估)算编制规定›调整办法»(试行)的通知。</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（6）川水办[2018]62号文关于增值税税率调整后《四川省水利水电工程设计概(估)算编制规定›相应调整办法的通知。</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25" w:name="_Toc3332"/>
      <w:bookmarkStart w:id="326" w:name="_Toc136845485"/>
      <w:r>
        <w:rPr>
          <w:rFonts w:eastAsia="黑体"/>
          <w:b/>
          <w:bCs/>
          <w:color w:val="000000" w:themeColor="text1"/>
          <w:szCs w:val="32"/>
          <w14:textFill>
            <w14:solidFill>
              <w14:schemeClr w14:val="tx1"/>
            </w14:solidFill>
          </w14:textFill>
        </w:rPr>
        <w:t>8.1.2  基础资料</w:t>
      </w:r>
      <w:bookmarkEnd w:id="325"/>
      <w:bookmarkEnd w:id="326"/>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（1）人工预算单价</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工程水库枢纽工程为中型综合利用的水利枢纽工程，地区类别为一般地区，工长、高级工、中级工、初级工人工工时预算单价分别为11.06元/工时、10.22元/工时、8.52元/工时、5.87元/工时；灌区工程为引水工程，地区类别为一般地区，工长、高级工、中级工、初级工人工工时预算单价分别为8.88元/工时、8.21元/工时、6.34元/工时、4.44元/工时。</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（2）主要材料</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主要材料的价格(原价)按当地</w:t>
      </w:r>
      <w:r>
        <w:rPr>
          <w:rFonts w:ascii="Times New Roman" w:hAnsi="Times New Roman" w:eastAsia="仿宋_GB2312" w:cs="Times New Roman"/>
          <w:iCs/>
          <w:color w:val="000000" w:themeColor="text1"/>
          <w:sz w:val="28"/>
          <w:szCs w:val="28"/>
          <w:lang w:eastAsia="zh-CN"/>
          <w14:textFill>
            <w14:solidFill>
              <w14:schemeClr w14:val="tx1"/>
            </w14:solidFill>
          </w14:textFill>
        </w:rPr>
        <w:t>2020年</w:t>
      </w:r>
      <w:r>
        <w:rPr>
          <w:rFonts w:ascii="Times New Roman" w:hAnsi="Times New Roman" w:eastAsia="仿宋_GB2312" w:cs="Times New Roman"/>
          <w:iCs/>
          <w:color w:val="000000" w:themeColor="text1"/>
          <w:sz w:val="28"/>
          <w:szCs w:val="28"/>
          <w14:textFill>
            <w14:solidFill>
              <w14:schemeClr w14:val="tx1"/>
            </w14:solidFill>
          </w14:textFill>
        </w:rPr>
        <w:t>第一季度的市场价格分析计列。材料运距按工程所在地至材料供应地计算，运输方式采用汽车运输。</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根据规定：当进入工程单价的主材预算价高于基价时，主材以基价进入单价，高于基价的材料价差计取税金后列入相应单价中。</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（3）地方建材</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主要材料：原价均采用2020年1季度当地的市场价。</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地方材料：砂石料采用购买，块石（大卵石）采用购买与利用弃料相结合。</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（4）电、风、水预算价格</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1）施工用电</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本工程施工用电95%由10kV国家电网供电，基本电价为0.6215元/kW.h，5%自备柴油发电机供电，经计算水库枢纽工程综合电单价为0.7779元／kW.h；灌区工程综合电单价为0.7664元／kW.h。</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2）施工用风</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 xml:space="preserve">根据施工组织设计提供相关资料进行计算，水库枢纽工程风单价为0.1352元/ </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m³</w:t>
      </w:r>
      <w:r>
        <w:rPr>
          <w:rFonts w:ascii="Times New Roman" w:hAnsi="Times New Roman" w:eastAsia="仿宋_GB2312" w:cs="Times New Roman"/>
          <w:iCs/>
          <w:color w:val="000000" w:themeColor="text1"/>
          <w:sz w:val="28"/>
          <w:szCs w:val="28"/>
          <w14:textFill>
            <w14:solidFill>
              <w14:schemeClr w14:val="tx1"/>
            </w14:solidFill>
          </w14:textFill>
        </w:rPr>
        <w:t xml:space="preserve">；灌区工程风单价为0.1707元/ </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m³</w:t>
      </w:r>
      <w:r>
        <w:rPr>
          <w:rFonts w:ascii="Times New Roman" w:hAnsi="Times New Roman" w:eastAsia="仿宋_GB2312" w:cs="Times New Roman"/>
          <w:iCs/>
          <w:color w:val="000000" w:themeColor="text1"/>
          <w:sz w:val="28"/>
          <w:szCs w:val="28"/>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3）施工用水</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 xml:space="preserve">根据施工组织设计提供相关资料进行计算，水库枢纽工程用水单价0.6276元/ </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m³</w:t>
      </w:r>
      <w:r>
        <w:rPr>
          <w:rFonts w:ascii="Times New Roman" w:hAnsi="Times New Roman" w:eastAsia="仿宋_GB2312" w:cs="Times New Roman"/>
          <w:iCs/>
          <w:color w:val="000000" w:themeColor="text1"/>
          <w:sz w:val="28"/>
          <w:szCs w:val="28"/>
          <w14:textFill>
            <w14:solidFill>
              <w14:schemeClr w14:val="tx1"/>
            </w14:solidFill>
          </w14:textFill>
        </w:rPr>
        <w:t xml:space="preserve">；灌区工程用水单价2.0313元/ </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m³</w:t>
      </w:r>
      <w:r>
        <w:rPr>
          <w:rFonts w:ascii="Times New Roman" w:hAnsi="Times New Roman" w:eastAsia="仿宋_GB2312" w:cs="Times New Roman"/>
          <w:iCs/>
          <w:color w:val="000000" w:themeColor="text1"/>
          <w:sz w:val="28"/>
          <w:szCs w:val="28"/>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（5）混凝土砂浆材料单价</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根据设计确定的混凝土、砂浆的标号、级配，参照类似工程配合比计算。</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27" w:name="_Toc31450"/>
      <w:bookmarkStart w:id="328" w:name="_Toc136845486"/>
      <w:r>
        <w:rPr>
          <w:rFonts w:eastAsia="黑体"/>
          <w:b/>
          <w:bCs/>
          <w:color w:val="000000" w:themeColor="text1"/>
          <w:szCs w:val="32"/>
          <w14:textFill>
            <w14:solidFill>
              <w14:schemeClr w14:val="tx1"/>
            </w14:solidFill>
          </w14:textFill>
        </w:rPr>
        <w:t>8.1.3  工程投资</w:t>
      </w:r>
      <w:bookmarkEnd w:id="327"/>
      <w:bookmarkEnd w:id="328"/>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经匡算，本次规划</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近期</w:t>
      </w:r>
      <w:r>
        <w:rPr>
          <w:rFonts w:ascii="Times New Roman" w:hAnsi="Times New Roman" w:eastAsia="仿宋_GB2312" w:cs="Times New Roman"/>
          <w:iCs/>
          <w:color w:val="000000" w:themeColor="text1"/>
          <w:sz w:val="28"/>
          <w:szCs w:val="28"/>
          <w14:textFill>
            <w14:solidFill>
              <w14:schemeClr w14:val="tx1"/>
            </w14:solidFill>
          </w14:textFill>
        </w:rPr>
        <w:t>工程</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2021</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2025年</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总投资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37.80</w:t>
      </w:r>
      <w:r>
        <w:rPr>
          <w:rFonts w:ascii="Times New Roman" w:hAnsi="Times New Roman" w:eastAsia="仿宋_GB2312" w:cs="Times New Roman"/>
          <w:iCs/>
          <w:color w:val="000000" w:themeColor="text1"/>
          <w:sz w:val="28"/>
          <w:szCs w:val="28"/>
          <w14:textFill>
            <w14:solidFill>
              <w14:schemeClr w14:val="tx1"/>
            </w14:solidFill>
          </w14:textFill>
        </w:rPr>
        <w:t>亿元，其中：</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 安云水库总投资为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9.0</w:t>
      </w:r>
      <w:r>
        <w:rPr>
          <w:rFonts w:ascii="Times New Roman" w:hAnsi="Times New Roman" w:eastAsia="仿宋_GB2312" w:cs="Times New Roman"/>
          <w:iCs/>
          <w:color w:val="000000" w:themeColor="text1"/>
          <w:sz w:val="28"/>
          <w:szCs w:val="28"/>
          <w14:textFill>
            <w14:solidFill>
              <w14:schemeClr w14:val="tx1"/>
            </w14:solidFill>
          </w14:textFill>
        </w:rPr>
        <w:t>亿元（其中淹没补偿及占地投资3.33亿元）；</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 xml:space="preserve">2 </w:t>
      </w:r>
      <w:r>
        <w:rPr>
          <w:rFonts w:ascii="Times New Roman" w:hAnsi="Times New Roman" w:eastAsia="仿宋_GB2312" w:cs="Times New Roman"/>
          <w:iCs/>
          <w:color w:val="000000" w:themeColor="text1"/>
          <w:sz w:val="28"/>
          <w:szCs w:val="28"/>
          <w:lang w:eastAsia="zh-CN"/>
          <w14:textFill>
            <w14:solidFill>
              <w14:schemeClr w14:val="tx1"/>
            </w14:solidFill>
          </w14:textFill>
        </w:rPr>
        <w:t>车家河</w:t>
      </w:r>
      <w:r>
        <w:rPr>
          <w:rFonts w:ascii="Times New Roman" w:hAnsi="Times New Roman" w:eastAsia="仿宋_GB2312" w:cs="Times New Roman"/>
          <w:iCs/>
          <w:color w:val="000000" w:themeColor="text1"/>
          <w:sz w:val="28"/>
          <w:szCs w:val="28"/>
          <w14:textFill>
            <w14:solidFill>
              <w14:schemeClr w14:val="tx1"/>
            </w14:solidFill>
          </w14:textFill>
        </w:rPr>
        <w:t>水库总投资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7.85</w:t>
      </w:r>
      <w:r>
        <w:rPr>
          <w:rFonts w:ascii="Times New Roman" w:hAnsi="Times New Roman" w:eastAsia="仿宋_GB2312" w:cs="Times New Roman"/>
          <w:iCs/>
          <w:color w:val="000000" w:themeColor="text1"/>
          <w:sz w:val="28"/>
          <w:szCs w:val="28"/>
          <w14:textFill>
            <w14:solidFill>
              <w14:schemeClr w14:val="tx1"/>
            </w14:solidFill>
          </w14:textFill>
        </w:rPr>
        <w:t>亿元（其中淹没补偿及占地投资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1.76</w:t>
      </w:r>
      <w:r>
        <w:rPr>
          <w:rFonts w:ascii="Times New Roman" w:hAnsi="Times New Roman" w:eastAsia="仿宋_GB2312" w:cs="Times New Roman"/>
          <w:iCs/>
          <w:color w:val="000000" w:themeColor="text1"/>
          <w:sz w:val="28"/>
          <w:szCs w:val="28"/>
          <w14:textFill>
            <w14:solidFill>
              <w14:schemeClr w14:val="tx1"/>
            </w14:solidFill>
          </w14:textFill>
        </w:rPr>
        <w:t>亿元）；</w:t>
      </w:r>
    </w:p>
    <w:p>
      <w:pPr>
        <w:pStyle w:val="113"/>
        <w:spacing w:line="520" w:lineRule="exact"/>
        <w:ind w:firstLine="560"/>
        <w:rPr>
          <w:rFonts w:ascii="Times New Roman" w:hAnsi="Times New Roman" w:eastAsia="仿宋_GB2312" w:cs="Times New Roman"/>
          <w:iCs/>
          <w:color w:val="000000" w:themeColor="text1"/>
          <w:sz w:val="28"/>
          <w:szCs w:val="28"/>
          <w:lang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 小微型水利工程投资为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12.55</w:t>
      </w:r>
      <w:r>
        <w:rPr>
          <w:rFonts w:ascii="Times New Roman" w:hAnsi="Times New Roman" w:eastAsia="仿宋_GB2312" w:cs="Times New Roman"/>
          <w:iCs/>
          <w:color w:val="000000" w:themeColor="text1"/>
          <w:sz w:val="28"/>
          <w:szCs w:val="28"/>
          <w14:textFill>
            <w14:solidFill>
              <w14:schemeClr w14:val="tx1"/>
            </w14:solidFill>
          </w14:textFill>
        </w:rPr>
        <w:t>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4 双龙河、魏家河水生态治理工程总</w:t>
      </w:r>
      <w:r>
        <w:rPr>
          <w:rFonts w:ascii="Times New Roman" w:hAnsi="Times New Roman" w:eastAsia="仿宋_GB2312" w:cs="Times New Roman"/>
          <w:iCs/>
          <w:color w:val="000000" w:themeColor="text1"/>
          <w:sz w:val="28"/>
          <w:szCs w:val="28"/>
          <w14:textFill>
            <w14:solidFill>
              <w14:schemeClr w14:val="tx1"/>
            </w14:solidFill>
          </w14:textFill>
        </w:rPr>
        <w:t>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8.40</w:t>
      </w:r>
      <w:r>
        <w:rPr>
          <w:rFonts w:ascii="Times New Roman" w:hAnsi="Times New Roman" w:eastAsia="仿宋_GB2312" w:cs="Times New Roman"/>
          <w:iCs/>
          <w:color w:val="000000" w:themeColor="text1"/>
          <w:sz w:val="28"/>
          <w:szCs w:val="28"/>
          <w14:textFill>
            <w14:solidFill>
              <w14:schemeClr w14:val="tx1"/>
            </w14:solidFill>
          </w14:textFill>
        </w:rPr>
        <w:t>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p>
    <w:p>
      <w:pPr>
        <w:pStyle w:val="4"/>
        <w:rPr>
          <w:rFonts w:ascii="Times New Roman" w:hAnsi="Times New Roman" w:cs="Times New Roman"/>
          <w:color w:val="000000" w:themeColor="text1"/>
          <w14:textFill>
            <w14:solidFill>
              <w14:schemeClr w14:val="tx1"/>
            </w14:solidFill>
          </w14:textFill>
        </w:rPr>
      </w:pPr>
      <w:bookmarkStart w:id="329" w:name="_Toc23703"/>
      <w:bookmarkStart w:id="330" w:name="_Toc27861"/>
      <w:bookmarkStart w:id="331" w:name="_Toc16314"/>
      <w:bookmarkStart w:id="332" w:name="_Toc15864"/>
      <w:bookmarkStart w:id="333" w:name="_Toc18004"/>
      <w:r>
        <w:rPr>
          <w:rFonts w:ascii="Times New Roman" w:hAnsi="Times New Roman" w:cs="Times New Roman"/>
          <w:color w:val="000000" w:themeColor="text1"/>
          <w14:textFill>
            <w14:solidFill>
              <w14:schemeClr w14:val="tx1"/>
            </w14:solidFill>
          </w14:textFill>
        </w:rPr>
        <w:t>8.2  效益分析</w:t>
      </w:r>
      <w:bookmarkEnd w:id="329"/>
      <w:bookmarkEnd w:id="330"/>
      <w:bookmarkEnd w:id="331"/>
      <w:bookmarkEnd w:id="332"/>
      <w:bookmarkEnd w:id="333"/>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34" w:name="_Toc22755"/>
      <w:r>
        <w:rPr>
          <w:rFonts w:eastAsia="黑体"/>
          <w:b/>
          <w:bCs/>
          <w:color w:val="000000" w:themeColor="text1"/>
          <w:szCs w:val="32"/>
          <w14:textFill>
            <w14:solidFill>
              <w14:schemeClr w14:val="tx1"/>
            </w14:solidFill>
          </w14:textFill>
        </w:rPr>
        <w:t>8.2.1  灌溉效益</w:t>
      </w:r>
      <w:bookmarkEnd w:id="334"/>
    </w:p>
    <w:p>
      <w:pPr>
        <w:adjustRightInd/>
        <w:snapToGrid/>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通过本规划的实施，2035年通川区全区实现灌溉面积37.54万亩，较现状年共计增加灌溉面积25.59万亩，参考达州市其他县（区）亩均灌溉效益，本次按照亩均灌溉效益500元/亩计算，通川区灌溉效益为1.28亿元。</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35" w:name="_Toc26229"/>
      <w:r>
        <w:rPr>
          <w:rFonts w:eastAsia="黑体"/>
          <w:b/>
          <w:bCs/>
          <w:color w:val="000000" w:themeColor="text1"/>
          <w:szCs w:val="32"/>
          <w14:textFill>
            <w14:solidFill>
              <w14:schemeClr w14:val="tx1"/>
            </w14:solidFill>
          </w14:textFill>
        </w:rPr>
        <w:t>8.2.2  供水效益</w:t>
      </w:r>
      <w:bookmarkEnd w:id="335"/>
    </w:p>
    <w:p>
      <w:pPr>
        <w:adjustRightInd/>
        <w:snapToGrid/>
        <w:spacing w:line="520" w:lineRule="exact"/>
        <w:ind w:firstLine="560"/>
        <w:rPr>
          <w:iCs/>
          <w:color w:val="000000" w:themeColor="text1"/>
          <w:szCs w:val="28"/>
          <w14:textFill>
            <w14:solidFill>
              <w14:schemeClr w14:val="tx1"/>
            </w14:solidFill>
          </w14:textFill>
        </w:rPr>
      </w:pPr>
      <w:r>
        <w:rPr>
          <w:iCs/>
          <w:color w:val="000000" w:themeColor="text1"/>
          <w:szCs w:val="28"/>
          <w14:textFill>
            <w14:solidFill>
              <w14:schemeClr w14:val="tx1"/>
            </w14:solidFill>
          </w14:textFill>
        </w:rPr>
        <w:t>通过本规划的实施，2035年通川区供水水量26080万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，其中城镇供水水量16028万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，较现状增供水量6974万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，采用影子水价5.0元/</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计算，设计年城镇生产生活供水效益为3.49亿元；其中农村供水量1933万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，较现状增供水量539万</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，采用影子水价3.0元/</w:t>
      </w:r>
      <w:r>
        <w:rPr>
          <w:rFonts w:hint="eastAsia"/>
          <w:iCs/>
          <w:color w:val="000000" w:themeColor="text1"/>
          <w:szCs w:val="28"/>
          <w14:textFill>
            <w14:solidFill>
              <w14:schemeClr w14:val="tx1"/>
            </w14:solidFill>
          </w14:textFill>
        </w:rPr>
        <w:t>m³</w:t>
      </w:r>
      <w:r>
        <w:rPr>
          <w:iCs/>
          <w:color w:val="000000" w:themeColor="text1"/>
          <w:szCs w:val="28"/>
          <w14:textFill>
            <w14:solidFill>
              <w14:schemeClr w14:val="tx1"/>
            </w14:solidFill>
          </w14:textFill>
        </w:rPr>
        <w:t>计算，设计年城镇生产生活供水效益为0.16亿元。</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36" w:name="_Toc16756"/>
      <w:r>
        <w:rPr>
          <w:rFonts w:eastAsia="黑体"/>
          <w:b/>
          <w:bCs/>
          <w:color w:val="000000" w:themeColor="text1"/>
          <w:szCs w:val="32"/>
          <w14:textFill>
            <w14:solidFill>
              <w14:schemeClr w14:val="tx1"/>
            </w14:solidFill>
          </w14:textFill>
        </w:rPr>
        <w:t>8.2.3  社会效益</w:t>
      </w:r>
      <w:bookmarkEnd w:id="336"/>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水资源是基础性自然资源，是生态环境的控制性要素，同时又是战略性经济资源。水资源在国民经济发展中的基础地位，决定了它的开发利用保护程度和状况成为区域经济社会发展水平的重要标志。</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以水资源可持续利用支撑经济社会可持续发展为主线，着力提高水资源利用效率和水资源配置能力，按照强化节约用水模式，人与自然、水量水质统筹考虑，合理配置水资源，促进资源节约型、环境友好型社会建设，使水资源配置与社会、经济和资源发展布局相互协调。规划保障重点地区的水资源安全，改善城乡人民的生活、生产条件，重视基本生活用水的要求，提高了人民生活水平，保障小康目标的实现，有利于构建和谐社会。</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通过合理配置水资源，有助于促进区域、城乡的协调发展。规划一方面突出了能源基地、城市连绵区、重要经济区等重点地区的水资源配置，另一方面重视新农村建设的水资源配置，提高了农村居民生活用水水平，改善了农村环境用水，城乡生活用水差别显著缩小，有助于统筹城乡协调发展。缩小了城乡、各用水部门之间社会、经济、生态环境与资源利用的协调发展。</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实施后，可显著提高城乡饮水安全保障程度，保障城乡人民生命健康；可显著提高城镇供水安全保障程度，促进城镇经济社会发展；可显著提高粮食安全供水安全保障程度，促进社会主义新农村建设；可显著提高特殊干旱情况下的供水安全保障程度，保障经济发展和社会稳定。规划实施对促进区域和城乡协调发展具有重要作用。</w:t>
      </w:r>
    </w:p>
    <w:p>
      <w:pPr>
        <w:keepNext/>
        <w:keepLines/>
        <w:adjustRightInd/>
        <w:snapToGrid/>
        <w:spacing w:before="260" w:after="260" w:line="520" w:lineRule="exact"/>
        <w:ind w:firstLine="0" w:firstLineChars="0"/>
        <w:outlineLvl w:val="2"/>
        <w:rPr>
          <w:rFonts w:eastAsia="黑体"/>
          <w:b/>
          <w:bCs/>
          <w:color w:val="000000" w:themeColor="text1"/>
          <w:szCs w:val="32"/>
          <w14:textFill>
            <w14:solidFill>
              <w14:schemeClr w14:val="tx1"/>
            </w14:solidFill>
          </w14:textFill>
        </w:rPr>
      </w:pPr>
      <w:bookmarkStart w:id="337" w:name="_Toc27398"/>
      <w:r>
        <w:rPr>
          <w:rFonts w:eastAsia="黑体"/>
          <w:b/>
          <w:bCs/>
          <w:color w:val="000000" w:themeColor="text1"/>
          <w:szCs w:val="32"/>
          <w14:textFill>
            <w14:solidFill>
              <w14:schemeClr w14:val="tx1"/>
            </w14:solidFill>
          </w14:textFill>
        </w:rPr>
        <w:t>8.2.4 生态效益</w:t>
      </w:r>
      <w:bookmarkEnd w:id="337"/>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规划统筹协调了人与自然、河道内外用水，严格按照可利用量控制水资源的开发，按纳污能力控制用水和排污，按基本生态用水控制断面流量，合理配置</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三生</w:t>
      </w:r>
      <w:r>
        <w:rPr>
          <w:rFonts w:hint="eastAsia" w:ascii="Times New Roman" w:hAnsi="Times New Roman" w:eastAsia="仿宋_GB2312" w:cs="Times New Roman"/>
          <w:iCs/>
          <w:color w:val="000000" w:themeColor="text1"/>
          <w:sz w:val="28"/>
          <w:szCs w:val="28"/>
          <w14:textFill>
            <w14:solidFill>
              <w14:schemeClr w14:val="tx1"/>
            </w14:solidFill>
          </w14:textFill>
        </w:rPr>
        <w:t>”</w:t>
      </w:r>
      <w:r>
        <w:rPr>
          <w:rFonts w:ascii="Times New Roman" w:hAnsi="Times New Roman" w:eastAsia="仿宋_GB2312" w:cs="Times New Roman"/>
          <w:iCs/>
          <w:color w:val="000000" w:themeColor="text1"/>
          <w:sz w:val="28"/>
          <w:szCs w:val="28"/>
          <w14:textFill>
            <w14:solidFill>
              <w14:schemeClr w14:val="tx1"/>
            </w14:solidFill>
          </w14:textFill>
        </w:rPr>
        <w:t>用水；协调了经济用水与生态环境用水，考虑了河道的最小生态用水要求，在促进经济发展的同时，河流生态状况得到明显改善；注重了城镇环境、湿地补水以及生态林草建设等生态建设用水，为生态环境建设提供水资源保障。</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实施后，通过加大污水处理力度、提高污水处理回用量、加强河湖污染治理和生态修复等措施，可有效降低排入河湖的污染物量，逐步恢复河湖水体功能，改善河湖生态环境。规划按照人水和谐的理念，对水资源开发利用程度较低、尚有较大开发利用潜力的河流，按照水资源可利用量进行河流开发利用程度控制，保障河流生态环境用水要求；对水资源开发利用程度较高、河流生态环境用水已被挤占的河流，逐步退还生态环境用水，改善或逐渐恢复河流生态环境。规划实施后，除带来显著的经济效益、社会效益外，还将产生巨大的生态环境效益，促进人与自然的和谐发展。</w:t>
      </w:r>
    </w:p>
    <w:p>
      <w:pPr>
        <w:pStyle w:val="2"/>
        <w:ind w:firstLine="560"/>
        <w:rPr>
          <w:color w:val="000000" w:themeColor="text1"/>
          <w:lang w:val="zh-TW" w:eastAsia="zh-TW" w:bidi="zh-TW"/>
          <w14:textFill>
            <w14:solidFill>
              <w14:schemeClr w14:val="tx1"/>
            </w14:solidFill>
          </w14:textFill>
        </w:rPr>
      </w:pPr>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338" w:name="_Toc20419"/>
      <w:bookmarkStart w:id="339" w:name="_Toc25025"/>
      <w:bookmarkStart w:id="340" w:name="_Toc2224"/>
      <w:bookmarkStart w:id="341" w:name="_Toc20864"/>
      <w:bookmarkStart w:id="342" w:name="_Toc11667"/>
      <w:r>
        <w:rPr>
          <w:color w:val="000000" w:themeColor="text1"/>
          <w14:textFill>
            <w14:solidFill>
              <w14:schemeClr w14:val="tx1"/>
            </w14:solidFill>
          </w14:textFill>
        </w:rPr>
        <w:t>9  工程分期及近期实施意见</w:t>
      </w:r>
      <w:bookmarkEnd w:id="338"/>
      <w:bookmarkEnd w:id="339"/>
      <w:bookmarkEnd w:id="340"/>
      <w:bookmarkEnd w:id="341"/>
      <w:bookmarkEnd w:id="342"/>
    </w:p>
    <w:p>
      <w:pPr>
        <w:pStyle w:val="4"/>
        <w:rPr>
          <w:rFonts w:ascii="Times New Roman" w:hAnsi="Times New Roman" w:cs="Times New Roman"/>
          <w:color w:val="000000" w:themeColor="text1"/>
          <w14:textFill>
            <w14:solidFill>
              <w14:schemeClr w14:val="tx1"/>
            </w14:solidFill>
          </w14:textFill>
        </w:rPr>
      </w:pPr>
      <w:bookmarkStart w:id="343" w:name="_Toc6994"/>
      <w:bookmarkStart w:id="344" w:name="_Toc9671"/>
      <w:bookmarkStart w:id="345" w:name="_Toc411"/>
      <w:bookmarkStart w:id="346" w:name="_Toc15448"/>
      <w:bookmarkStart w:id="347" w:name="_Toc12869"/>
      <w:r>
        <w:rPr>
          <w:rFonts w:ascii="Times New Roman" w:hAnsi="Times New Roman" w:cs="Times New Roman"/>
          <w:color w:val="000000" w:themeColor="text1"/>
          <w14:textFill>
            <w14:solidFill>
              <w14:schemeClr w14:val="tx1"/>
            </w14:solidFill>
          </w14:textFill>
        </w:rPr>
        <w:t>9.1  工程分期</w:t>
      </w:r>
      <w:bookmarkEnd w:id="343"/>
      <w:bookmarkEnd w:id="344"/>
      <w:bookmarkEnd w:id="345"/>
      <w:bookmarkEnd w:id="346"/>
      <w:bookmarkEnd w:id="347"/>
    </w:p>
    <w:p>
      <w:pPr>
        <w:pStyle w:val="5"/>
        <w:rPr>
          <w:rFonts w:ascii="Times New Roman" w:hAnsi="Times New Roman"/>
          <w:color w:val="000000" w:themeColor="text1"/>
          <w14:textFill>
            <w14:solidFill>
              <w14:schemeClr w14:val="tx1"/>
            </w14:solidFill>
          </w14:textFill>
        </w:rPr>
      </w:pPr>
      <w:bookmarkStart w:id="348" w:name="_Toc6223"/>
      <w:r>
        <w:rPr>
          <w:rFonts w:ascii="Times New Roman" w:hAnsi="Times New Roman"/>
          <w:color w:val="000000" w:themeColor="text1"/>
          <w14:textFill>
            <w14:solidFill>
              <w14:schemeClr w14:val="tx1"/>
            </w14:solidFill>
          </w14:textFill>
        </w:rPr>
        <w:t>9.1.1  分期原则</w:t>
      </w:r>
      <w:bookmarkEnd w:id="348"/>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 工程分期要考虑国家及地方经济的承受能力，分轻重缓急，逐步实施，优先安排控制性骨干工程和效益好的工程。</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 工程分期应近、远期相结合、逐步实施，坚持做到建成一片、配套一片、受益一片。</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3 为了使工程能够良性运行，宜首先建设农业灌溉需水迫切、人畜饮水特别困难、城镇供水效益较好的工程。</w:t>
      </w:r>
    </w:p>
    <w:p>
      <w:pPr>
        <w:pStyle w:val="5"/>
        <w:rPr>
          <w:rFonts w:ascii="Times New Roman" w:hAnsi="Times New Roman"/>
          <w:color w:val="000000" w:themeColor="text1"/>
          <w14:textFill>
            <w14:solidFill>
              <w14:schemeClr w14:val="tx1"/>
            </w14:solidFill>
          </w14:textFill>
        </w:rPr>
      </w:pPr>
      <w:bookmarkStart w:id="349" w:name="_Toc23383"/>
      <w:r>
        <w:rPr>
          <w:rFonts w:ascii="Times New Roman" w:hAnsi="Times New Roman"/>
          <w:color w:val="000000" w:themeColor="text1"/>
          <w14:textFill>
            <w14:solidFill>
              <w14:schemeClr w14:val="tx1"/>
            </w14:solidFill>
          </w14:textFill>
        </w:rPr>
        <w:t>9.1.2  工程分期</w:t>
      </w:r>
      <w:bookmarkEnd w:id="349"/>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根据上述原则，将本规划工程分为两期：</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1</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近期开工（2021年</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2025年）</w:t>
      </w:r>
    </w:p>
    <w:p>
      <w:pPr>
        <w:pStyle w:val="113"/>
        <w:spacing w:line="520" w:lineRule="exact"/>
        <w:ind w:firstLine="560"/>
        <w:rPr>
          <w:rFonts w:ascii="Times New Roman" w:hAnsi="Times New Roman" w:eastAsia="仿宋_GB2312" w:cs="Times New Roman"/>
          <w:iCs/>
          <w:color w:val="000000" w:themeColor="text1"/>
          <w:sz w:val="28"/>
          <w:szCs w:val="28"/>
          <w:lang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新建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安云水库，总投资9.0亿元，十四五期间工程投资1.10亿元；车家河水库开展前期工作，工程总投资7.85亿元，十四五期间工程投资0.1亿元；</w:t>
      </w:r>
      <w:r>
        <w:rPr>
          <w:rFonts w:ascii="Times New Roman" w:hAnsi="Times New Roman" w:eastAsia="仿宋_GB2312" w:cs="Times New Roman"/>
          <w:iCs/>
          <w:color w:val="000000" w:themeColor="text1"/>
          <w:sz w:val="28"/>
          <w:szCs w:val="28"/>
          <w14:textFill>
            <w14:solidFill>
              <w14:schemeClr w14:val="tx1"/>
            </w14:solidFill>
          </w14:textFill>
        </w:rPr>
        <w:t>修建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11</w:t>
      </w:r>
      <w:r>
        <w:rPr>
          <w:rFonts w:ascii="Times New Roman" w:hAnsi="Times New Roman" w:eastAsia="仿宋_GB2312" w:cs="Times New Roman"/>
          <w:iCs/>
          <w:color w:val="000000" w:themeColor="text1"/>
          <w:sz w:val="28"/>
          <w:szCs w:val="28"/>
          <w14:textFill>
            <w14:solidFill>
              <w14:schemeClr w14:val="tx1"/>
            </w14:solidFill>
          </w14:textFill>
        </w:rPr>
        <w:t>座小型水库工程及一批小微型水利设施，</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工程总</w:t>
      </w:r>
      <w:r>
        <w:rPr>
          <w:rFonts w:ascii="Times New Roman" w:hAnsi="Times New Roman" w:eastAsia="仿宋_GB2312" w:cs="Times New Roman"/>
          <w:iCs/>
          <w:color w:val="000000" w:themeColor="text1"/>
          <w:sz w:val="28"/>
          <w:szCs w:val="28"/>
          <w14:textFill>
            <w14:solidFill>
              <w14:schemeClr w14:val="tx1"/>
            </w14:solidFill>
          </w14:textFill>
        </w:rPr>
        <w:t>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12.55</w:t>
      </w:r>
      <w:r>
        <w:rPr>
          <w:rFonts w:ascii="Times New Roman" w:hAnsi="Times New Roman" w:eastAsia="仿宋_GB2312" w:cs="Times New Roman"/>
          <w:iCs/>
          <w:color w:val="000000" w:themeColor="text1"/>
          <w:sz w:val="28"/>
          <w:szCs w:val="28"/>
          <w14:textFill>
            <w14:solidFill>
              <w14:schemeClr w14:val="tx1"/>
            </w14:solidFill>
          </w14:textFill>
        </w:rPr>
        <w:t>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十四五期间工程投资12.55亿元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修建双龙河、魏家河水生态治理工程，工程总</w:t>
      </w:r>
      <w:r>
        <w:rPr>
          <w:rFonts w:ascii="Times New Roman" w:hAnsi="Times New Roman" w:eastAsia="仿宋_GB2312" w:cs="Times New Roman"/>
          <w:iCs/>
          <w:color w:val="000000" w:themeColor="text1"/>
          <w:sz w:val="28"/>
          <w:szCs w:val="28"/>
          <w14:textFill>
            <w14:solidFill>
              <w14:schemeClr w14:val="tx1"/>
            </w14:solidFill>
          </w14:textFill>
        </w:rPr>
        <w:t>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8.40</w:t>
      </w:r>
      <w:r>
        <w:rPr>
          <w:rFonts w:ascii="Times New Roman" w:hAnsi="Times New Roman" w:eastAsia="仿宋_GB2312" w:cs="Times New Roman"/>
          <w:iCs/>
          <w:color w:val="000000" w:themeColor="text1"/>
          <w:sz w:val="28"/>
          <w:szCs w:val="28"/>
          <w14:textFill>
            <w14:solidFill>
              <w14:schemeClr w14:val="tx1"/>
            </w14:solidFill>
          </w14:textFill>
        </w:rPr>
        <w:t>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十四五期间工程投资8.40亿元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近期开工项目工程总投资合计37.80亿元</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其中十四五期间工程投资22.15</w:t>
      </w:r>
      <w:r>
        <w:rPr>
          <w:rFonts w:ascii="Times New Roman" w:hAnsi="Times New Roman" w:eastAsia="仿宋_GB2312" w:cs="Times New Roman"/>
          <w:iCs/>
          <w:color w:val="000000" w:themeColor="text1"/>
          <w:sz w:val="28"/>
          <w:szCs w:val="28"/>
          <w14:textFill>
            <w14:solidFill>
              <w14:schemeClr w14:val="tx1"/>
            </w14:solidFill>
          </w14:textFill>
        </w:rPr>
        <w:t>亿元。</w:t>
      </w:r>
    </w:p>
    <w:p>
      <w:pPr>
        <w:pStyle w:val="113"/>
        <w:spacing w:line="520" w:lineRule="exact"/>
        <w:ind w:firstLine="560"/>
        <w:rPr>
          <w:rFonts w:ascii="Times New Roman" w:hAnsi="Times New Roman" w:eastAsia="仿宋_GB2312" w:cs="Times New Roman"/>
          <w:iCs/>
          <w:color w:val="000000" w:themeColor="text1"/>
          <w:sz w:val="28"/>
          <w:szCs w:val="28"/>
          <w:lang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2</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远期开工</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2026年</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2035年</w:t>
      </w:r>
      <w:r>
        <w:rPr>
          <w:rFonts w:ascii="Times New Roman" w:hAnsi="Times New Roman" w:eastAsia="仿宋_GB2312" w:cs="Times New Roman"/>
          <w:iCs/>
          <w:color w:val="000000" w:themeColor="text1"/>
          <w:sz w:val="28"/>
          <w:szCs w:val="28"/>
          <w:lang w:eastAsia="zh-CN"/>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新建</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车家河、长滩河</w:t>
      </w:r>
      <w:r>
        <w:rPr>
          <w:rFonts w:ascii="Times New Roman" w:hAnsi="Times New Roman" w:eastAsia="仿宋_GB2312" w:cs="Times New Roman"/>
          <w:iCs/>
          <w:color w:val="000000" w:themeColor="text1"/>
          <w:sz w:val="28"/>
          <w:szCs w:val="28"/>
          <w14:textFill>
            <w14:solidFill>
              <w14:schemeClr w14:val="tx1"/>
            </w14:solidFill>
          </w14:textFill>
        </w:rPr>
        <w:t>中型水库工程</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16座小型水库工程以及一批小型水源工程，</w:t>
      </w:r>
      <w:r>
        <w:rPr>
          <w:rFonts w:ascii="Times New Roman" w:hAnsi="Times New Roman" w:eastAsia="仿宋_GB2312" w:cs="Times New Roman"/>
          <w:iCs/>
          <w:color w:val="000000" w:themeColor="text1"/>
          <w:sz w:val="28"/>
          <w:szCs w:val="28"/>
          <w14:textFill>
            <w14:solidFill>
              <w14:schemeClr w14:val="tx1"/>
            </w14:solidFill>
          </w14:textFill>
        </w:rPr>
        <w:t>工程</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初步</w:t>
      </w:r>
      <w:r>
        <w:rPr>
          <w:rFonts w:ascii="Times New Roman" w:hAnsi="Times New Roman" w:eastAsia="仿宋_GB2312" w:cs="Times New Roman"/>
          <w:iCs/>
          <w:color w:val="000000" w:themeColor="text1"/>
          <w:sz w:val="28"/>
          <w:szCs w:val="28"/>
          <w14:textFill>
            <w14:solidFill>
              <w14:schemeClr w14:val="tx1"/>
            </w14:solidFill>
          </w14:textFill>
        </w:rPr>
        <w:t>投资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33.78</w:t>
      </w:r>
      <w:r>
        <w:rPr>
          <w:rFonts w:ascii="Times New Roman" w:hAnsi="Times New Roman" w:eastAsia="仿宋_GB2312" w:cs="Times New Roman"/>
          <w:iCs/>
          <w:color w:val="000000" w:themeColor="text1"/>
          <w:sz w:val="28"/>
          <w:szCs w:val="28"/>
          <w14:textFill>
            <w14:solidFill>
              <w14:schemeClr w14:val="tx1"/>
            </w14:solidFill>
          </w14:textFill>
        </w:rPr>
        <w:t>亿元。</w:t>
      </w:r>
    </w:p>
    <w:p>
      <w:pPr>
        <w:pStyle w:val="4"/>
        <w:rPr>
          <w:rFonts w:ascii="Times New Roman" w:hAnsi="Times New Roman" w:cs="Times New Roman"/>
          <w:color w:val="000000" w:themeColor="text1"/>
          <w14:textFill>
            <w14:solidFill>
              <w14:schemeClr w14:val="tx1"/>
            </w14:solidFill>
          </w14:textFill>
        </w:rPr>
      </w:pPr>
      <w:bookmarkStart w:id="350" w:name="_Toc29660"/>
      <w:bookmarkStart w:id="351" w:name="_Toc16188"/>
      <w:bookmarkStart w:id="352" w:name="_Toc32310"/>
      <w:bookmarkStart w:id="353" w:name="_Toc16459"/>
      <w:bookmarkStart w:id="354" w:name="_Toc9171"/>
      <w:r>
        <w:rPr>
          <w:rFonts w:ascii="Times New Roman" w:hAnsi="Times New Roman" w:cs="Times New Roman"/>
          <w:color w:val="000000" w:themeColor="text1"/>
          <w14:textFill>
            <w14:solidFill>
              <w14:schemeClr w14:val="tx1"/>
            </w14:solidFill>
          </w14:textFill>
        </w:rPr>
        <w:t>9.2  一期重点工程实施意见</w:t>
      </w:r>
      <w:bookmarkEnd w:id="350"/>
      <w:bookmarkEnd w:id="351"/>
      <w:bookmarkEnd w:id="352"/>
      <w:bookmarkEnd w:id="353"/>
      <w:bookmarkEnd w:id="354"/>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为了使工程能够良性运行，宜将农业灌溉需水迫切、城镇供水效益较好的工程纳入</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近期</w:t>
      </w:r>
      <w:r>
        <w:rPr>
          <w:rFonts w:ascii="Times New Roman" w:hAnsi="Times New Roman" w:eastAsia="仿宋_GB2312" w:cs="Times New Roman"/>
          <w:iCs/>
          <w:color w:val="000000" w:themeColor="text1"/>
          <w:sz w:val="28"/>
          <w:szCs w:val="28"/>
          <w14:textFill>
            <w14:solidFill>
              <w14:schemeClr w14:val="tx1"/>
            </w14:solidFill>
          </w14:textFill>
        </w:rPr>
        <w:t>，并优先安排控制性骨干工程。根据本工程实际，将</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安云水库、车家河水库</w:t>
      </w:r>
      <w:r>
        <w:rPr>
          <w:rFonts w:ascii="Times New Roman" w:hAnsi="Times New Roman" w:eastAsia="仿宋_GB2312" w:cs="Times New Roman"/>
          <w:iCs/>
          <w:color w:val="000000" w:themeColor="text1"/>
          <w:sz w:val="28"/>
          <w:szCs w:val="28"/>
          <w14:textFill>
            <w14:solidFill>
              <w14:schemeClr w14:val="tx1"/>
            </w14:solidFill>
          </w14:textFill>
        </w:rPr>
        <w:t>作为近期工程</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重点工程</w:t>
      </w:r>
      <w:r>
        <w:rPr>
          <w:rFonts w:ascii="Times New Roman" w:hAnsi="Times New Roman" w:eastAsia="仿宋_GB2312" w:cs="Times New Roman"/>
          <w:iCs/>
          <w:color w:val="000000" w:themeColor="text1"/>
          <w:sz w:val="28"/>
          <w:szCs w:val="28"/>
          <w14:textFill>
            <w14:solidFill>
              <w14:schemeClr w14:val="tx1"/>
            </w14:solidFill>
          </w14:textFill>
        </w:rPr>
        <w:t>。</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安云水库</w:t>
      </w:r>
      <w:r>
        <w:rPr>
          <w:rFonts w:ascii="Times New Roman" w:hAnsi="Times New Roman" w:eastAsia="仿宋_GB2312" w:cs="Times New Roman"/>
          <w:iCs/>
          <w:color w:val="000000" w:themeColor="text1"/>
          <w:sz w:val="28"/>
          <w:szCs w:val="28"/>
          <w:lang w:val="en-US" w:eastAsia="zh-CN" w:bidi="ar-SA"/>
          <w14:textFill>
            <w14:solidFill>
              <w14:schemeClr w14:val="tx1"/>
            </w14:solidFill>
          </w14:textFill>
        </w:rPr>
        <w:t>建成后将解决引水沿线安云乡、青宁镇、碑庙镇、金石镇共4个乡镇的生活饮用水问题，设计灌面约5.8万亩，</w:t>
      </w:r>
      <w:r>
        <w:rPr>
          <w:rFonts w:ascii="Times New Roman" w:hAnsi="Times New Roman" w:eastAsia="仿宋_GB2312" w:cs="Times New Roman"/>
          <w:iCs/>
          <w:color w:val="000000" w:themeColor="text1"/>
          <w:sz w:val="28"/>
          <w:szCs w:val="28"/>
          <w14:textFill>
            <w14:solidFill>
              <w14:schemeClr w14:val="tx1"/>
            </w14:solidFill>
          </w14:textFill>
        </w:rPr>
        <w:t>解决区内城镇人口</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0.69</w:t>
      </w:r>
      <w:r>
        <w:rPr>
          <w:rFonts w:ascii="Times New Roman" w:hAnsi="Times New Roman" w:eastAsia="仿宋_GB2312" w:cs="Times New Roman"/>
          <w:iCs/>
          <w:color w:val="000000" w:themeColor="text1"/>
          <w:sz w:val="28"/>
          <w:szCs w:val="28"/>
          <w14:textFill>
            <w14:solidFill>
              <w14:schemeClr w14:val="tx1"/>
            </w14:solidFill>
          </w14:textFill>
        </w:rPr>
        <w:t>万人、乡村人口</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4.25</w:t>
      </w:r>
      <w:r>
        <w:rPr>
          <w:rFonts w:ascii="Times New Roman" w:hAnsi="Times New Roman" w:eastAsia="仿宋_GB2312" w:cs="Times New Roman"/>
          <w:iCs/>
          <w:color w:val="000000" w:themeColor="text1"/>
          <w:sz w:val="28"/>
          <w:szCs w:val="28"/>
          <w14:textFill>
            <w14:solidFill>
              <w14:schemeClr w14:val="tx1"/>
            </w14:solidFill>
          </w14:textFill>
        </w:rPr>
        <w:t>万人和牲畜</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6.77万</w:t>
      </w:r>
      <w:r>
        <w:rPr>
          <w:rFonts w:ascii="Times New Roman" w:hAnsi="Times New Roman" w:eastAsia="仿宋_GB2312" w:cs="Times New Roman"/>
          <w:iCs/>
          <w:color w:val="000000" w:themeColor="text1"/>
          <w:sz w:val="28"/>
          <w:szCs w:val="28"/>
          <w14:textFill>
            <w14:solidFill>
              <w14:schemeClr w14:val="tx1"/>
            </w14:solidFill>
          </w14:textFill>
        </w:rPr>
        <w:t>头生活用水，社会经济效益十分显著。</w:t>
      </w:r>
    </w:p>
    <w:p>
      <w:pPr>
        <w:pStyle w:val="113"/>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车家河水库</w:t>
      </w:r>
      <w:r>
        <w:rPr>
          <w:rFonts w:ascii="Times New Roman" w:hAnsi="Times New Roman" w:eastAsia="仿宋_GB2312" w:cs="Times New Roman"/>
          <w:iCs/>
          <w:color w:val="000000" w:themeColor="text1"/>
          <w:sz w:val="28"/>
          <w:szCs w:val="28"/>
          <w:lang w:val="en-US" w:eastAsia="zh-CN" w:bidi="ar-SA"/>
          <w14:textFill>
            <w14:solidFill>
              <w14:schemeClr w14:val="tx1"/>
            </w14:solidFill>
          </w14:textFill>
        </w:rPr>
        <w:t>建成后将主要解决引水沿线北山镇、碑庙镇、梓桐镇、江陵镇的生活饮用水及灌溉用水问题，设计灌面约4.2万亩，</w:t>
      </w:r>
      <w:r>
        <w:rPr>
          <w:rFonts w:ascii="Times New Roman" w:hAnsi="Times New Roman" w:eastAsia="仿宋_GB2312" w:cs="Times New Roman"/>
          <w:iCs/>
          <w:color w:val="000000" w:themeColor="text1"/>
          <w:sz w:val="28"/>
          <w:szCs w:val="28"/>
          <w14:textFill>
            <w14:solidFill>
              <w14:schemeClr w14:val="tx1"/>
            </w14:solidFill>
          </w14:textFill>
        </w:rPr>
        <w:t>解决区内城镇人口</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0.66</w:t>
      </w:r>
      <w:r>
        <w:rPr>
          <w:rFonts w:ascii="Times New Roman" w:hAnsi="Times New Roman" w:eastAsia="仿宋_GB2312" w:cs="Times New Roman"/>
          <w:iCs/>
          <w:color w:val="000000" w:themeColor="text1"/>
          <w:sz w:val="28"/>
          <w:szCs w:val="28"/>
          <w14:textFill>
            <w14:solidFill>
              <w14:schemeClr w14:val="tx1"/>
            </w14:solidFill>
          </w14:textFill>
        </w:rPr>
        <w:t>万人、乡村人口</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3.39</w:t>
      </w:r>
      <w:r>
        <w:rPr>
          <w:rFonts w:ascii="Times New Roman" w:hAnsi="Times New Roman" w:eastAsia="仿宋_GB2312" w:cs="Times New Roman"/>
          <w:iCs/>
          <w:color w:val="000000" w:themeColor="text1"/>
          <w:sz w:val="28"/>
          <w:szCs w:val="28"/>
          <w14:textFill>
            <w14:solidFill>
              <w14:schemeClr w14:val="tx1"/>
            </w14:solidFill>
          </w14:textFill>
        </w:rPr>
        <w:t>万人和牲畜</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6.08万</w:t>
      </w:r>
      <w:r>
        <w:rPr>
          <w:rFonts w:ascii="Times New Roman" w:hAnsi="Times New Roman" w:eastAsia="仿宋_GB2312" w:cs="Times New Roman"/>
          <w:iCs/>
          <w:color w:val="000000" w:themeColor="text1"/>
          <w:sz w:val="28"/>
          <w:szCs w:val="28"/>
          <w14:textFill>
            <w14:solidFill>
              <w14:schemeClr w14:val="tx1"/>
            </w14:solidFill>
          </w14:textFill>
        </w:rPr>
        <w:t>头生活用水，社会经济效益十分显著。</w:t>
      </w:r>
    </w:p>
    <w:p>
      <w:pPr>
        <w:pStyle w:val="113"/>
        <w:spacing w:line="520" w:lineRule="exact"/>
        <w:ind w:firstLine="560"/>
        <w:rPr>
          <w:rFonts w:ascii="Times New Roman" w:hAnsi="Times New Roman" w:eastAsia="仿宋_GB2312" w:cs="Times New Roman"/>
          <w:iCs/>
          <w:color w:val="000000" w:themeColor="text1"/>
          <w:sz w:val="28"/>
          <w:szCs w:val="28"/>
          <w:lang w:val="en-US" w:eastAsia="zh-CN"/>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双龙河、魏家河水生态治理工程主要解决通川区城市发展区的水生态环境问题，为双龙河2025年、2035年年平均生态补水量分别为597万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与1381万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，为魏家河2025年、2035年年平均生态补水量分别为313万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与650万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。工程实施后，为提升城市形象，提高人民幸福指数，促进经济社会发展都有重要作用，经济效益、社会效益、生态效益十分显著。</w:t>
      </w:r>
    </w:p>
    <w:p>
      <w:pPr>
        <w:pStyle w:val="4"/>
        <w:rPr>
          <w:rFonts w:ascii="Times New Roman" w:hAnsi="Times New Roman" w:cs="Times New Roman"/>
          <w:color w:val="000000" w:themeColor="text1"/>
          <w14:textFill>
            <w14:solidFill>
              <w14:schemeClr w14:val="tx1"/>
            </w14:solidFill>
          </w14:textFill>
        </w:rPr>
      </w:pPr>
      <w:bookmarkStart w:id="355" w:name="_Toc15722"/>
      <w:bookmarkStart w:id="356" w:name="_Toc17382"/>
      <w:bookmarkStart w:id="357" w:name="_Toc32428"/>
      <w:bookmarkStart w:id="358" w:name="_Toc16521"/>
      <w:bookmarkStart w:id="359" w:name="_Toc15846"/>
      <w:r>
        <w:rPr>
          <w:rFonts w:ascii="Times New Roman" w:hAnsi="Times New Roman" w:cs="Times New Roman"/>
          <w:color w:val="000000" w:themeColor="text1"/>
          <w14:textFill>
            <w14:solidFill>
              <w14:schemeClr w14:val="tx1"/>
            </w14:solidFill>
          </w14:textFill>
        </w:rPr>
        <w:t>9.3  建议</w:t>
      </w:r>
      <w:bookmarkEnd w:id="355"/>
      <w:bookmarkEnd w:id="356"/>
      <w:bookmarkEnd w:id="357"/>
      <w:bookmarkEnd w:id="358"/>
      <w:bookmarkEnd w:id="359"/>
    </w:p>
    <w:p>
      <w:pPr>
        <w:pStyle w:val="113"/>
        <w:numPr>
          <w:ilvl w:val="0"/>
          <w:numId w:val="9"/>
        </w:numPr>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规划的</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安云</w:t>
      </w:r>
      <w:r>
        <w:rPr>
          <w:rFonts w:ascii="Times New Roman" w:hAnsi="Times New Roman" w:eastAsia="仿宋_GB2312" w:cs="Times New Roman"/>
          <w:iCs/>
          <w:color w:val="000000" w:themeColor="text1"/>
          <w:sz w:val="28"/>
          <w:szCs w:val="28"/>
          <w14:textFill>
            <w14:solidFill>
              <w14:schemeClr w14:val="tx1"/>
            </w14:solidFill>
          </w14:textFill>
        </w:rPr>
        <w:t>水库</w:t>
      </w:r>
      <w:r>
        <w:rPr>
          <w:rFonts w:ascii="Times New Roman" w:hAnsi="Times New Roman" w:eastAsia="仿宋_GB2312" w:cs="Times New Roman"/>
          <w:iCs/>
          <w:color w:val="000000" w:themeColor="text1"/>
          <w:sz w:val="28"/>
          <w:szCs w:val="28"/>
          <w:lang w:eastAsia="zh-CN"/>
          <w14:textFill>
            <w14:solidFill>
              <w14:schemeClr w14:val="tx1"/>
            </w14:solidFill>
          </w14:textFill>
        </w:rPr>
        <w:t>、</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车家河水库</w:t>
      </w:r>
      <w:r>
        <w:rPr>
          <w:rFonts w:ascii="Times New Roman" w:hAnsi="Times New Roman" w:eastAsia="仿宋_GB2312" w:cs="Times New Roman"/>
          <w:iCs/>
          <w:color w:val="000000" w:themeColor="text1"/>
          <w:sz w:val="28"/>
          <w:szCs w:val="28"/>
          <w14:textFill>
            <w14:solidFill>
              <w14:schemeClr w14:val="tx1"/>
            </w14:solidFill>
          </w14:textFill>
        </w:rPr>
        <w:t>是解决</w:t>
      </w:r>
      <w:r>
        <w:rPr>
          <w:rFonts w:ascii="Times New Roman" w:hAnsi="Times New Roman" w:eastAsia="仿宋_GB2312" w:cs="Times New Roman"/>
          <w:iCs/>
          <w:color w:val="000000" w:themeColor="text1"/>
          <w:sz w:val="28"/>
          <w:szCs w:val="28"/>
          <w:lang w:eastAsia="zh-CN"/>
          <w14:textFill>
            <w14:solidFill>
              <w14:schemeClr w14:val="tx1"/>
            </w14:solidFill>
          </w14:textFill>
        </w:rPr>
        <w:t>通川区</w:t>
      </w:r>
      <w:r>
        <w:rPr>
          <w:rFonts w:ascii="Times New Roman" w:hAnsi="Times New Roman" w:eastAsia="仿宋_GB2312" w:cs="Times New Roman"/>
          <w:iCs/>
          <w:color w:val="000000" w:themeColor="text1"/>
          <w:sz w:val="28"/>
          <w:szCs w:val="28"/>
          <w14:textFill>
            <w14:solidFill>
              <w14:schemeClr w14:val="tx1"/>
            </w14:solidFill>
          </w14:textFill>
        </w:rPr>
        <w:t>工程性缺水的重要控制性骨干工程，</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以上两座</w:t>
      </w:r>
      <w:r>
        <w:rPr>
          <w:rFonts w:ascii="Times New Roman" w:hAnsi="Times New Roman" w:eastAsia="仿宋_GB2312" w:cs="Times New Roman"/>
          <w:iCs/>
          <w:color w:val="000000" w:themeColor="text1"/>
          <w:sz w:val="28"/>
          <w:szCs w:val="28"/>
          <w14:textFill>
            <w14:solidFill>
              <w14:schemeClr w14:val="tx1"/>
            </w14:solidFill>
          </w14:textFill>
        </w:rPr>
        <w:t>工程是直接关系农民切身利益，保障城镇供水安全的民生工程，建议相关部门密切配合，尽早推动该工程实施。</w:t>
      </w:r>
    </w:p>
    <w:p>
      <w:pPr>
        <w:pStyle w:val="113"/>
        <w:numPr>
          <w:ilvl w:val="0"/>
          <w:numId w:val="9"/>
        </w:numPr>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安云水库规划依据充分，水库</w:t>
      </w:r>
      <w:r>
        <w:rPr>
          <w:rFonts w:ascii="Times New Roman" w:hAnsi="Times New Roman" w:eastAsia="仿宋_GB2312" w:cs="Times New Roman"/>
          <w:iCs/>
          <w:color w:val="000000" w:themeColor="text1"/>
          <w:sz w:val="28"/>
          <w:szCs w:val="28"/>
          <w14:textFill>
            <w14:solidFill>
              <w14:schemeClr w14:val="tx1"/>
            </w14:solidFill>
          </w14:textFill>
        </w:rPr>
        <w:t>水量丰富，</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建设条件良好，</w:t>
      </w:r>
      <w:r>
        <w:rPr>
          <w:rFonts w:ascii="Times New Roman" w:hAnsi="Times New Roman" w:eastAsia="仿宋_GB2312" w:cs="Times New Roman"/>
          <w:iCs/>
          <w:color w:val="000000" w:themeColor="text1"/>
          <w:sz w:val="28"/>
          <w:szCs w:val="28"/>
          <w14:textFill>
            <w14:solidFill>
              <w14:schemeClr w14:val="tx1"/>
            </w14:solidFill>
          </w14:textFill>
        </w:rPr>
        <w:t>可作为通川区北部片区的灌溉、供水、旅游景观及生态用水</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综合利用工程建设</w:t>
      </w:r>
      <w:r>
        <w:rPr>
          <w:rFonts w:ascii="Times New Roman" w:hAnsi="Times New Roman" w:eastAsia="仿宋_GB2312" w:cs="Times New Roman"/>
          <w:iCs/>
          <w:color w:val="000000" w:themeColor="text1"/>
          <w:sz w:val="28"/>
          <w:szCs w:val="28"/>
          <w14:textFill>
            <w14:solidFill>
              <w14:schemeClr w14:val="tx1"/>
            </w14:solidFill>
          </w14:textFill>
        </w:rPr>
        <w:t>。该片区水源问题的解决可进一步带动通川区北部片区经济的飞跃，有效保障北部片区供水安全</w:t>
      </w:r>
      <w:r>
        <w:rPr>
          <w:rFonts w:hint="eastAsia" w:ascii="Times New Roman" w:hAnsi="Times New Roman" w:eastAsia="仿宋_GB2312" w:cs="Times New Roman"/>
          <w:iCs/>
          <w:color w:val="000000" w:themeColor="text1"/>
          <w:sz w:val="28"/>
          <w:szCs w:val="28"/>
          <w:lang w:eastAsia="zh-CN"/>
          <w14:textFill>
            <w14:solidFill>
              <w14:schemeClr w14:val="tx1"/>
            </w14:solidFill>
          </w14:textFill>
        </w:rPr>
        <w:t>，</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远期具备为达州市城区补水及应急供水的条件</w:t>
      </w:r>
      <w:r>
        <w:rPr>
          <w:rFonts w:ascii="Times New Roman" w:hAnsi="Times New Roman" w:eastAsia="仿宋_GB2312" w:cs="Times New Roman"/>
          <w:iCs/>
          <w:color w:val="000000" w:themeColor="text1"/>
          <w:sz w:val="28"/>
          <w:szCs w:val="28"/>
          <w14:textFill>
            <w14:solidFill>
              <w14:schemeClr w14:val="tx1"/>
            </w14:solidFill>
          </w14:textFill>
        </w:rPr>
        <w:t>。</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建议先期开展该水库前期工作。</w:t>
      </w:r>
    </w:p>
    <w:p>
      <w:pPr>
        <w:pStyle w:val="113"/>
        <w:numPr>
          <w:ilvl w:val="0"/>
          <w:numId w:val="9"/>
        </w:numPr>
        <w:spacing w:line="520" w:lineRule="exact"/>
        <w:ind w:firstLine="56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lang w:val="en-US" w:eastAsia="zh-CN"/>
          <w14:textFill>
            <w14:solidFill>
              <w14:schemeClr w14:val="tx1"/>
            </w14:solidFill>
          </w14:textFill>
        </w:rPr>
        <w:t>达州市第二水源</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长滩湖水库</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是为达州市城区和宣汉县提供生产生活用水，同时兼顾灌溉、旅游景观及生态用水。水库可为通川区区及双龙河区北部片提供5000万</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m³</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的生产生活供水，并为河道提供生态补水水量。水库建设对解决通川区水资源配置矛盾有重要作用，建议</w:t>
      </w:r>
      <w:r>
        <w:rPr>
          <w:rFonts w:ascii="Times New Roman" w:hAnsi="Times New Roman" w:eastAsia="仿宋_GB2312" w:cs="Times New Roman"/>
          <w:iCs/>
          <w:color w:val="000000" w:themeColor="text1"/>
          <w:sz w:val="28"/>
          <w:szCs w:val="28"/>
          <w14:textFill>
            <w14:solidFill>
              <w14:schemeClr w14:val="tx1"/>
            </w14:solidFill>
          </w14:textFill>
        </w:rPr>
        <w:t>相关部门密切配合，</w:t>
      </w:r>
      <w:r>
        <w:rPr>
          <w:rFonts w:ascii="Times New Roman" w:hAnsi="Times New Roman" w:eastAsia="仿宋_GB2312" w:cs="Times New Roman"/>
          <w:iCs/>
          <w:color w:val="000000" w:themeColor="text1"/>
          <w:sz w:val="28"/>
          <w:szCs w:val="28"/>
          <w:lang w:val="en-US" w:eastAsia="zh-CN"/>
          <w14:textFill>
            <w14:solidFill>
              <w14:schemeClr w14:val="tx1"/>
            </w14:solidFill>
          </w14:textFill>
        </w:rPr>
        <w:t>尽快开展前期工作</w:t>
      </w:r>
      <w:r>
        <w:rPr>
          <w:rFonts w:ascii="Times New Roman" w:hAnsi="Times New Roman" w:eastAsia="仿宋_GB2312" w:cs="Times New Roman"/>
          <w:iCs/>
          <w:color w:val="000000" w:themeColor="text1"/>
          <w:sz w:val="28"/>
          <w:szCs w:val="28"/>
          <w14:textFill>
            <w14:solidFill>
              <w14:schemeClr w14:val="tx1"/>
            </w14:solidFill>
          </w14:textFill>
        </w:rPr>
        <w:t>。</w:t>
      </w:r>
      <w:r>
        <w:rPr>
          <w:rFonts w:hint="eastAsia" w:ascii="Times New Roman" w:hAnsi="Times New Roman" w:eastAsia="仿宋_GB2312" w:cs="Times New Roman"/>
          <w:iCs/>
          <w:color w:val="000000" w:themeColor="text1"/>
          <w:sz w:val="28"/>
          <w:szCs w:val="28"/>
          <w:lang w:val="en-US" w:eastAsia="zh-CN"/>
          <w14:textFill>
            <w14:solidFill>
              <w14:schemeClr w14:val="tx1"/>
            </w14:solidFill>
          </w14:textFill>
        </w:rPr>
        <w:t>因长滩湖水库位于通川区安云水库所在流域长滩河干流上游，建议长滩湖水库从建设条件、技术经济条件综合分析水库灌区范围及供水对象，结合安云水库进行统筹安排和考虑。</w:t>
      </w:r>
    </w:p>
    <w:p>
      <w:pPr>
        <w:pStyle w:val="113"/>
        <w:numPr>
          <w:ilvl w:val="0"/>
          <w:numId w:val="9"/>
        </w:numPr>
        <w:spacing w:line="520" w:lineRule="exact"/>
        <w:ind w:firstLine="560" w:firstLineChars="0"/>
        <w:rPr>
          <w:rFonts w:ascii="Times New Roman" w:hAnsi="Times New Roman" w:eastAsia="仿宋_GB2312" w:cs="Times New Roman"/>
          <w:iCs/>
          <w:color w:val="000000" w:themeColor="text1"/>
          <w:sz w:val="28"/>
          <w:szCs w:val="28"/>
          <w:lang w:eastAsia="zh-CN"/>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地方政府给予了极大的热情与关注，成立了专门的工作领导小组，区域的水资源配置规划与可行性研究阶段工作基本同步实施，因此，建议集中地方的财力、物力和人力抓好水库工程建设，在国家的大力扶持下，保证工程建设的顺利进行。</w:t>
      </w:r>
    </w:p>
    <w:p>
      <w:pPr>
        <w:pStyle w:val="113"/>
        <w:numPr>
          <w:ilvl w:val="0"/>
          <w:numId w:val="9"/>
        </w:numPr>
        <w:spacing w:line="520" w:lineRule="exact"/>
        <w:ind w:firstLine="560" w:firstLineChars="0"/>
        <w:rPr>
          <w:rFonts w:ascii="Times New Roman" w:hAnsi="Times New Roman" w:eastAsia="仿宋_GB2312" w:cs="Times New Roman"/>
          <w:iCs/>
          <w:color w:val="000000" w:themeColor="text1"/>
          <w:sz w:val="28"/>
          <w:szCs w:val="28"/>
          <w14:textFill>
            <w14:solidFill>
              <w14:schemeClr w14:val="tx1"/>
            </w14:solidFill>
          </w14:textFill>
        </w:rPr>
      </w:pPr>
      <w:r>
        <w:rPr>
          <w:rFonts w:ascii="Times New Roman" w:hAnsi="Times New Roman" w:eastAsia="仿宋_GB2312" w:cs="Times New Roman"/>
          <w:iCs/>
          <w:color w:val="000000" w:themeColor="text1"/>
          <w:sz w:val="28"/>
          <w:szCs w:val="28"/>
          <w14:textFill>
            <w14:solidFill>
              <w14:schemeClr w14:val="tx1"/>
            </w14:solidFill>
          </w14:textFill>
        </w:rPr>
        <w:t>《财政部关于全面贯彻落实中央水利工作会议精神的意见》指出，各级财政部门要充分认识做好财政支持加快水利改革发展工作的重要性和紧迫性，把支持水利改革发展放到财政工作更加突出的位置，把加快水利改革发展作为保障和改善民生工作更加重要的领域，积极推动水利改革发展再上新台阶。</w:t>
      </w:r>
      <w:r>
        <w:rPr>
          <w:rFonts w:ascii="Times New Roman" w:hAnsi="Times New Roman" w:eastAsia="仿宋_GB2312" w:cs="Times New Roman"/>
          <w:iCs/>
          <w:color w:val="000000" w:themeColor="text1"/>
          <w:sz w:val="28"/>
          <w:szCs w:val="28"/>
          <w:lang w:eastAsia="zh-CN"/>
          <w14:textFill>
            <w14:solidFill>
              <w14:schemeClr w14:val="tx1"/>
            </w14:solidFill>
          </w14:textFill>
        </w:rPr>
        <w:t>建议通川区</w:t>
      </w:r>
      <w:r>
        <w:rPr>
          <w:rFonts w:ascii="Times New Roman" w:hAnsi="Times New Roman" w:eastAsia="仿宋_GB2312" w:cs="Times New Roman"/>
          <w:iCs/>
          <w:color w:val="000000" w:themeColor="text1"/>
          <w:sz w:val="28"/>
          <w:szCs w:val="28"/>
          <w14:textFill>
            <w14:solidFill>
              <w14:schemeClr w14:val="tx1"/>
            </w14:solidFill>
          </w14:textFill>
        </w:rPr>
        <w:t>加大公共财政投入力度，</w:t>
      </w:r>
      <w:r>
        <w:rPr>
          <w:rFonts w:ascii="Times New Roman" w:hAnsi="Times New Roman" w:eastAsia="仿宋_GB2312" w:cs="Times New Roman"/>
          <w:iCs/>
          <w:color w:val="000000" w:themeColor="text1"/>
          <w:sz w:val="28"/>
          <w:szCs w:val="28"/>
          <w:lang w:eastAsia="zh-CN"/>
          <w14:textFill>
            <w14:solidFill>
              <w14:schemeClr w14:val="tx1"/>
            </w14:solidFill>
          </w14:textFill>
        </w:rPr>
        <w:t>建议</w:t>
      </w:r>
      <w:r>
        <w:rPr>
          <w:rFonts w:ascii="Times New Roman" w:hAnsi="Times New Roman" w:eastAsia="仿宋_GB2312" w:cs="Times New Roman"/>
          <w:iCs/>
          <w:color w:val="000000" w:themeColor="text1"/>
          <w:sz w:val="28"/>
          <w:szCs w:val="28"/>
          <w14:textFill>
            <w14:solidFill>
              <w14:schemeClr w14:val="tx1"/>
            </w14:solidFill>
          </w14:textFill>
        </w:rPr>
        <w:t>对水利投入的增幅要高于财政经常性收入的增幅，建议从土地出让金和城市维护建设税中予以考虑。</w:t>
      </w:r>
    </w:p>
    <w:p>
      <w:pPr>
        <w:pStyle w:val="2"/>
        <w:ind w:firstLine="560"/>
        <w:rPr>
          <w:color w:val="000000" w:themeColor="text1"/>
          <w:lang w:val="zh-TW" w:eastAsia="zh-TW" w:bidi="zh-TW"/>
          <w14:textFill>
            <w14:solidFill>
              <w14:schemeClr w14:val="tx1"/>
            </w14:solidFill>
          </w14:textFill>
        </w:rPr>
      </w:pPr>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360" w:name="_Toc20835"/>
      <w:bookmarkStart w:id="361" w:name="_Toc6374"/>
      <w:r>
        <w:rPr>
          <w:color w:val="000000" w:themeColor="text1"/>
          <w14:textFill>
            <w14:solidFill>
              <w14:schemeClr w14:val="tx1"/>
            </w14:solidFill>
          </w14:textFill>
        </w:rPr>
        <w:t>10  保障措施</w:t>
      </w:r>
      <w:bookmarkEnd w:id="360"/>
      <w:bookmarkEnd w:id="361"/>
    </w:p>
    <w:p>
      <w:pPr>
        <w:pStyle w:val="4"/>
        <w:rPr>
          <w:rFonts w:ascii="Times New Roman" w:hAnsi="Times New Roman" w:cs="Times New Roman"/>
          <w:color w:val="000000" w:themeColor="text1"/>
          <w14:textFill>
            <w14:solidFill>
              <w14:schemeClr w14:val="tx1"/>
            </w14:solidFill>
          </w14:textFill>
        </w:rPr>
      </w:pPr>
      <w:bookmarkStart w:id="362" w:name="_Toc378084548"/>
      <w:bookmarkEnd w:id="362"/>
      <w:bookmarkStart w:id="363" w:name="_Toc439232652"/>
      <w:bookmarkStart w:id="364" w:name="_Toc439242170"/>
      <w:bookmarkStart w:id="365" w:name="_Toc28098561"/>
      <w:bookmarkStart w:id="366" w:name="_Toc4340"/>
      <w:bookmarkStart w:id="367" w:name="_Toc19568"/>
      <w:bookmarkStart w:id="368" w:name="_Toc440964991"/>
      <w:r>
        <w:rPr>
          <w:rFonts w:ascii="Times New Roman" w:hAnsi="Times New Roman" w:cs="Times New Roman"/>
          <w:color w:val="000000" w:themeColor="text1"/>
          <w14:textFill>
            <w14:solidFill>
              <w14:schemeClr w14:val="tx1"/>
            </w14:solidFill>
          </w14:textFill>
        </w:rPr>
        <w:t>10.1  健全法制，强化依法管水</w:t>
      </w:r>
      <w:bookmarkEnd w:id="363"/>
      <w:bookmarkEnd w:id="364"/>
      <w:bookmarkEnd w:id="365"/>
      <w:bookmarkEnd w:id="366"/>
      <w:bookmarkEnd w:id="367"/>
      <w:bookmarkEnd w:id="368"/>
    </w:p>
    <w:p>
      <w:pPr>
        <w:pStyle w:val="160"/>
        <w:spacing w:line="52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抓紧开展节约用水、水功能区管理、水资源保护、地下水管理和水资源论证等方面的立法工作，要结合实际，抓紧制定取水许可管理、水资源费征收管理及水资源节约、保护等配套法规，建立健全符合我国水情的水资源法规体系。完善水资源开发、利用、配置、节约、保护的管理制度体系建设，建立健全对取水、供水、用水、耗水、排水全过程管理的制度，形成结构合理、管理科学、程序严密、制约有效的水资源综合管理制度。以推行行政执法责任制和理顺执法体制为重点，推动综合执法；加大执法力度，加强水事纠纷的预防和调处，维护正常的水事秩序。</w:t>
      </w:r>
    </w:p>
    <w:p>
      <w:pPr>
        <w:pStyle w:val="4"/>
        <w:rPr>
          <w:rFonts w:ascii="Times New Roman" w:hAnsi="Times New Roman" w:cs="Times New Roman"/>
          <w:color w:val="000000" w:themeColor="text1"/>
          <w14:textFill>
            <w14:solidFill>
              <w14:schemeClr w14:val="tx1"/>
            </w14:solidFill>
          </w14:textFill>
        </w:rPr>
      </w:pPr>
      <w:bookmarkStart w:id="369" w:name="_Toc378084549"/>
      <w:bookmarkEnd w:id="369"/>
      <w:bookmarkStart w:id="370" w:name="_Toc439242171"/>
      <w:bookmarkStart w:id="371" w:name="_Toc18340"/>
      <w:bookmarkStart w:id="372" w:name="_Toc28098562"/>
      <w:bookmarkStart w:id="373" w:name="_Toc439232653"/>
      <w:bookmarkStart w:id="374" w:name="_Toc440964992"/>
      <w:bookmarkStart w:id="375" w:name="_Toc20247"/>
      <w:r>
        <w:rPr>
          <w:rFonts w:ascii="Times New Roman" w:hAnsi="Times New Roman" w:cs="Times New Roman"/>
          <w:color w:val="000000" w:themeColor="text1"/>
          <w14:textFill>
            <w14:solidFill>
              <w14:schemeClr w14:val="tx1"/>
            </w14:solidFill>
          </w14:textFill>
        </w:rPr>
        <w:t>10.2  改革体制，强化综合管理</w:t>
      </w:r>
      <w:bookmarkEnd w:id="370"/>
      <w:bookmarkEnd w:id="371"/>
      <w:bookmarkEnd w:id="372"/>
      <w:bookmarkEnd w:id="373"/>
      <w:bookmarkEnd w:id="374"/>
      <w:bookmarkEnd w:id="375"/>
    </w:p>
    <w:p>
      <w:pPr>
        <w:pStyle w:val="160"/>
        <w:spacing w:line="52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加大体制改革与创新的力度，城市与农村相统筹、开发利用与节约保护相协调的水资源综合管理体制。要合理划分流域和区域管理监督的事权与职责，建立各方参与、民主协商、共同决策、分工负责的流域议事决策机制和高效的执行机制。要统筹协调城乡水事关系，强化对水资源的综合管理，对区域水资源进行统一规划、统一配置、统一调度，以人为本，切实维护广大人民群众的基本用水权益，提高水资源的集约高效利用能力。要强化各级水行政主管部门的水资源管理与监督职能，落实实行最严格水资源管理制度的各项措施，加强对水资源开发利用全过程的监管，协调好水资源开发利用与节约保护的关系，切实提高社会管理和公共服务的水平，规范水事行为，推进水资源利用方式从粗放型向集约化转变，促进水资源的合理开发、节约利用、有效保护和科学管理，实现水资源的可持续利用。</w:t>
      </w:r>
    </w:p>
    <w:p>
      <w:pPr>
        <w:pStyle w:val="4"/>
        <w:rPr>
          <w:rFonts w:ascii="Times New Roman" w:hAnsi="Times New Roman" w:cs="Times New Roman"/>
          <w:color w:val="000000" w:themeColor="text1"/>
          <w14:textFill>
            <w14:solidFill>
              <w14:schemeClr w14:val="tx1"/>
            </w14:solidFill>
          </w14:textFill>
        </w:rPr>
      </w:pPr>
      <w:bookmarkStart w:id="376" w:name="_Toc378084550"/>
      <w:bookmarkEnd w:id="376"/>
      <w:bookmarkStart w:id="377" w:name="_Toc16219"/>
      <w:bookmarkStart w:id="378" w:name="_Toc440964993"/>
      <w:bookmarkStart w:id="379" w:name="_Toc439242172"/>
      <w:bookmarkStart w:id="380" w:name="_Toc439232654"/>
      <w:bookmarkStart w:id="381" w:name="_Toc29055"/>
      <w:bookmarkStart w:id="382" w:name="_Toc28098563"/>
      <w:r>
        <w:rPr>
          <w:rFonts w:ascii="Times New Roman" w:hAnsi="Times New Roman" w:cs="Times New Roman"/>
          <w:color w:val="000000" w:themeColor="text1"/>
          <w14:textFill>
            <w14:solidFill>
              <w14:schemeClr w14:val="tx1"/>
            </w14:solidFill>
          </w14:textFill>
        </w:rPr>
        <w:t>10.3  加大投入，拓宽融资渠道</w:t>
      </w:r>
      <w:bookmarkEnd w:id="377"/>
      <w:bookmarkEnd w:id="378"/>
      <w:bookmarkEnd w:id="379"/>
      <w:bookmarkEnd w:id="380"/>
      <w:bookmarkEnd w:id="381"/>
      <w:bookmarkEnd w:id="382"/>
    </w:p>
    <w:p>
      <w:pPr>
        <w:pStyle w:val="160"/>
        <w:spacing w:line="52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坚持多渠道增加投入的原则，研究增加水利投入的新渠道，广辟资金来源。要从水利公益性强、涉及民生利益这一特征出发，切实增加中央和地方财政预算投入，建立政府水利投资稳定增长机制。合理划分中央与地方、政府与市场在水利建设中的事权与职能，明确各类水工程的投资主体，按照分级负担、分类筹措的原则，形成多渠道、多层次、多元化的水利投入保障机制。改革水利投融资体制，在逐步增加财政性水利投入的同时，通过投资补助、财政贴息、水价改革、水资源开发许可等多种方式，完善市场环境，引入竞争机制，在部分具备条件的工程中积极推行项目法人招标和代建制，广泛吸引各类社会资金投入水利建设。加大农田水利、水资源调配以及生态环境保护等基础设施的投入力度，建立和完善激励机制调动和鼓励广大农民参加农田水利建设。</w:t>
      </w:r>
    </w:p>
    <w:p>
      <w:pPr>
        <w:pStyle w:val="4"/>
        <w:rPr>
          <w:rFonts w:ascii="Times New Roman" w:hAnsi="Times New Roman" w:cs="Times New Roman"/>
          <w:color w:val="000000" w:themeColor="text1"/>
          <w14:textFill>
            <w14:solidFill>
              <w14:schemeClr w14:val="tx1"/>
            </w14:solidFill>
          </w14:textFill>
        </w:rPr>
      </w:pPr>
      <w:bookmarkStart w:id="383" w:name="_Toc378084551"/>
      <w:bookmarkEnd w:id="383"/>
      <w:bookmarkStart w:id="384" w:name="_Toc439242173"/>
      <w:bookmarkStart w:id="385" w:name="_Toc440964994"/>
      <w:bookmarkStart w:id="386" w:name="_Toc19125"/>
      <w:bookmarkStart w:id="387" w:name="_Toc28098564"/>
      <w:bookmarkStart w:id="388" w:name="_Toc19193"/>
      <w:bookmarkStart w:id="389" w:name="_Toc439232655"/>
      <w:r>
        <w:rPr>
          <w:rFonts w:ascii="Times New Roman" w:hAnsi="Times New Roman" w:cs="Times New Roman"/>
          <w:color w:val="000000" w:themeColor="text1"/>
          <w14:textFill>
            <w14:solidFill>
              <w14:schemeClr w14:val="tx1"/>
            </w14:solidFill>
          </w14:textFill>
        </w:rPr>
        <w:t>10.4  科学管水，加强能力建设</w:t>
      </w:r>
      <w:bookmarkEnd w:id="384"/>
      <w:bookmarkEnd w:id="385"/>
      <w:bookmarkEnd w:id="386"/>
      <w:bookmarkEnd w:id="387"/>
      <w:bookmarkEnd w:id="388"/>
      <w:bookmarkEnd w:id="389"/>
    </w:p>
    <w:p>
      <w:pPr>
        <w:pStyle w:val="160"/>
        <w:spacing w:line="52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全面推进水利科技创新体系建设，不断提升水利科技支撑能力。在水资源优化调配、可持续利用、水生态环境保护与修复、水资源综合管理、重大水资源工程建设等方面，继续加大力度进行关键技术科技攻关。结合水资源开发利用与节约保护的重点任务和重大工程，组织开展重大技术问题的研究，加强科技创新力度，提高科技成果的转化水平。建立和完善水资源技术推广和服务体系，提高水资源科学技术服务水平。加强国外先进技术的引进、消化、吸收和创新。加快水资源可持续利用技术标准体系建设，加强水文和水资源信息化建设，完善水文水资源预警系统监测站网，推进国家水资源管理信息系统前期工作。加强气候变化及对水资源与生态环境影响预估技术和适应对策研究，建立和完善重大干旱监测预警预测系统。大力培养人力资源，造就一支高素质的队伍，为规划的全面实施提供提供人才保障。</w:t>
      </w:r>
    </w:p>
    <w:p>
      <w:pPr>
        <w:pStyle w:val="4"/>
        <w:rPr>
          <w:rFonts w:ascii="Times New Roman" w:hAnsi="Times New Roman" w:cs="Times New Roman"/>
          <w:color w:val="000000" w:themeColor="text1"/>
          <w:shd w:val="clear" w:color="auto" w:fill="FFFFFF"/>
          <w14:textFill>
            <w14:solidFill>
              <w14:schemeClr w14:val="tx1"/>
            </w14:solidFill>
          </w14:textFill>
        </w:rPr>
      </w:pPr>
      <w:bookmarkStart w:id="390" w:name="_Toc378084552"/>
      <w:bookmarkEnd w:id="390"/>
      <w:bookmarkStart w:id="391" w:name="_Toc439232656"/>
      <w:bookmarkStart w:id="392" w:name="_Toc439242174"/>
      <w:bookmarkStart w:id="393" w:name="_Toc28098565"/>
      <w:bookmarkStart w:id="394" w:name="_Toc32561"/>
      <w:bookmarkStart w:id="395" w:name="_Toc440964995"/>
      <w:bookmarkStart w:id="396" w:name="_Toc15759"/>
      <w:r>
        <w:rPr>
          <w:rFonts w:ascii="Times New Roman" w:hAnsi="Times New Roman" w:cs="Times New Roman"/>
          <w:color w:val="000000" w:themeColor="text1"/>
          <w14:textFill>
            <w14:solidFill>
              <w14:schemeClr w14:val="tx1"/>
            </w14:solidFill>
          </w14:textFill>
        </w:rPr>
        <w:t>10.5  加强领导，落实职责分工</w:t>
      </w:r>
      <w:bookmarkEnd w:id="391"/>
      <w:bookmarkEnd w:id="392"/>
      <w:bookmarkEnd w:id="393"/>
      <w:bookmarkEnd w:id="394"/>
      <w:bookmarkEnd w:id="395"/>
      <w:bookmarkEnd w:id="396"/>
    </w:p>
    <w:p>
      <w:pPr>
        <w:pStyle w:val="160"/>
        <w:spacing w:line="520" w:lineRule="exact"/>
        <w:ind w:firstLine="560"/>
        <w:rPr>
          <w:rFonts w:eastAsia="仿宋_GB2312"/>
          <w:iCs/>
          <w:color w:val="000000" w:themeColor="text1"/>
          <w:kern w:val="2"/>
          <w:sz w:val="28"/>
          <w:szCs w:val="28"/>
          <w:lang w:bidi="zh-TW"/>
          <w14:textFill>
            <w14:solidFill>
              <w14:schemeClr w14:val="tx1"/>
            </w14:solidFill>
          </w14:textFill>
        </w:rPr>
      </w:pPr>
      <w:r>
        <w:rPr>
          <w:rFonts w:eastAsia="仿宋_GB2312"/>
          <w:iCs/>
          <w:color w:val="000000" w:themeColor="text1"/>
          <w:kern w:val="2"/>
          <w:sz w:val="28"/>
          <w:szCs w:val="28"/>
          <w:lang w:bidi="zh-TW"/>
          <w14:textFill>
            <w14:solidFill>
              <w14:schemeClr w14:val="tx1"/>
            </w14:solidFill>
          </w14:textFill>
        </w:rPr>
        <w:t>各级政府要根据各地区的水资源条件和状况，新时期社会经济发展面临的新情况、新形势和新问题，切实把保障水资源安全作为一项重要的战略任务。要切实加强对水资源工作的领导全面落实规划的实施，强化规划的指导和约束作用，把规划确定的水资源开发利用和节约保护的控制性指标及主要任务纳入当地国民经济和社会发展规划和政府重要议事日程，建立相应的组织责任体系和协调机制。有关部门应按照职责分工，加强指导和组织、协调以及监督规划实施；各级地方政府有关部门要按照职责分工，切实履行职责，具体落实规划目标和任务，把水资源综合规划变成行之有效的行动和管理依据，保障规划的顺利实施。</w:t>
      </w:r>
    </w:p>
    <w:p>
      <w:pPr>
        <w:pStyle w:val="116"/>
        <w:ind w:left="362" w:leftChars="0" w:right="-140" w:firstLine="0" w:firstLineChars="0"/>
        <w:jc w:val="both"/>
        <w:rPr>
          <w:color w:val="000000" w:themeColor="text1"/>
          <w14:textFill>
            <w14:solidFill>
              <w14:schemeClr w14:val="tx1"/>
            </w14:solidFill>
          </w14:textFill>
        </w:rPr>
      </w:pPr>
    </w:p>
    <w:p>
      <w:pPr>
        <w:pStyle w:val="113"/>
        <w:spacing w:line="520" w:lineRule="exact"/>
        <w:ind w:left="560" w:firstLine="0" w:firstLineChars="0"/>
        <w:rPr>
          <w:rFonts w:ascii="Times New Roman" w:hAnsi="Times New Roman" w:cs="Times New Roman"/>
          <w:iCs/>
          <w:color w:val="000000" w:themeColor="text1"/>
          <w:szCs w:val="28"/>
          <w:lang w:val="en-US"/>
          <w14:textFill>
            <w14:solidFill>
              <w14:schemeClr w14:val="tx1"/>
            </w14:solidFill>
          </w14:textFill>
        </w:rPr>
      </w:pPr>
    </w:p>
    <w:sectPr>
      <w:pgSz w:w="11906" w:h="16838"/>
      <w:pgMar w:top="1440" w:right="1531" w:bottom="1440" w:left="1531" w:header="851" w:footer="737"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CG Times (WN)">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0288" behindDoc="0" locked="0" layoutInCell="1" allowOverlap="1">
              <wp:simplePos x="0" y="0"/>
              <wp:positionH relativeFrom="margin">
                <wp:posOffset>2656840</wp:posOffset>
              </wp:positionH>
              <wp:positionV relativeFrom="paragraph">
                <wp:posOffset>49530</wp:posOffset>
              </wp:positionV>
              <wp:extent cx="495300" cy="15557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95300" cy="155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pPr>
                          <w:r>
                            <w:fldChar w:fldCharType="begin"/>
                          </w:r>
                          <w:r>
                            <w:instrText xml:space="preserve"> PAGE  \* MERGEFORMAT </w:instrText>
                          </w:r>
                          <w:r>
                            <w:fldChar w:fldCharType="separate"/>
                          </w:r>
                          <w:r>
                            <w:t>vi</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2pt;margin-top:3.9pt;height:12.25pt;width:39pt;mso-position-horizontal-relative:margin;z-index:251660288;mso-width-relative:page;mso-height-relative:page;" filled="f" stroked="f" coordsize="21600,21600" o:gfxdata="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A+MK9cAAAAIAQAADwAAAAAAAAABACAAAAAiAAAAZHJzL2Rvd25yZXYueG1s&#10;UEsBAhQAFAAAAAgAh07iQP4sYU4yAgAAVwQAAA4AAAAAAAAAAQAgAAAAJgEAAGRycy9lMm9Eb2Mu&#10;eG1sUEsFBgAAAAAGAAYAWQEAAMoFAAAAAA==&#10;">
              <v:fill on="f" focussize="0,0"/>
              <v:stroke on="f" weight="0.5pt"/>
              <v:imagedata o:title=""/>
              <o:lock v:ext="edit" aspectratio="f"/>
              <v:textbox inset="0mm,0mm,0mm,0mm">
                <w:txbxContent>
                  <w:p>
                    <w:pPr>
                      <w:pStyle w:val="25"/>
                      <w:ind w:firstLine="360"/>
                    </w:pPr>
                    <w:r>
                      <w:fldChar w:fldCharType="begin"/>
                    </w:r>
                    <w:r>
                      <w:instrText xml:space="preserve"> PAGE  \* MERGEFORMAT </w:instrText>
                    </w:r>
                    <w:r>
                      <w:fldChar w:fldCharType="separate"/>
                    </w:r>
                    <w:r>
                      <w:t>vi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59264" behindDoc="0" locked="0" layoutInCell="1" allowOverlap="1">
              <wp:simplePos x="0" y="0"/>
              <wp:positionH relativeFrom="margin">
                <wp:posOffset>2589530</wp:posOffset>
              </wp:positionH>
              <wp:positionV relativeFrom="paragraph">
                <wp:posOffset>2540</wp:posOffset>
              </wp:positionV>
              <wp:extent cx="714375" cy="1828800"/>
              <wp:effectExtent l="0" t="0" r="9525" b="6350"/>
              <wp:wrapNone/>
              <wp:docPr id="14" name="文本框 14"/>
              <wp:cNvGraphicFramePr/>
              <a:graphic xmlns:a="http://schemas.openxmlformats.org/drawingml/2006/main">
                <a:graphicData uri="http://schemas.microsoft.com/office/word/2010/wordprocessingShape">
                  <wps:wsp>
                    <wps:cNvSpPr txBox="1"/>
                    <wps:spPr>
                      <a:xfrm>
                        <a:off x="0" y="0"/>
                        <a:ext cx="7143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3.9pt;margin-top:0.2pt;height:144pt;width:56.25pt;mso-position-horizontal-relative:margin;z-index:251659264;mso-width-relative:page;mso-height-relative:page;" filled="f" stroked="f" coordsize="21600,21600" o:gfxdata="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IC1mtcAAAAIAQAADwAAAAAAAAABACAAAAAiAAAAZHJzL2Rvd25yZXYueG1s&#10;UEsBAhQAFAAAAAgAh07iQOy6MYUyAgAAWAQAAA4AAAAAAAAAAQAgAAAAJgEAAGRycy9lMm9Eb2Mu&#10;eG1sUEsFBgAAAAAGAAYAWQEAAMoFA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VII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jc w:val="center"/>
      <w:rPr>
        <w:sz w:val="21"/>
      </w:rPr>
    </w:pPr>
    <w:r>
      <w:rPr>
        <w:sz w:val="21"/>
      </w:rPr>
      <mc:AlternateContent>
        <mc:Choice Requires="wps">
          <w:drawing>
            <wp:anchor distT="0" distB="0" distL="114300" distR="114300" simplePos="0" relativeHeight="251664384" behindDoc="0" locked="0" layoutInCell="1" allowOverlap="1">
              <wp:simplePos x="0" y="0"/>
              <wp:positionH relativeFrom="margin">
                <wp:posOffset>2599690</wp:posOffset>
              </wp:positionH>
              <wp:positionV relativeFrom="paragraph">
                <wp:posOffset>-2540</wp:posOffset>
              </wp:positionV>
              <wp:extent cx="619125" cy="1828800"/>
              <wp:effectExtent l="0" t="0" r="9525" b="11430"/>
              <wp:wrapNone/>
              <wp:docPr id="4" name="文本框 4"/>
              <wp:cNvGraphicFramePr/>
              <a:graphic xmlns:a="http://schemas.openxmlformats.org/drawingml/2006/main">
                <a:graphicData uri="http://schemas.microsoft.com/office/word/2010/wordprocessingShape">
                  <wps:wsp>
                    <wps:cNvSpPr txBox="1"/>
                    <wps:spPr>
                      <a:xfrm>
                        <a:off x="0" y="0"/>
                        <a:ext cx="6191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0" w:firstLineChars="0"/>
                            <w:jc w:val="center"/>
                          </w:pPr>
                          <w:r>
                            <w:rPr>
                              <w:sz w:val="21"/>
                            </w:rPr>
                            <w:fldChar w:fldCharType="begin"/>
                          </w:r>
                          <w:r>
                            <w:rPr>
                              <w:sz w:val="21"/>
                            </w:rPr>
                            <w:instrText xml:space="preserve">PAGE   \* MERGEFORMAT</w:instrText>
                          </w:r>
                          <w:r>
                            <w:rPr>
                              <w:sz w:val="21"/>
                            </w:rPr>
                            <w:fldChar w:fldCharType="separate"/>
                          </w:r>
                          <w:r>
                            <w:rPr>
                              <w:sz w:val="21"/>
                              <w:lang w:val="zh-CN"/>
                            </w:rPr>
                            <w:t>182</w:t>
                          </w:r>
                          <w:r>
                            <w:rPr>
                              <w:sz w:val="21"/>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4.7pt;margin-top:-0.2pt;height:144pt;width:48.75pt;mso-position-horizontal-relative:margin;z-index:251664384;mso-width-relative:page;mso-height-relative:page;" filled="f" stroked="f" coordsize="21600,21600" o:gfxdata="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urRQ3YAAAACQEAAA8AAAAAAAAAAQAgAAAAIgAAAGRycy9kb3ducmV2Lnht&#10;bFBLAQIUABQAAAAIAIdO4kC1XfTSMgIAAFYEAAAOAAAAAAAAAAEAIAAAACcBAABkcnMvZTJvRG9j&#10;LnhtbFBLBQYAAAAABgAGAFkBAADLBQAAAAA=&#10;">
              <v:fill on="f" focussize="0,0"/>
              <v:stroke on="f" weight="0.5pt"/>
              <v:imagedata o:title=""/>
              <o:lock v:ext="edit" aspectratio="f"/>
              <v:textbox inset="0mm,0mm,0mm,0mm" style="mso-fit-shape-to-text:t;">
                <w:txbxContent>
                  <w:p>
                    <w:pPr>
                      <w:pStyle w:val="25"/>
                      <w:ind w:firstLine="0" w:firstLineChars="0"/>
                      <w:jc w:val="center"/>
                    </w:pPr>
                    <w:r>
                      <w:rPr>
                        <w:sz w:val="21"/>
                      </w:rPr>
                      <w:fldChar w:fldCharType="begin"/>
                    </w:r>
                    <w:r>
                      <w:rPr>
                        <w:sz w:val="21"/>
                      </w:rPr>
                      <w:instrText xml:space="preserve">PAGE   \* MERGEFORMAT</w:instrText>
                    </w:r>
                    <w:r>
                      <w:rPr>
                        <w:sz w:val="21"/>
                      </w:rPr>
                      <w:fldChar w:fldCharType="separate"/>
                    </w:r>
                    <w:r>
                      <w:rPr>
                        <w:sz w:val="21"/>
                        <w:lang w:val="zh-CN"/>
                      </w:rPr>
                      <w:t>182</w:t>
                    </w:r>
                    <w:r>
                      <w:rPr>
                        <w:sz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ind w:firstLine="360"/>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560"/>
    </w:pPr>
    <w:r>
      <mc:AlternateContent>
        <mc:Choice Requires="wps">
          <w:drawing>
            <wp:anchor distT="0" distB="0" distL="114300" distR="114300" simplePos="0" relativeHeight="251662336" behindDoc="1" locked="0" layoutInCell="1" allowOverlap="1">
              <wp:simplePos x="0" y="0"/>
              <wp:positionH relativeFrom="page">
                <wp:posOffset>1219200</wp:posOffset>
              </wp:positionH>
              <wp:positionV relativeFrom="page">
                <wp:posOffset>758825</wp:posOffset>
              </wp:positionV>
              <wp:extent cx="5419090" cy="0"/>
              <wp:effectExtent l="0" t="0" r="0" b="0"/>
              <wp:wrapNone/>
              <wp:docPr id="2" name="Shape 530"/>
              <wp:cNvGraphicFramePr/>
              <a:graphic xmlns:a="http://schemas.openxmlformats.org/drawingml/2006/main">
                <a:graphicData uri="http://schemas.microsoft.com/office/word/2010/wordprocessingShape">
                  <wps:wsp>
                    <wps:cNvCnPr/>
                    <wps:spPr>
                      <a:xfrm>
                        <a:off x="0" y="0"/>
                        <a:ext cx="5419090" cy="0"/>
                      </a:xfrm>
                      <a:prstGeom prst="straightConnector1">
                        <a:avLst/>
                      </a:prstGeom>
                      <a:ln w="12700">
                        <a:solidFill>
                          <a:srgbClr val="FFFFFF"/>
                        </a:solidFill>
                      </a:ln>
                    </wps:spPr>
                    <wps:bodyPr/>
                  </wps:wsp>
                </a:graphicData>
              </a:graphic>
            </wp:anchor>
          </w:drawing>
        </mc:Choice>
        <mc:Fallback>
          <w:pict>
            <v:shape id="Shape 530" o:spid="_x0000_s1026" o:spt="32" type="#_x0000_t32" style="position:absolute;left:0pt;margin-left:96pt;margin-top:59.75pt;height:0pt;width:426.7pt;mso-position-horizontal-relative:page;mso-position-vertical-relative:page;z-index:-251654144;mso-width-relative:page;mso-height-relative:page;" filled="f" stroked="t" coordsize="21600,21600" o:gfxdata="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HIxKx2AAAAAwBAAAP&#10;AAAAAAAAAAEAIAAAACIAAABkcnMvZG93bnJldi54bWxQSwECFAAUAAAACACHTuJAtgJjzaYBAABc&#10;AwAADgAAAAAAAAABACAAAAAnAQAAZHJzL2Uyb0RvYy54bWxQSwUGAAAAAAYABgBZAQAAPwUAAAAA&#10;">
              <v:fill on="f" focussize="0,0"/>
              <v:stroke weight="1pt" color="#FFFFFF" joinstyle="round"/>
              <v:imagedata o:title=""/>
              <o:lock v:ext="edit" aspectratio="f"/>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560"/>
    </w:pPr>
    <w:r>
      <mc:AlternateContent>
        <mc:Choice Requires="wps">
          <w:drawing>
            <wp:anchor distT="0" distB="0" distL="114300" distR="114300" simplePos="0" relativeHeight="251663360" behindDoc="1" locked="0" layoutInCell="1" allowOverlap="1">
              <wp:simplePos x="0" y="0"/>
              <wp:positionH relativeFrom="page">
                <wp:posOffset>1219200</wp:posOffset>
              </wp:positionH>
              <wp:positionV relativeFrom="page">
                <wp:posOffset>758825</wp:posOffset>
              </wp:positionV>
              <wp:extent cx="5419090" cy="0"/>
              <wp:effectExtent l="0" t="0" r="0" b="0"/>
              <wp:wrapNone/>
              <wp:docPr id="530" name="Shape 530"/>
              <wp:cNvGraphicFramePr/>
              <a:graphic xmlns:a="http://schemas.openxmlformats.org/drawingml/2006/main">
                <a:graphicData uri="http://schemas.microsoft.com/office/word/2010/wordprocessingShape">
                  <wps:wsp>
                    <wps:cNvCnPr/>
                    <wps:spPr>
                      <a:xfrm>
                        <a:off x="0" y="0"/>
                        <a:ext cx="5419090" cy="0"/>
                      </a:xfrm>
                      <a:prstGeom prst="straightConnector1">
                        <a:avLst/>
                      </a:prstGeom>
                      <a:ln w="12700">
                        <a:solidFill>
                          <a:srgbClr val="FFFFFF"/>
                        </a:solidFill>
                      </a:ln>
                    </wps:spPr>
                    <wps:bodyPr/>
                  </wps:wsp>
                </a:graphicData>
              </a:graphic>
            </wp:anchor>
          </w:drawing>
        </mc:Choice>
        <mc:Fallback>
          <w:pict>
            <v:shape id="Shape 530" o:spid="_x0000_s1026" o:spt="32" type="#_x0000_t32" style="position:absolute;left:0pt;margin-left:96pt;margin-top:59.75pt;height:0pt;width:426.7pt;mso-position-horizontal-relative:page;mso-position-vertical-relative:page;z-index:-251653120;mso-width-relative:page;mso-height-relative:page;" filled="f" stroked="t" coordsize="21600,21600" o:gfxdata="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yMSsdgAAAAMAQAA&#10;DwAAAAAAAAABACAAAAAiAAAAZHJzL2Rvd25yZXYueG1sUEsBAhQAFAAAAAgAh07iQPaOIEunAQAA&#10;XgMAAA4AAAAAAAAAAQAgAAAAJwEAAGRycy9lMm9Eb2MueG1sUEsFBgAAAAAGAAYAWQEAAEAFAAAA&#10;AA==&#10;">
              <v:fill on="f" focussize="0,0"/>
              <v:stroke weight="1pt" color="#FFFFFF" joinstyle="round"/>
              <v:imagedata o:title=""/>
              <o:lock v:ext="edit" aspectratio="f"/>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560"/>
    </w:pPr>
    <w:r>
      <mc:AlternateContent>
        <mc:Choice Requires="wps">
          <w:drawing>
            <wp:anchor distT="0" distB="0" distL="114300" distR="114300" simplePos="0" relativeHeight="251661312" behindDoc="1" locked="0" layoutInCell="1" allowOverlap="1">
              <wp:simplePos x="0" y="0"/>
              <wp:positionH relativeFrom="page">
                <wp:posOffset>1270000</wp:posOffset>
              </wp:positionH>
              <wp:positionV relativeFrom="page">
                <wp:posOffset>782955</wp:posOffset>
              </wp:positionV>
              <wp:extent cx="5422265" cy="0"/>
              <wp:effectExtent l="0" t="0" r="0" b="0"/>
              <wp:wrapNone/>
              <wp:docPr id="1090" name="Shape 1090"/>
              <wp:cNvGraphicFramePr/>
              <a:graphic xmlns:a="http://schemas.openxmlformats.org/drawingml/2006/main">
                <a:graphicData uri="http://schemas.microsoft.com/office/word/2010/wordprocessingShape">
                  <wps:wsp>
                    <wps:cNvCnPr/>
                    <wps:spPr>
                      <a:xfrm>
                        <a:off x="0" y="0"/>
                        <a:ext cx="5422265" cy="0"/>
                      </a:xfrm>
                      <a:prstGeom prst="straightConnector1">
                        <a:avLst/>
                      </a:prstGeom>
                      <a:ln w="12700">
                        <a:solidFill>
                          <a:srgbClr val="FFFFFF"/>
                        </a:solidFill>
                      </a:ln>
                    </wps:spPr>
                    <wps:bodyPr/>
                  </wps:wsp>
                </a:graphicData>
              </a:graphic>
            </wp:anchor>
          </w:drawing>
        </mc:Choice>
        <mc:Fallback>
          <w:pict>
            <v:shape id="Shape 1090" o:spid="_x0000_s1026" o:spt="32" type="#_x0000_t32" style="position:absolute;left:0pt;margin-left:100pt;margin-top:61.65pt;height:0pt;width:426.95pt;mso-position-horizontal-relative:page;mso-position-vertical-relative:page;z-index:-251655168;mso-width-relative:page;mso-height-relative:page;" filled="f" stroked="t" coordsize="21600,21600" o:gfxdata="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GfUpDWAAAADAEAAA8A&#10;AAAAAAAAAQAgAAAAIgAAAGRycy9kb3ducmV2LnhtbFBLAQIUABQAAAAIAIdO4kCK2v+EpwEAAGAD&#10;AAAOAAAAAAAAAAEAIAAAACUBAABkcnMvZTJvRG9jLnhtbFBLBQYAAAAABgAGAFkBAAA+BQAAAAA=&#10;">
              <v:fill on="f" focussize="0,0"/>
              <v:stroke weight="1pt" color="#FFFFFF" joinstyle="round"/>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5E8D0"/>
    <w:multiLevelType w:val="singleLevel"/>
    <w:tmpl w:val="8755E8D0"/>
    <w:lvl w:ilvl="0" w:tentative="0">
      <w:start w:val="1"/>
      <w:numFmt w:val="decimal"/>
      <w:suff w:val="nothing"/>
      <w:lvlText w:val="%1）"/>
      <w:lvlJc w:val="left"/>
    </w:lvl>
  </w:abstractNum>
  <w:abstractNum w:abstractNumId="1">
    <w:nsid w:val="8B9C8806"/>
    <w:multiLevelType w:val="singleLevel"/>
    <w:tmpl w:val="8B9C8806"/>
    <w:lvl w:ilvl="0" w:tentative="0">
      <w:start w:val="1"/>
      <w:numFmt w:val="decimal"/>
      <w:suff w:val="nothing"/>
      <w:lvlText w:val="（%1）"/>
      <w:lvlJc w:val="left"/>
    </w:lvl>
  </w:abstractNum>
  <w:abstractNum w:abstractNumId="2">
    <w:nsid w:val="9DA08F09"/>
    <w:multiLevelType w:val="singleLevel"/>
    <w:tmpl w:val="9DA08F09"/>
    <w:lvl w:ilvl="0" w:tentative="0">
      <w:start w:val="3"/>
      <w:numFmt w:val="decimal"/>
      <w:suff w:val="nothing"/>
      <w:lvlText w:val="（%1）"/>
      <w:lvlJc w:val="left"/>
    </w:lvl>
  </w:abstractNum>
  <w:abstractNum w:abstractNumId="3">
    <w:nsid w:val="A71443A0"/>
    <w:multiLevelType w:val="singleLevel"/>
    <w:tmpl w:val="A71443A0"/>
    <w:lvl w:ilvl="0" w:tentative="0">
      <w:start w:val="7"/>
      <w:numFmt w:val="decimal"/>
      <w:suff w:val="nothing"/>
      <w:lvlText w:val="%1、"/>
      <w:lvlJc w:val="left"/>
    </w:lvl>
  </w:abstractNum>
  <w:abstractNum w:abstractNumId="4">
    <w:nsid w:val="B7D1FE8D"/>
    <w:multiLevelType w:val="singleLevel"/>
    <w:tmpl w:val="B7D1FE8D"/>
    <w:lvl w:ilvl="0" w:tentative="0">
      <w:start w:val="1"/>
      <w:numFmt w:val="decimal"/>
      <w:suff w:val="nothing"/>
      <w:lvlText w:val="（%1）"/>
      <w:lvlJc w:val="left"/>
    </w:lvl>
  </w:abstractNum>
  <w:abstractNum w:abstractNumId="5">
    <w:nsid w:val="EE61B089"/>
    <w:multiLevelType w:val="singleLevel"/>
    <w:tmpl w:val="EE61B089"/>
    <w:lvl w:ilvl="0" w:tentative="0">
      <w:start w:val="1"/>
      <w:numFmt w:val="decimal"/>
      <w:suff w:val="nothing"/>
      <w:lvlText w:val="%1、"/>
      <w:lvlJc w:val="left"/>
    </w:lvl>
  </w:abstractNum>
  <w:abstractNum w:abstractNumId="6">
    <w:nsid w:val="076C04C9"/>
    <w:multiLevelType w:val="singleLevel"/>
    <w:tmpl w:val="076C04C9"/>
    <w:lvl w:ilvl="0" w:tentative="0">
      <w:start w:val="1"/>
      <w:numFmt w:val="decimal"/>
      <w:suff w:val="nothing"/>
      <w:lvlText w:val="（%1）"/>
      <w:lvlJc w:val="left"/>
    </w:lvl>
  </w:abstractNum>
  <w:abstractNum w:abstractNumId="7">
    <w:nsid w:val="111BC00F"/>
    <w:multiLevelType w:val="singleLevel"/>
    <w:tmpl w:val="111BC00F"/>
    <w:lvl w:ilvl="0" w:tentative="0">
      <w:start w:val="3"/>
      <w:numFmt w:val="decimal"/>
      <w:suff w:val="nothing"/>
      <w:lvlText w:val="%1）"/>
      <w:lvlJc w:val="left"/>
    </w:lvl>
  </w:abstractNum>
  <w:abstractNum w:abstractNumId="8">
    <w:nsid w:val="1E8819BC"/>
    <w:multiLevelType w:val="singleLevel"/>
    <w:tmpl w:val="1E8819BC"/>
    <w:lvl w:ilvl="0" w:tentative="0">
      <w:start w:val="2"/>
      <w:numFmt w:val="decimal"/>
      <w:suff w:val="nothing"/>
      <w:lvlText w:val="%1）"/>
      <w:lvlJc w:val="left"/>
    </w:lvl>
  </w:abstractNum>
  <w:num w:numId="1">
    <w:abstractNumId w:val="3"/>
  </w:num>
  <w:num w:numId="2">
    <w:abstractNumId w:val="2"/>
  </w:num>
  <w:num w:numId="3">
    <w:abstractNumId w:val="0"/>
  </w:num>
  <w:num w:numId="4">
    <w:abstractNumId w:val="8"/>
  </w:num>
  <w:num w:numId="5">
    <w:abstractNumId w:val="6"/>
  </w:num>
  <w:num w:numId="6">
    <w:abstractNumId w:val="4"/>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40"/>
  <w:drawingGridVerticalSpacing w:val="38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0Njk5NGNlMDkxZWVhM2Y5ZmYyZjZlN2Q3NGNkZDkifQ=="/>
  </w:docVars>
  <w:rsids>
    <w:rsidRoot w:val="00000000"/>
    <w:rsid w:val="091B3357"/>
    <w:rsid w:val="09C15DF0"/>
    <w:rsid w:val="0C8032ED"/>
    <w:rsid w:val="0C8852D6"/>
    <w:rsid w:val="0D7827E1"/>
    <w:rsid w:val="151E26D4"/>
    <w:rsid w:val="26B721D2"/>
    <w:rsid w:val="2FEA73B1"/>
    <w:rsid w:val="46B506EF"/>
    <w:rsid w:val="47F856BF"/>
    <w:rsid w:val="50107B06"/>
    <w:rsid w:val="51C14D1E"/>
    <w:rsid w:val="68362CD3"/>
    <w:rsid w:val="74464251"/>
    <w:rsid w:val="7F510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82" w:firstLineChars="200"/>
      <w:jc w:val="both"/>
    </w:pPr>
    <w:rPr>
      <w:rFonts w:ascii="Times New Roman" w:hAnsi="Times New Roman" w:eastAsia="仿宋_GB2312" w:cs="Times New Roman"/>
      <w:kern w:val="2"/>
      <w:sz w:val="28"/>
      <w:szCs w:val="24"/>
      <w:lang w:val="en-US" w:eastAsia="zh-CN" w:bidi="ar-SA"/>
    </w:rPr>
  </w:style>
  <w:style w:type="paragraph" w:styleId="3">
    <w:name w:val="heading 1"/>
    <w:next w:val="4"/>
    <w:link w:val="56"/>
    <w:qFormat/>
    <w:uiPriority w:val="0"/>
    <w:pPr>
      <w:keepNext/>
      <w:keepLines/>
      <w:widowControl w:val="0"/>
      <w:adjustRightInd w:val="0"/>
      <w:jc w:val="center"/>
      <w:outlineLvl w:val="0"/>
    </w:pPr>
    <w:rPr>
      <w:rFonts w:ascii="Times New Roman" w:hAnsi="Times New Roman" w:eastAsia="华文中宋" w:cs="Times New Roman"/>
      <w:b/>
      <w:bCs/>
      <w:w w:val="90"/>
      <w:kern w:val="44"/>
      <w:sz w:val="36"/>
      <w:szCs w:val="44"/>
      <w:lang w:val="en-US" w:eastAsia="zh-CN" w:bidi="ar-SA"/>
    </w:rPr>
  </w:style>
  <w:style w:type="paragraph" w:styleId="4">
    <w:name w:val="heading 2"/>
    <w:next w:val="1"/>
    <w:link w:val="55"/>
    <w:qFormat/>
    <w:uiPriority w:val="0"/>
    <w:pPr>
      <w:keepNext/>
      <w:keepLines/>
      <w:spacing w:line="720" w:lineRule="exact"/>
      <w:outlineLvl w:val="1"/>
    </w:pPr>
    <w:rPr>
      <w:rFonts w:ascii="Calibri" w:hAnsi="Calibri" w:eastAsia="华文中宋" w:cs="Arial Unicode MS"/>
      <w:b/>
      <w:bCs/>
      <w:sz w:val="32"/>
      <w:szCs w:val="32"/>
      <w:lang w:val="en-US" w:eastAsia="zh-CN" w:bidi="ar-SA"/>
    </w:rPr>
  </w:style>
  <w:style w:type="paragraph" w:styleId="5">
    <w:name w:val="heading 3"/>
    <w:next w:val="1"/>
    <w:link w:val="54"/>
    <w:qFormat/>
    <w:uiPriority w:val="0"/>
    <w:pPr>
      <w:keepNext/>
      <w:keepLines/>
      <w:spacing w:line="600" w:lineRule="exact"/>
      <w:outlineLvl w:val="2"/>
    </w:pPr>
    <w:rPr>
      <w:rFonts w:ascii="Calibri" w:hAnsi="Calibri" w:eastAsia="黑体" w:cs="Times New Roman"/>
      <w:b/>
      <w:bCs/>
      <w:color w:val="000000"/>
      <w:sz w:val="28"/>
      <w:szCs w:val="32"/>
      <w:lang w:val="en-US" w:eastAsia="zh-CN" w:bidi="ar-SA"/>
    </w:rPr>
  </w:style>
  <w:style w:type="paragraph" w:styleId="6">
    <w:name w:val="heading 4"/>
    <w:next w:val="1"/>
    <w:link w:val="53"/>
    <w:qFormat/>
    <w:uiPriority w:val="0"/>
    <w:pPr>
      <w:keepNext/>
      <w:keepLines/>
      <w:adjustRightInd w:val="0"/>
      <w:snapToGrid w:val="0"/>
      <w:spacing w:line="520" w:lineRule="exact"/>
      <w:outlineLvl w:val="3"/>
    </w:pPr>
    <w:rPr>
      <w:rFonts w:ascii="Times New Roman" w:hAnsi="Times New Roman" w:eastAsia="楷体" w:cs="Times New Roman"/>
      <w:b/>
      <w:bCs/>
      <w:sz w:val="28"/>
      <w:szCs w:val="28"/>
      <w:lang w:val="en-US" w:eastAsia="zh-CN" w:bidi="ar-SA"/>
    </w:rPr>
  </w:style>
  <w:style w:type="paragraph" w:styleId="7">
    <w:name w:val="heading 5"/>
    <w:basedOn w:val="1"/>
    <w:next w:val="1"/>
    <w:link w:val="58"/>
    <w:qFormat/>
    <w:uiPriority w:val="0"/>
    <w:pPr>
      <w:keepNext/>
      <w:keepLines/>
      <w:spacing w:before="280" w:after="290" w:line="376" w:lineRule="auto"/>
      <w:outlineLvl w:val="4"/>
    </w:pPr>
    <w:rPr>
      <w:b/>
    </w:rPr>
  </w:style>
  <w:style w:type="paragraph" w:styleId="8">
    <w:name w:val="heading 6"/>
    <w:basedOn w:val="1"/>
    <w:next w:val="1"/>
    <w:link w:val="59"/>
    <w:qFormat/>
    <w:uiPriority w:val="0"/>
    <w:pPr>
      <w:widowControl/>
      <w:tabs>
        <w:tab w:val="left" w:pos="510"/>
        <w:tab w:val="left" w:pos="1021"/>
      </w:tabs>
      <w:spacing w:beforeLines="50"/>
      <w:jc w:val="left"/>
      <w:textAlignment w:val="baseline"/>
      <w:outlineLvl w:val="5"/>
    </w:pPr>
    <w:rPr>
      <w:rFonts w:ascii="CG Times (WN)" w:hAnsi="CG Times (WN)" w:eastAsia="黑体"/>
      <w:sz w:val="24"/>
    </w:rPr>
  </w:style>
  <w:style w:type="paragraph" w:styleId="9">
    <w:name w:val="heading 7"/>
    <w:basedOn w:val="1"/>
    <w:next w:val="1"/>
    <w:link w:val="60"/>
    <w:qFormat/>
    <w:uiPriority w:val="0"/>
    <w:pPr>
      <w:widowControl/>
      <w:tabs>
        <w:tab w:val="left" w:pos="510"/>
        <w:tab w:val="left" w:pos="1021"/>
      </w:tabs>
      <w:textAlignment w:val="baseline"/>
      <w:outlineLvl w:val="6"/>
    </w:pPr>
    <w:rPr>
      <w:rFonts w:ascii="CG Times (WN)" w:hAnsi="CG Times (WN)"/>
      <w:i/>
      <w:sz w:val="24"/>
    </w:rPr>
  </w:style>
  <w:style w:type="paragraph" w:styleId="10">
    <w:name w:val="heading 8"/>
    <w:basedOn w:val="1"/>
    <w:next w:val="1"/>
    <w:link w:val="61"/>
    <w:qFormat/>
    <w:uiPriority w:val="0"/>
    <w:pPr>
      <w:widowControl/>
      <w:tabs>
        <w:tab w:val="left" w:pos="510"/>
        <w:tab w:val="left" w:pos="1021"/>
      </w:tabs>
      <w:textAlignment w:val="baseline"/>
      <w:outlineLvl w:val="7"/>
    </w:pPr>
    <w:rPr>
      <w:rFonts w:ascii="CG Times (WN)" w:hAnsi="CG Times (WN)"/>
      <w:i/>
      <w:sz w:val="24"/>
    </w:rPr>
  </w:style>
  <w:style w:type="paragraph" w:styleId="11">
    <w:name w:val="heading 9"/>
    <w:next w:val="1"/>
    <w:link w:val="62"/>
    <w:qFormat/>
    <w:uiPriority w:val="0"/>
    <w:pPr>
      <w:tabs>
        <w:tab w:val="left" w:pos="510"/>
        <w:tab w:val="left" w:pos="1021"/>
      </w:tabs>
      <w:adjustRightInd w:val="0"/>
      <w:snapToGrid w:val="0"/>
      <w:spacing w:before="50" w:beforeLines="50" w:after="50" w:afterLines="50"/>
      <w:textAlignment w:val="baseline"/>
      <w:outlineLvl w:val="8"/>
    </w:pPr>
    <w:rPr>
      <w:rFonts w:ascii="CG Times (WN)" w:hAnsi="CG Times (WN)" w:eastAsia="黑体" w:cs="Times New Roman"/>
      <w:i/>
      <w:sz w:val="28"/>
      <w:lang w:val="en-US" w:eastAsia="zh-CN"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7"/>
    <w:qFormat/>
    <w:uiPriority w:val="99"/>
    <w:pPr>
      <w:spacing w:after="120"/>
    </w:pPr>
  </w:style>
  <w:style w:type="paragraph" w:styleId="12">
    <w:name w:val="toc 7"/>
    <w:basedOn w:val="1"/>
    <w:next w:val="1"/>
    <w:unhideWhenUsed/>
    <w:qFormat/>
    <w:uiPriority w:val="39"/>
    <w:pPr>
      <w:adjustRightInd/>
      <w:snapToGrid/>
      <w:spacing w:line="240" w:lineRule="auto"/>
      <w:ind w:left="2520" w:firstLine="0" w:firstLineChars="0"/>
    </w:pPr>
    <w:rPr>
      <w:rFonts w:asciiTheme="minorHAnsi" w:hAnsiTheme="minorHAnsi" w:eastAsiaTheme="minorEastAsia" w:cstheme="minorBidi"/>
      <w:sz w:val="21"/>
      <w:szCs w:val="22"/>
    </w:rPr>
  </w:style>
  <w:style w:type="paragraph" w:styleId="13">
    <w:name w:val="Normal Indent"/>
    <w:basedOn w:val="1"/>
    <w:qFormat/>
    <w:uiPriority w:val="0"/>
    <w:pPr>
      <w:spacing w:line="460" w:lineRule="exact"/>
      <w:ind w:firstLine="200"/>
    </w:pPr>
    <w:rPr>
      <w:sz w:val="24"/>
      <w:szCs w:val="20"/>
    </w:rPr>
  </w:style>
  <w:style w:type="paragraph" w:styleId="14">
    <w:name w:val="Document Map"/>
    <w:basedOn w:val="1"/>
    <w:link w:val="63"/>
    <w:unhideWhenUsed/>
    <w:qFormat/>
    <w:uiPriority w:val="0"/>
    <w:rPr>
      <w:rFonts w:ascii="宋体"/>
      <w:sz w:val="18"/>
      <w:szCs w:val="18"/>
    </w:rPr>
  </w:style>
  <w:style w:type="paragraph" w:styleId="15">
    <w:name w:val="toa heading"/>
    <w:basedOn w:val="1"/>
    <w:next w:val="1"/>
    <w:unhideWhenUsed/>
    <w:qFormat/>
    <w:uiPriority w:val="99"/>
    <w:pPr>
      <w:spacing w:before="120"/>
      <w:ind w:firstLine="480"/>
    </w:pPr>
    <w:rPr>
      <w:rFonts w:ascii="Arial" w:hAnsi="Arial"/>
      <w:sz w:val="24"/>
    </w:rPr>
  </w:style>
  <w:style w:type="paragraph" w:styleId="16">
    <w:name w:val="annotation text"/>
    <w:basedOn w:val="1"/>
    <w:link w:val="64"/>
    <w:unhideWhenUsed/>
    <w:qFormat/>
    <w:uiPriority w:val="99"/>
    <w:pPr>
      <w:jc w:val="left"/>
    </w:pPr>
  </w:style>
  <w:style w:type="paragraph" w:styleId="17">
    <w:name w:val="Body Text Indent"/>
    <w:basedOn w:val="1"/>
    <w:link w:val="65"/>
    <w:qFormat/>
    <w:uiPriority w:val="0"/>
    <w:pPr>
      <w:spacing w:line="380" w:lineRule="exact"/>
      <w:ind w:firstLine="560"/>
    </w:pPr>
    <w:rPr>
      <w:rFonts w:eastAsia="楷体_GB2312"/>
      <w:color w:val="0000FF"/>
    </w:rPr>
  </w:style>
  <w:style w:type="paragraph" w:styleId="18">
    <w:name w:val="toc 5"/>
    <w:basedOn w:val="1"/>
    <w:next w:val="1"/>
    <w:unhideWhenUsed/>
    <w:qFormat/>
    <w:uiPriority w:val="39"/>
    <w:pPr>
      <w:adjustRightInd/>
      <w:snapToGrid/>
      <w:spacing w:line="240" w:lineRule="auto"/>
      <w:ind w:left="1680" w:firstLine="0" w:firstLineChars="0"/>
    </w:pPr>
    <w:rPr>
      <w:rFonts w:asciiTheme="minorHAnsi" w:hAnsiTheme="minorHAnsi" w:eastAsiaTheme="minorEastAsia" w:cstheme="minorBidi"/>
      <w:sz w:val="21"/>
      <w:szCs w:val="22"/>
    </w:rPr>
  </w:style>
  <w:style w:type="paragraph" w:styleId="19">
    <w:name w:val="toc 3"/>
    <w:basedOn w:val="1"/>
    <w:next w:val="1"/>
    <w:qFormat/>
    <w:uiPriority w:val="39"/>
    <w:pPr>
      <w:ind w:left="840" w:leftChars="400"/>
    </w:pPr>
  </w:style>
  <w:style w:type="paragraph" w:styleId="20">
    <w:name w:val="Plain Text"/>
    <w:basedOn w:val="1"/>
    <w:link w:val="66"/>
    <w:qFormat/>
    <w:uiPriority w:val="0"/>
    <w:pPr>
      <w:ind w:firstLine="480"/>
      <w:textAlignment w:val="bottom"/>
    </w:pPr>
    <w:rPr>
      <w:rFonts w:ascii="宋体" w:hAnsi="宋体"/>
      <w:sz w:val="24"/>
      <w:szCs w:val="20"/>
    </w:rPr>
  </w:style>
  <w:style w:type="paragraph" w:styleId="21">
    <w:name w:val="toc 8"/>
    <w:basedOn w:val="1"/>
    <w:next w:val="1"/>
    <w:unhideWhenUsed/>
    <w:qFormat/>
    <w:uiPriority w:val="39"/>
    <w:pPr>
      <w:adjustRightInd/>
      <w:snapToGrid/>
      <w:spacing w:line="240" w:lineRule="auto"/>
      <w:ind w:left="2940" w:firstLine="0" w:firstLineChars="0"/>
    </w:pPr>
    <w:rPr>
      <w:rFonts w:asciiTheme="minorHAnsi" w:hAnsiTheme="minorHAnsi" w:eastAsiaTheme="minorEastAsia" w:cstheme="minorBidi"/>
      <w:sz w:val="21"/>
      <w:szCs w:val="22"/>
    </w:rPr>
  </w:style>
  <w:style w:type="paragraph" w:styleId="22">
    <w:name w:val="Date"/>
    <w:basedOn w:val="1"/>
    <w:next w:val="1"/>
    <w:link w:val="67"/>
    <w:qFormat/>
    <w:uiPriority w:val="0"/>
    <w:pPr>
      <w:ind w:left="100" w:leftChars="2500"/>
    </w:pPr>
    <w:rPr>
      <w:szCs w:val="21"/>
    </w:rPr>
  </w:style>
  <w:style w:type="paragraph" w:styleId="23">
    <w:name w:val="Body Text Indent 2"/>
    <w:basedOn w:val="1"/>
    <w:link w:val="68"/>
    <w:unhideWhenUsed/>
    <w:qFormat/>
    <w:uiPriority w:val="0"/>
    <w:pPr>
      <w:spacing w:after="120" w:line="480" w:lineRule="auto"/>
      <w:ind w:left="420" w:leftChars="200"/>
    </w:pPr>
  </w:style>
  <w:style w:type="paragraph" w:styleId="24">
    <w:name w:val="Balloon Text"/>
    <w:basedOn w:val="1"/>
    <w:link w:val="69"/>
    <w:unhideWhenUsed/>
    <w:qFormat/>
    <w:uiPriority w:val="99"/>
    <w:rPr>
      <w:sz w:val="18"/>
      <w:szCs w:val="18"/>
    </w:rPr>
  </w:style>
  <w:style w:type="paragraph" w:styleId="25">
    <w:name w:val="footer"/>
    <w:basedOn w:val="1"/>
    <w:link w:val="70"/>
    <w:unhideWhenUsed/>
    <w:qFormat/>
    <w:uiPriority w:val="0"/>
    <w:pPr>
      <w:tabs>
        <w:tab w:val="center" w:pos="4153"/>
        <w:tab w:val="right" w:pos="8306"/>
      </w:tabs>
      <w:jc w:val="left"/>
    </w:pPr>
    <w:rPr>
      <w:sz w:val="18"/>
      <w:szCs w:val="18"/>
    </w:rPr>
  </w:style>
  <w:style w:type="paragraph" w:styleId="26">
    <w:name w:val="header"/>
    <w:basedOn w:val="1"/>
    <w:link w:val="71"/>
    <w:unhideWhenUsed/>
    <w:qFormat/>
    <w:uiPriority w:val="0"/>
    <w:pPr>
      <w:pBdr>
        <w:bottom w:val="single" w:color="auto" w:sz="6" w:space="1"/>
      </w:pBdr>
      <w:tabs>
        <w:tab w:val="center" w:pos="4153"/>
        <w:tab w:val="right" w:pos="8306"/>
      </w:tabs>
      <w:jc w:val="center"/>
    </w:pPr>
    <w:rPr>
      <w:sz w:val="18"/>
      <w:szCs w:val="18"/>
    </w:rPr>
  </w:style>
  <w:style w:type="paragraph" w:styleId="27">
    <w:name w:val="toc 1"/>
    <w:basedOn w:val="1"/>
    <w:next w:val="1"/>
    <w:unhideWhenUsed/>
    <w:qFormat/>
    <w:uiPriority w:val="39"/>
    <w:rPr>
      <w:b/>
    </w:rPr>
  </w:style>
  <w:style w:type="paragraph" w:styleId="28">
    <w:name w:val="toc 4"/>
    <w:basedOn w:val="1"/>
    <w:next w:val="1"/>
    <w:unhideWhenUsed/>
    <w:qFormat/>
    <w:uiPriority w:val="39"/>
    <w:pPr>
      <w:adjustRightInd/>
      <w:snapToGrid/>
      <w:spacing w:line="240" w:lineRule="auto"/>
      <w:ind w:left="1260" w:firstLine="0" w:firstLineChars="0"/>
    </w:pPr>
    <w:rPr>
      <w:rFonts w:asciiTheme="minorHAnsi" w:hAnsiTheme="minorHAnsi" w:eastAsiaTheme="minorEastAsia" w:cstheme="minorBidi"/>
      <w:sz w:val="21"/>
      <w:szCs w:val="22"/>
    </w:rPr>
  </w:style>
  <w:style w:type="paragraph" w:styleId="29">
    <w:name w:val="footnote text"/>
    <w:basedOn w:val="1"/>
    <w:link w:val="72"/>
    <w:semiHidden/>
    <w:qFormat/>
    <w:uiPriority w:val="0"/>
    <w:pPr>
      <w:adjustRightInd/>
      <w:spacing w:line="240" w:lineRule="auto"/>
      <w:ind w:firstLine="0" w:firstLineChars="0"/>
      <w:jc w:val="left"/>
    </w:pPr>
    <w:rPr>
      <w:rFonts w:eastAsia="华文中宋"/>
      <w:sz w:val="18"/>
      <w:szCs w:val="18"/>
    </w:rPr>
  </w:style>
  <w:style w:type="paragraph" w:styleId="30">
    <w:name w:val="toc 6"/>
    <w:basedOn w:val="1"/>
    <w:next w:val="1"/>
    <w:unhideWhenUsed/>
    <w:qFormat/>
    <w:uiPriority w:val="39"/>
    <w:pPr>
      <w:adjustRightInd/>
      <w:snapToGrid/>
      <w:spacing w:line="240" w:lineRule="auto"/>
      <w:ind w:left="2100" w:firstLine="0" w:firstLineChars="0"/>
    </w:pPr>
    <w:rPr>
      <w:rFonts w:asciiTheme="minorHAnsi" w:hAnsiTheme="minorHAnsi" w:eastAsiaTheme="minorEastAsia" w:cstheme="minorBidi"/>
      <w:sz w:val="21"/>
      <w:szCs w:val="22"/>
    </w:rPr>
  </w:style>
  <w:style w:type="paragraph" w:styleId="31">
    <w:name w:val="Body Text Indent 3"/>
    <w:basedOn w:val="1"/>
    <w:link w:val="73"/>
    <w:qFormat/>
    <w:uiPriority w:val="0"/>
    <w:pPr>
      <w:spacing w:after="120"/>
      <w:ind w:left="420" w:leftChars="200"/>
    </w:pPr>
    <w:rPr>
      <w:sz w:val="16"/>
      <w:szCs w:val="16"/>
    </w:rPr>
  </w:style>
  <w:style w:type="paragraph" w:styleId="32">
    <w:name w:val="table of figures"/>
    <w:basedOn w:val="1"/>
    <w:next w:val="1"/>
    <w:qFormat/>
    <w:uiPriority w:val="0"/>
    <w:pPr>
      <w:ind w:left="720" w:hanging="720"/>
      <w:jc w:val="left"/>
    </w:pPr>
    <w:rPr>
      <w:rFonts w:ascii="Calibri" w:hAnsi="Calibri" w:eastAsia="黑体"/>
      <w:smallCaps/>
      <w:sz w:val="20"/>
      <w:szCs w:val="20"/>
    </w:rPr>
  </w:style>
  <w:style w:type="paragraph" w:styleId="33">
    <w:name w:val="toc 2"/>
    <w:basedOn w:val="1"/>
    <w:next w:val="1"/>
    <w:unhideWhenUsed/>
    <w:qFormat/>
    <w:uiPriority w:val="39"/>
    <w:pPr>
      <w:ind w:left="420" w:leftChars="200"/>
    </w:pPr>
  </w:style>
  <w:style w:type="paragraph" w:styleId="34">
    <w:name w:val="toc 9"/>
    <w:basedOn w:val="1"/>
    <w:next w:val="1"/>
    <w:unhideWhenUsed/>
    <w:qFormat/>
    <w:uiPriority w:val="39"/>
    <w:pPr>
      <w:adjustRightInd/>
      <w:snapToGrid/>
      <w:spacing w:line="240" w:lineRule="auto"/>
      <w:ind w:left="3360" w:firstLine="0" w:firstLineChars="0"/>
    </w:pPr>
    <w:rPr>
      <w:rFonts w:asciiTheme="minorHAnsi" w:hAnsiTheme="minorHAnsi" w:eastAsiaTheme="minorEastAsia" w:cstheme="minorBidi"/>
      <w:sz w:val="21"/>
      <w:szCs w:val="22"/>
    </w:rPr>
  </w:style>
  <w:style w:type="paragraph" w:styleId="35">
    <w:name w:val="Body Text 2"/>
    <w:basedOn w:val="1"/>
    <w:link w:val="74"/>
    <w:qFormat/>
    <w:uiPriority w:val="0"/>
    <w:pPr>
      <w:autoSpaceDE w:val="0"/>
      <w:autoSpaceDN w:val="0"/>
      <w:jc w:val="right"/>
    </w:pPr>
    <w:rPr>
      <w:rFonts w:ascii="宋体"/>
      <w:b/>
      <w:bCs/>
      <w:color w:val="000000"/>
      <w:kern w:val="0"/>
      <w:sz w:val="24"/>
      <w:szCs w:val="36"/>
    </w:rPr>
  </w:style>
  <w:style w:type="paragraph" w:styleId="36">
    <w:name w:val="HTML Preformatted"/>
    <w:basedOn w:val="1"/>
    <w:link w:val="75"/>
    <w:qFormat/>
    <w:uiPriority w:val="0"/>
    <w:rPr>
      <w:rFonts w:ascii="Courier New" w:hAnsi="Courier New" w:cs="Courier New"/>
      <w:sz w:val="20"/>
      <w:szCs w:val="20"/>
    </w:rPr>
  </w:style>
  <w:style w:type="paragraph" w:styleId="37">
    <w:name w:val="Normal (Web)"/>
    <w:basedOn w:val="1"/>
    <w:qFormat/>
    <w:uiPriority w:val="0"/>
    <w:rPr>
      <w:sz w:val="24"/>
    </w:rPr>
  </w:style>
  <w:style w:type="paragraph" w:styleId="38">
    <w:name w:val="annotation subject"/>
    <w:basedOn w:val="16"/>
    <w:next w:val="16"/>
    <w:link w:val="76"/>
    <w:unhideWhenUsed/>
    <w:qFormat/>
    <w:uiPriority w:val="99"/>
    <w:rPr>
      <w:b/>
      <w:bCs/>
    </w:rPr>
  </w:style>
  <w:style w:type="paragraph" w:styleId="39">
    <w:name w:val="Body Text First Indent"/>
    <w:basedOn w:val="2"/>
    <w:link w:val="77"/>
    <w:unhideWhenUsed/>
    <w:qFormat/>
    <w:uiPriority w:val="0"/>
    <w:pPr>
      <w:ind w:firstLine="420" w:firstLineChars="100"/>
    </w:pPr>
  </w:style>
  <w:style w:type="table" w:styleId="41">
    <w:name w:val="Table Grid"/>
    <w:basedOn w:val="4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qFormat/>
    <w:uiPriority w:val="0"/>
  </w:style>
  <w:style w:type="character" w:styleId="45">
    <w:name w:val="FollowedHyperlink"/>
    <w:qFormat/>
    <w:uiPriority w:val="99"/>
    <w:rPr>
      <w:color w:val="800080"/>
      <w:u w:val="single"/>
    </w:rPr>
  </w:style>
  <w:style w:type="character" w:styleId="46">
    <w:name w:val="Hyperlink"/>
    <w:unhideWhenUsed/>
    <w:qFormat/>
    <w:uiPriority w:val="99"/>
    <w:rPr>
      <w:color w:val="0000FF"/>
      <w:u w:val="single"/>
    </w:rPr>
  </w:style>
  <w:style w:type="character" w:styleId="47">
    <w:name w:val="annotation reference"/>
    <w:unhideWhenUsed/>
    <w:qFormat/>
    <w:uiPriority w:val="99"/>
    <w:rPr>
      <w:sz w:val="21"/>
      <w:szCs w:val="21"/>
    </w:rPr>
  </w:style>
  <w:style w:type="character" w:styleId="48">
    <w:name w:val="footnote reference"/>
    <w:qFormat/>
    <w:uiPriority w:val="0"/>
    <w:rPr>
      <w:vertAlign w:val="superscript"/>
    </w:rPr>
  </w:style>
  <w:style w:type="paragraph" w:customStyle="1" w:styleId="49">
    <w:name w:val="表名"/>
    <w:basedOn w:val="11"/>
    <w:next w:val="50"/>
    <w:link w:val="52"/>
    <w:qFormat/>
    <w:uiPriority w:val="0"/>
    <w:pPr>
      <w:keepNext/>
      <w:keepLines/>
      <w:widowControl w:val="0"/>
      <w:tabs>
        <w:tab w:val="clear" w:pos="510"/>
        <w:tab w:val="clear" w:pos="1021"/>
      </w:tabs>
      <w:adjustRightInd/>
      <w:spacing w:before="120" w:after="120"/>
      <w:jc w:val="center"/>
      <w:textAlignment w:val="auto"/>
    </w:pPr>
    <w:rPr>
      <w:rFonts w:ascii="Times New Roman" w:hAnsi="Times New Roman"/>
      <w:b/>
      <w:bCs/>
      <w:i w:val="0"/>
      <w:iCs/>
    </w:rPr>
  </w:style>
  <w:style w:type="paragraph" w:customStyle="1" w:styleId="50">
    <w:name w:val="表内容"/>
    <w:next w:val="51"/>
    <w:qFormat/>
    <w:uiPriority w:val="4"/>
    <w:pPr>
      <w:adjustRightInd w:val="0"/>
      <w:snapToGrid w:val="0"/>
      <w:spacing w:before="50" w:beforeLines="50"/>
      <w:jc w:val="center"/>
    </w:pPr>
    <w:rPr>
      <w:rFonts w:ascii="Times New Roman" w:hAnsi="Times New Roman" w:eastAsia="宋体" w:cs="Times New Roman"/>
      <w:iCs/>
      <w:sz w:val="24"/>
      <w:lang w:val="en-US" w:eastAsia="zh-CN" w:bidi="ar-SA"/>
    </w:rPr>
  </w:style>
  <w:style w:type="paragraph" w:customStyle="1" w:styleId="51">
    <w:name w:val="文本"/>
    <w:basedOn w:val="1"/>
    <w:next w:val="13"/>
    <w:qFormat/>
    <w:uiPriority w:val="0"/>
    <w:pPr>
      <w:ind w:firstLine="480"/>
    </w:pPr>
    <w:rPr>
      <w:rFonts w:cs="宋体"/>
      <w:color w:val="000000"/>
      <w:spacing w:val="-8"/>
    </w:rPr>
  </w:style>
  <w:style w:type="character" w:customStyle="1" w:styleId="52">
    <w:name w:val="表名 Char"/>
    <w:link w:val="49"/>
    <w:qFormat/>
    <w:uiPriority w:val="0"/>
    <w:rPr>
      <w:rFonts w:eastAsia="黑体"/>
      <w:b/>
      <w:bCs/>
      <w:iCs/>
      <w:sz w:val="28"/>
    </w:rPr>
  </w:style>
  <w:style w:type="character" w:customStyle="1" w:styleId="53">
    <w:name w:val="标题 4 字符"/>
    <w:link w:val="6"/>
    <w:qFormat/>
    <w:uiPriority w:val="0"/>
    <w:rPr>
      <w:rFonts w:ascii="Times New Roman" w:hAnsi="Times New Roman" w:eastAsia="楷体"/>
      <w:b/>
      <w:bCs/>
      <w:kern w:val="2"/>
      <w:sz w:val="28"/>
      <w:szCs w:val="28"/>
    </w:rPr>
  </w:style>
  <w:style w:type="character" w:customStyle="1" w:styleId="54">
    <w:name w:val="标题 3 字符"/>
    <w:link w:val="5"/>
    <w:qFormat/>
    <w:uiPriority w:val="0"/>
    <w:rPr>
      <w:rFonts w:ascii="Calibri" w:hAnsi="Calibri" w:eastAsia="黑体"/>
      <w:b/>
      <w:bCs/>
      <w:color w:val="000000"/>
      <w:kern w:val="2"/>
      <w:sz w:val="28"/>
      <w:szCs w:val="32"/>
    </w:rPr>
  </w:style>
  <w:style w:type="character" w:customStyle="1" w:styleId="55">
    <w:name w:val="标题 2 字符"/>
    <w:link w:val="4"/>
    <w:qFormat/>
    <w:uiPriority w:val="0"/>
    <w:rPr>
      <w:rFonts w:ascii="Calibri" w:hAnsi="Calibri" w:eastAsia="华文中宋" w:cs="Arial Unicode MS"/>
      <w:b/>
      <w:bCs/>
      <w:kern w:val="2"/>
      <w:sz w:val="32"/>
      <w:szCs w:val="32"/>
    </w:rPr>
  </w:style>
  <w:style w:type="character" w:customStyle="1" w:styleId="56">
    <w:name w:val="标题 1 字符"/>
    <w:link w:val="3"/>
    <w:qFormat/>
    <w:uiPriority w:val="0"/>
    <w:rPr>
      <w:rFonts w:ascii="Times New Roman" w:hAnsi="Times New Roman" w:eastAsia="华文中宋"/>
      <w:b/>
      <w:bCs/>
      <w:w w:val="90"/>
      <w:kern w:val="44"/>
      <w:sz w:val="36"/>
      <w:szCs w:val="44"/>
      <w:lang w:val="en-US" w:eastAsia="zh-CN" w:bidi="ar-SA"/>
    </w:rPr>
  </w:style>
  <w:style w:type="character" w:customStyle="1" w:styleId="57">
    <w:name w:val="正文文本 字符"/>
    <w:link w:val="2"/>
    <w:qFormat/>
    <w:uiPriority w:val="99"/>
    <w:rPr>
      <w:rFonts w:ascii="Times New Roman" w:hAnsi="Times New Roman"/>
      <w:kern w:val="2"/>
      <w:sz w:val="21"/>
      <w:szCs w:val="24"/>
    </w:rPr>
  </w:style>
  <w:style w:type="character" w:customStyle="1" w:styleId="58">
    <w:name w:val="标题 5 字符"/>
    <w:link w:val="7"/>
    <w:qFormat/>
    <w:uiPriority w:val="0"/>
    <w:rPr>
      <w:rFonts w:ascii="Times New Roman" w:hAnsi="Times New Roman" w:eastAsia="仿宋_GB2312"/>
      <w:b/>
      <w:kern w:val="2"/>
      <w:sz w:val="28"/>
    </w:rPr>
  </w:style>
  <w:style w:type="character" w:customStyle="1" w:styleId="59">
    <w:name w:val="标题 6 字符"/>
    <w:link w:val="8"/>
    <w:qFormat/>
    <w:uiPriority w:val="0"/>
    <w:rPr>
      <w:rFonts w:ascii="CG Times (WN)" w:hAnsi="CG Times (WN)" w:eastAsia="黑体"/>
      <w:sz w:val="24"/>
      <w:szCs w:val="24"/>
    </w:rPr>
  </w:style>
  <w:style w:type="character" w:customStyle="1" w:styleId="60">
    <w:name w:val="标题 7 字符"/>
    <w:link w:val="9"/>
    <w:qFormat/>
    <w:uiPriority w:val="0"/>
    <w:rPr>
      <w:rFonts w:ascii="CG Times (WN)" w:hAnsi="CG Times (WN)" w:eastAsia="仿宋_GB2312"/>
      <w:i/>
      <w:sz w:val="24"/>
    </w:rPr>
  </w:style>
  <w:style w:type="character" w:customStyle="1" w:styleId="61">
    <w:name w:val="标题 8 字符"/>
    <w:link w:val="10"/>
    <w:qFormat/>
    <w:uiPriority w:val="0"/>
    <w:rPr>
      <w:rFonts w:ascii="CG Times (WN)" w:hAnsi="CG Times (WN)" w:eastAsia="仿宋_GB2312"/>
      <w:i/>
      <w:sz w:val="24"/>
    </w:rPr>
  </w:style>
  <w:style w:type="character" w:customStyle="1" w:styleId="62">
    <w:name w:val="标题 9 字符"/>
    <w:link w:val="11"/>
    <w:qFormat/>
    <w:uiPriority w:val="0"/>
    <w:rPr>
      <w:rFonts w:ascii="CG Times (WN)" w:hAnsi="CG Times (WN)" w:eastAsia="黑体"/>
      <w:i/>
      <w:kern w:val="2"/>
      <w:sz w:val="28"/>
      <w:szCs w:val="24"/>
    </w:rPr>
  </w:style>
  <w:style w:type="character" w:customStyle="1" w:styleId="63">
    <w:name w:val="文档结构图 字符"/>
    <w:link w:val="14"/>
    <w:semiHidden/>
    <w:qFormat/>
    <w:uiPriority w:val="99"/>
    <w:rPr>
      <w:rFonts w:ascii="宋体" w:hAnsi="Times New Roman"/>
      <w:kern w:val="2"/>
      <w:sz w:val="18"/>
      <w:szCs w:val="18"/>
    </w:rPr>
  </w:style>
  <w:style w:type="character" w:customStyle="1" w:styleId="64">
    <w:name w:val="批注文字 字符"/>
    <w:link w:val="16"/>
    <w:semiHidden/>
    <w:qFormat/>
    <w:uiPriority w:val="99"/>
    <w:rPr>
      <w:kern w:val="2"/>
      <w:sz w:val="21"/>
      <w:szCs w:val="24"/>
    </w:rPr>
  </w:style>
  <w:style w:type="character" w:customStyle="1" w:styleId="65">
    <w:name w:val="正文文本缩进 字符"/>
    <w:link w:val="17"/>
    <w:qFormat/>
    <w:uiPriority w:val="0"/>
    <w:rPr>
      <w:rFonts w:ascii="Times New Roman" w:hAnsi="Times New Roman" w:eastAsia="楷体_GB2312"/>
      <w:color w:val="0000FF"/>
      <w:kern w:val="2"/>
      <w:sz w:val="28"/>
      <w:szCs w:val="24"/>
    </w:rPr>
  </w:style>
  <w:style w:type="character" w:customStyle="1" w:styleId="66">
    <w:name w:val="纯文本 字符"/>
    <w:link w:val="20"/>
    <w:qFormat/>
    <w:uiPriority w:val="0"/>
    <w:rPr>
      <w:rFonts w:ascii="宋体" w:hAnsi="宋体"/>
      <w:kern w:val="2"/>
      <w:sz w:val="24"/>
    </w:rPr>
  </w:style>
  <w:style w:type="character" w:customStyle="1" w:styleId="67">
    <w:name w:val="日期 字符"/>
    <w:link w:val="22"/>
    <w:qFormat/>
    <w:uiPriority w:val="0"/>
    <w:rPr>
      <w:rFonts w:ascii="Times New Roman" w:hAnsi="Times New Roman"/>
      <w:kern w:val="2"/>
      <w:sz w:val="21"/>
      <w:szCs w:val="21"/>
    </w:rPr>
  </w:style>
  <w:style w:type="character" w:customStyle="1" w:styleId="68">
    <w:name w:val="正文文本缩进 2 字符"/>
    <w:link w:val="23"/>
    <w:semiHidden/>
    <w:qFormat/>
    <w:uiPriority w:val="99"/>
    <w:rPr>
      <w:rFonts w:ascii="Times New Roman" w:hAnsi="Times New Roman"/>
      <w:kern w:val="2"/>
      <w:sz w:val="21"/>
      <w:szCs w:val="24"/>
    </w:rPr>
  </w:style>
  <w:style w:type="character" w:customStyle="1" w:styleId="69">
    <w:name w:val="批注框文本 字符"/>
    <w:link w:val="24"/>
    <w:semiHidden/>
    <w:qFormat/>
    <w:uiPriority w:val="99"/>
    <w:rPr>
      <w:kern w:val="2"/>
      <w:sz w:val="18"/>
      <w:szCs w:val="18"/>
    </w:rPr>
  </w:style>
  <w:style w:type="character" w:customStyle="1" w:styleId="70">
    <w:name w:val="页脚 字符"/>
    <w:link w:val="25"/>
    <w:qFormat/>
    <w:uiPriority w:val="99"/>
    <w:rPr>
      <w:sz w:val="18"/>
      <w:szCs w:val="18"/>
    </w:rPr>
  </w:style>
  <w:style w:type="character" w:customStyle="1" w:styleId="71">
    <w:name w:val="页眉 字符"/>
    <w:link w:val="26"/>
    <w:semiHidden/>
    <w:qFormat/>
    <w:uiPriority w:val="99"/>
    <w:rPr>
      <w:sz w:val="18"/>
      <w:szCs w:val="18"/>
    </w:rPr>
  </w:style>
  <w:style w:type="character" w:customStyle="1" w:styleId="72">
    <w:name w:val="脚注文本 字符"/>
    <w:link w:val="29"/>
    <w:semiHidden/>
    <w:qFormat/>
    <w:uiPriority w:val="0"/>
    <w:rPr>
      <w:rFonts w:eastAsia="华文中宋"/>
      <w:kern w:val="2"/>
      <w:sz w:val="18"/>
      <w:szCs w:val="18"/>
    </w:rPr>
  </w:style>
  <w:style w:type="character" w:customStyle="1" w:styleId="73">
    <w:name w:val="正文文本缩进 3 字符"/>
    <w:link w:val="31"/>
    <w:qFormat/>
    <w:uiPriority w:val="0"/>
    <w:rPr>
      <w:rFonts w:ascii="Times New Roman" w:hAnsi="Times New Roman"/>
      <w:kern w:val="2"/>
      <w:sz w:val="16"/>
      <w:szCs w:val="16"/>
    </w:rPr>
  </w:style>
  <w:style w:type="character" w:customStyle="1" w:styleId="74">
    <w:name w:val="正文文本 2 字符"/>
    <w:link w:val="35"/>
    <w:qFormat/>
    <w:uiPriority w:val="0"/>
    <w:rPr>
      <w:rFonts w:ascii="宋体" w:hAnsi="Times New Roman"/>
      <w:b/>
      <w:bCs/>
      <w:color w:val="000000"/>
      <w:sz w:val="24"/>
      <w:szCs w:val="36"/>
    </w:rPr>
  </w:style>
  <w:style w:type="character" w:customStyle="1" w:styleId="75">
    <w:name w:val="HTML 预设格式 字符"/>
    <w:link w:val="36"/>
    <w:qFormat/>
    <w:uiPriority w:val="0"/>
    <w:rPr>
      <w:rFonts w:ascii="Courier New" w:hAnsi="Courier New" w:cs="Courier New"/>
      <w:kern w:val="2"/>
    </w:rPr>
  </w:style>
  <w:style w:type="character" w:customStyle="1" w:styleId="76">
    <w:name w:val="批注主题 字符"/>
    <w:link w:val="38"/>
    <w:semiHidden/>
    <w:qFormat/>
    <w:uiPriority w:val="99"/>
    <w:rPr>
      <w:b/>
      <w:bCs/>
      <w:kern w:val="2"/>
      <w:sz w:val="21"/>
      <w:szCs w:val="24"/>
    </w:rPr>
  </w:style>
  <w:style w:type="character" w:customStyle="1" w:styleId="77">
    <w:name w:val="正文文本首行缩进 字符"/>
    <w:link w:val="39"/>
    <w:semiHidden/>
    <w:qFormat/>
    <w:uiPriority w:val="99"/>
  </w:style>
  <w:style w:type="character" w:customStyle="1" w:styleId="78">
    <w:name w:val="font11"/>
    <w:qFormat/>
    <w:uiPriority w:val="0"/>
    <w:rPr>
      <w:rFonts w:hint="eastAsia" w:ascii="宋体" w:hAnsi="宋体" w:eastAsia="宋体" w:cs="宋体"/>
      <w:color w:val="000000"/>
      <w:sz w:val="18"/>
      <w:szCs w:val="18"/>
      <w:u w:val="none"/>
    </w:rPr>
  </w:style>
  <w:style w:type="character" w:customStyle="1" w:styleId="79">
    <w:name w:val="font51"/>
    <w:qFormat/>
    <w:uiPriority w:val="0"/>
    <w:rPr>
      <w:rFonts w:hint="eastAsia" w:ascii="宋体" w:hAnsi="宋体" w:eastAsia="宋体" w:cs="宋体"/>
      <w:color w:val="000000"/>
      <w:sz w:val="18"/>
      <w:szCs w:val="18"/>
      <w:u w:val="none"/>
    </w:rPr>
  </w:style>
  <w:style w:type="character" w:customStyle="1" w:styleId="80">
    <w:name w:val="样式1 Char Char"/>
    <w:link w:val="81"/>
    <w:qFormat/>
    <w:uiPriority w:val="0"/>
    <w:rPr>
      <w:rFonts w:ascii="Times New Roman" w:hAnsi="Times New Roman"/>
      <w:bCs/>
      <w:kern w:val="2"/>
      <w:sz w:val="24"/>
      <w:szCs w:val="24"/>
    </w:rPr>
  </w:style>
  <w:style w:type="paragraph" w:customStyle="1" w:styleId="81">
    <w:name w:val="样式1 Char"/>
    <w:basedOn w:val="1"/>
    <w:link w:val="80"/>
    <w:qFormat/>
    <w:uiPriority w:val="0"/>
    <w:pPr>
      <w:ind w:firstLine="480"/>
    </w:pPr>
    <w:rPr>
      <w:bCs/>
      <w:sz w:val="24"/>
    </w:rPr>
  </w:style>
  <w:style w:type="character" w:customStyle="1" w:styleId="82">
    <w:name w:val="标题 3 Char1"/>
    <w:qFormat/>
    <w:uiPriority w:val="0"/>
    <w:rPr>
      <w:rFonts w:eastAsia="楷体"/>
      <w:b/>
      <w:bCs/>
      <w:kern w:val="2"/>
      <w:sz w:val="24"/>
      <w:szCs w:val="32"/>
      <w:lang w:val="en-US" w:eastAsia="zh-CN" w:bidi="ar-SA"/>
    </w:rPr>
  </w:style>
  <w:style w:type="character" w:customStyle="1" w:styleId="83">
    <w:name w:val="正文首行缩进 Char Char Char Char Char Char Char Char Char Char Char Char Char Char Char Char Char Char Char Char Char Char Char Char"/>
    <w:qFormat/>
    <w:uiPriority w:val="0"/>
    <w:rPr>
      <w:rFonts w:eastAsia="宋体"/>
      <w:kern w:val="2"/>
      <w:sz w:val="24"/>
      <w:szCs w:val="24"/>
      <w:lang w:val="en-US" w:eastAsia="zh-CN"/>
    </w:rPr>
  </w:style>
  <w:style w:type="character" w:customStyle="1" w:styleId="84">
    <w:name w:val="font41"/>
    <w:qFormat/>
    <w:uiPriority w:val="0"/>
    <w:rPr>
      <w:rFonts w:hint="eastAsia" w:ascii="宋体" w:hAnsi="宋体" w:eastAsia="宋体" w:cs="宋体"/>
      <w:color w:val="000000"/>
      <w:sz w:val="18"/>
      <w:szCs w:val="18"/>
      <w:u w:val="none"/>
    </w:rPr>
  </w:style>
  <w:style w:type="character" w:customStyle="1" w:styleId="85">
    <w:name w:val="标题 6 Char1"/>
    <w:qFormat/>
    <w:uiPriority w:val="0"/>
    <w:rPr>
      <w:rFonts w:ascii="CG Times (WN)" w:hAnsi="CG Times (WN)" w:eastAsia="黑体"/>
      <w:sz w:val="24"/>
      <w:szCs w:val="24"/>
    </w:rPr>
  </w:style>
  <w:style w:type="character" w:customStyle="1" w:styleId="86">
    <w:name w:val="标题 1 Char1"/>
    <w:qFormat/>
    <w:uiPriority w:val="0"/>
    <w:rPr>
      <w:rFonts w:ascii="Times New Roman" w:hAnsi="Times New Roman" w:eastAsia="楷体"/>
      <w:b/>
      <w:bCs/>
      <w:kern w:val="44"/>
      <w:sz w:val="36"/>
      <w:szCs w:val="44"/>
      <w:lang w:val="en-US" w:eastAsia="zh-CN" w:bidi="ar-SA"/>
    </w:rPr>
  </w:style>
  <w:style w:type="character" w:customStyle="1" w:styleId="87">
    <w:name w:val="font61"/>
    <w:qFormat/>
    <w:uiPriority w:val="0"/>
    <w:rPr>
      <w:rFonts w:hint="eastAsia" w:ascii="华文中宋" w:hAnsi="华文中宋" w:eastAsia="华文中宋" w:cs="华文中宋"/>
      <w:color w:val="000000"/>
      <w:sz w:val="18"/>
      <w:szCs w:val="18"/>
      <w:u w:val="none"/>
    </w:rPr>
  </w:style>
  <w:style w:type="character" w:customStyle="1" w:styleId="88">
    <w:name w:val="font21"/>
    <w:qFormat/>
    <w:uiPriority w:val="0"/>
    <w:rPr>
      <w:rFonts w:hint="default" w:ascii="Times New Roman" w:hAnsi="Times New Roman" w:cs="Times New Roman"/>
      <w:color w:val="FF0000"/>
      <w:sz w:val="18"/>
      <w:szCs w:val="18"/>
      <w:u w:val="none"/>
    </w:rPr>
  </w:style>
  <w:style w:type="character" w:customStyle="1" w:styleId="89">
    <w:name w:val="font01"/>
    <w:qFormat/>
    <w:uiPriority w:val="0"/>
    <w:rPr>
      <w:rFonts w:hint="default" w:ascii="Times New Roman" w:hAnsi="Times New Roman" w:cs="Times New Roman"/>
      <w:color w:val="FF0000"/>
      <w:sz w:val="18"/>
      <w:szCs w:val="18"/>
      <w:u w:val="none"/>
      <w:vertAlign w:val="superscript"/>
    </w:rPr>
  </w:style>
  <w:style w:type="character" w:customStyle="1" w:styleId="90">
    <w:name w:val="font31"/>
    <w:qFormat/>
    <w:uiPriority w:val="0"/>
    <w:rPr>
      <w:rFonts w:hint="eastAsia" w:ascii="宋体" w:hAnsi="宋体" w:eastAsia="宋体" w:cs="宋体"/>
      <w:color w:val="FF0000"/>
      <w:sz w:val="18"/>
      <w:szCs w:val="18"/>
      <w:u w:val="none"/>
    </w:rPr>
  </w:style>
  <w:style w:type="paragraph" w:customStyle="1" w:styleId="91">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2">
    <w:name w:val="样式5"/>
    <w:basedOn w:val="1"/>
    <w:link w:val="93"/>
    <w:qFormat/>
    <w:uiPriority w:val="0"/>
    <w:pPr>
      <w:ind w:firstLine="0" w:firstLineChars="0"/>
      <w:jc w:val="center"/>
    </w:pPr>
    <w:rPr>
      <w:rFonts w:eastAsia="黑体"/>
    </w:rPr>
  </w:style>
  <w:style w:type="character" w:customStyle="1" w:styleId="93">
    <w:name w:val="样式5 Char4"/>
    <w:link w:val="92"/>
    <w:qFormat/>
    <w:uiPriority w:val="0"/>
    <w:rPr>
      <w:rFonts w:eastAsia="黑体"/>
      <w:kern w:val="2"/>
      <w:sz w:val="28"/>
      <w:szCs w:val="24"/>
    </w:rPr>
  </w:style>
  <w:style w:type="paragraph" w:customStyle="1" w:styleId="94">
    <w:name w:val="表文"/>
    <w:basedOn w:val="1"/>
    <w:qFormat/>
    <w:uiPriority w:val="0"/>
    <w:pPr>
      <w:spacing w:line="480" w:lineRule="exact"/>
      <w:jc w:val="center"/>
    </w:pPr>
    <w:rPr>
      <w:szCs w:val="20"/>
    </w:rPr>
  </w:style>
  <w:style w:type="paragraph" w:customStyle="1" w:styleId="95">
    <w:name w:val="font6"/>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96">
    <w:name w:val="xl49"/>
    <w:basedOn w:val="1"/>
    <w:qFormat/>
    <w:uiPriority w:val="0"/>
    <w:pPr>
      <w:widowControl/>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7">
    <w:name w:val="bh"/>
    <w:qFormat/>
    <w:uiPriority w:val="0"/>
    <w:pPr>
      <w:adjustRightInd w:val="0"/>
      <w:snapToGrid w:val="0"/>
    </w:pPr>
    <w:rPr>
      <w:rFonts w:ascii="Times New Roman" w:hAnsi="Times New Roman" w:eastAsia="黑体" w:cs="Times New Roman"/>
      <w:kern w:val="2"/>
      <w:sz w:val="21"/>
      <w:szCs w:val="21"/>
      <w:lang w:val="en-US" w:eastAsia="zh-CN" w:bidi="ar-SA"/>
    </w:rPr>
  </w:style>
  <w:style w:type="paragraph" w:customStyle="1" w:styleId="98">
    <w:name w:val="004"/>
    <w:basedOn w:val="99"/>
    <w:qFormat/>
    <w:uiPriority w:val="0"/>
    <w:pPr>
      <w:spacing w:before="50" w:beforeLines="50"/>
      <w:outlineLvl w:val="2"/>
    </w:pPr>
    <w:rPr>
      <w:sz w:val="24"/>
    </w:rPr>
  </w:style>
  <w:style w:type="paragraph" w:customStyle="1" w:styleId="99">
    <w:name w:val="003"/>
    <w:basedOn w:val="100"/>
    <w:qFormat/>
    <w:uiPriority w:val="0"/>
    <w:pPr>
      <w:spacing w:before="100" w:beforeLines="100" w:after="50" w:afterLines="50"/>
      <w:outlineLvl w:val="1"/>
    </w:pPr>
    <w:rPr>
      <w:sz w:val="28"/>
    </w:rPr>
  </w:style>
  <w:style w:type="paragraph" w:customStyle="1" w:styleId="100">
    <w:name w:val="002"/>
    <w:basedOn w:val="101"/>
    <w:qFormat/>
    <w:uiPriority w:val="0"/>
    <w:pPr>
      <w:keepNext/>
      <w:overflowPunct w:val="0"/>
      <w:adjustRightInd w:val="0"/>
      <w:snapToGrid w:val="0"/>
      <w:spacing w:before="150" w:beforeLines="150" w:after="100" w:afterLines="100" w:line="360" w:lineRule="auto"/>
      <w:ind w:firstLine="0" w:firstLineChars="0"/>
      <w:outlineLvl w:val="0"/>
    </w:pPr>
    <w:rPr>
      <w:rFonts w:eastAsia="黑体"/>
      <w:sz w:val="32"/>
      <w:szCs w:val="22"/>
    </w:rPr>
  </w:style>
  <w:style w:type="paragraph" w:styleId="101">
    <w:name w:val="No Spacing"/>
    <w:qFormat/>
    <w:uiPriority w:val="99"/>
    <w:pPr>
      <w:widowControl w:val="0"/>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02">
    <w:name w:val="样式 标题 1 + 加粗 两端对齐1"/>
    <w:basedOn w:val="5"/>
    <w:qFormat/>
    <w:uiPriority w:val="0"/>
    <w:pPr>
      <w:keepNext w:val="0"/>
      <w:keepLines w:val="0"/>
      <w:pageBreakBefore/>
      <w:spacing w:before="120" w:after="120" w:line="500" w:lineRule="exact"/>
    </w:pPr>
    <w:rPr>
      <w:rFonts w:ascii="黑体"/>
      <w:bCs w:val="0"/>
      <w:color w:val="auto"/>
      <w:sz w:val="24"/>
      <w:szCs w:val="24"/>
    </w:rPr>
  </w:style>
  <w:style w:type="paragraph" w:customStyle="1" w:styleId="103">
    <w:name w:val="font8"/>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104">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105">
    <w:name w:val="Header or footer|1"/>
    <w:basedOn w:val="1"/>
    <w:qFormat/>
    <w:uiPriority w:val="0"/>
    <w:rPr>
      <w:rFonts w:ascii="宋体" w:hAnsi="宋体" w:eastAsia="宋体" w:cs="宋体"/>
      <w:sz w:val="20"/>
      <w:szCs w:val="20"/>
      <w:lang w:val="zh-TW" w:eastAsia="zh-TW" w:bidi="zh-TW"/>
    </w:rPr>
  </w:style>
  <w:style w:type="paragraph" w:customStyle="1" w:styleId="106">
    <w:name w:val="样式2"/>
    <w:basedOn w:val="1"/>
    <w:link w:val="107"/>
    <w:qFormat/>
    <w:uiPriority w:val="0"/>
    <w:pPr>
      <w:spacing w:line="300" w:lineRule="exact"/>
      <w:ind w:left="-120" w:leftChars="-50" w:right="-120" w:rightChars="-50"/>
      <w:jc w:val="center"/>
    </w:pPr>
    <w:rPr>
      <w:bCs/>
      <w:szCs w:val="21"/>
    </w:rPr>
  </w:style>
  <w:style w:type="character" w:customStyle="1" w:styleId="107">
    <w:name w:val="样式2 Char1"/>
    <w:link w:val="106"/>
    <w:qFormat/>
    <w:uiPriority w:val="0"/>
    <w:rPr>
      <w:rFonts w:eastAsia="仿宋_GB2312"/>
      <w:bCs/>
      <w:kern w:val="2"/>
      <w:sz w:val="28"/>
      <w:szCs w:val="21"/>
    </w:rPr>
  </w:style>
  <w:style w:type="paragraph" w:customStyle="1" w:styleId="10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09">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0000FF"/>
      <w:kern w:val="0"/>
      <w:sz w:val="16"/>
      <w:szCs w:val="16"/>
    </w:rPr>
  </w:style>
  <w:style w:type="paragraph" w:customStyle="1" w:styleId="110">
    <w:name w:val="Other|1"/>
    <w:basedOn w:val="1"/>
    <w:qFormat/>
    <w:uiPriority w:val="0"/>
    <w:pPr>
      <w:spacing w:line="473" w:lineRule="auto"/>
      <w:ind w:firstLine="400"/>
    </w:pPr>
    <w:rPr>
      <w:rFonts w:ascii="宋体" w:hAnsi="宋体" w:eastAsia="宋体" w:cs="宋体"/>
      <w:sz w:val="22"/>
      <w:szCs w:val="22"/>
      <w:lang w:val="zh-TW" w:eastAsia="zh-TW" w:bidi="zh-TW"/>
    </w:rPr>
  </w:style>
  <w:style w:type="paragraph" w:customStyle="1" w:styleId="111">
    <w:name w:val="样式6"/>
    <w:basedOn w:val="1"/>
    <w:link w:val="112"/>
    <w:qFormat/>
    <w:uiPriority w:val="0"/>
    <w:pPr>
      <w:ind w:firstLine="420"/>
    </w:pPr>
    <w:rPr>
      <w:sz w:val="21"/>
    </w:rPr>
  </w:style>
  <w:style w:type="character" w:customStyle="1" w:styleId="112">
    <w:name w:val="样式6 Char3"/>
    <w:link w:val="111"/>
    <w:qFormat/>
    <w:uiPriority w:val="0"/>
    <w:rPr>
      <w:rFonts w:eastAsia="仿宋_GB2312"/>
      <w:kern w:val="2"/>
      <w:sz w:val="21"/>
      <w:szCs w:val="24"/>
    </w:rPr>
  </w:style>
  <w:style w:type="paragraph" w:customStyle="1" w:styleId="113">
    <w:name w:val="Body text|1"/>
    <w:basedOn w:val="1"/>
    <w:qFormat/>
    <w:uiPriority w:val="0"/>
    <w:pPr>
      <w:spacing w:line="473" w:lineRule="auto"/>
      <w:ind w:firstLine="400"/>
    </w:pPr>
    <w:rPr>
      <w:rFonts w:ascii="宋体" w:hAnsi="宋体" w:eastAsia="宋体" w:cs="宋体"/>
      <w:sz w:val="22"/>
      <w:szCs w:val="22"/>
      <w:lang w:val="zh-TW" w:eastAsia="zh-TW" w:bidi="zh-TW"/>
    </w:rPr>
  </w:style>
  <w:style w:type="paragraph" w:customStyle="1" w:styleId="11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15">
    <w:name w:val="Header or footer|3"/>
    <w:basedOn w:val="1"/>
    <w:qFormat/>
    <w:uiPriority w:val="0"/>
    <w:rPr>
      <w:sz w:val="20"/>
      <w:szCs w:val="20"/>
      <w:lang w:val="zh-TW" w:eastAsia="zh-TW" w:bidi="zh-TW"/>
    </w:rPr>
  </w:style>
  <w:style w:type="paragraph" w:customStyle="1" w:styleId="116">
    <w:name w:val="样式7"/>
    <w:basedOn w:val="1"/>
    <w:link w:val="117"/>
    <w:qFormat/>
    <w:uiPriority w:val="0"/>
    <w:pPr>
      <w:spacing w:line="300" w:lineRule="exact"/>
      <w:ind w:left="-120" w:leftChars="-50" w:right="-120" w:rightChars="-50"/>
      <w:jc w:val="center"/>
    </w:pPr>
    <w:rPr>
      <w:sz w:val="21"/>
    </w:rPr>
  </w:style>
  <w:style w:type="character" w:customStyle="1" w:styleId="117">
    <w:name w:val="样式7 Char1"/>
    <w:link w:val="116"/>
    <w:qFormat/>
    <w:uiPriority w:val="0"/>
    <w:rPr>
      <w:rFonts w:eastAsia="仿宋_GB2312"/>
      <w:kern w:val="2"/>
      <w:sz w:val="21"/>
      <w:szCs w:val="24"/>
    </w:rPr>
  </w:style>
  <w:style w:type="paragraph" w:customStyle="1" w:styleId="11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color w:val="0000FF"/>
      <w:kern w:val="0"/>
      <w:sz w:val="16"/>
      <w:szCs w:val="16"/>
    </w:rPr>
  </w:style>
  <w:style w:type="paragraph" w:customStyle="1" w:styleId="11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2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1">
    <w:name w:val="表文居中"/>
    <w:basedOn w:val="1"/>
    <w:qFormat/>
    <w:uiPriority w:val="0"/>
    <w:pPr>
      <w:spacing w:line="340" w:lineRule="exact"/>
      <w:jc w:val="center"/>
    </w:pPr>
    <w:rPr>
      <w:rFonts w:eastAsia="楷体_GB2312"/>
      <w:color w:val="0000FF"/>
      <w:sz w:val="18"/>
    </w:rPr>
  </w:style>
  <w:style w:type="paragraph" w:customStyle="1" w:styleId="12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12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24">
    <w:name w:val="xl69"/>
    <w:basedOn w:val="1"/>
    <w:qFormat/>
    <w:uiPriority w:val="0"/>
    <w:pPr>
      <w:widowControl/>
      <w:pBdr>
        <w:bottom w:val="single" w:color="auto" w:sz="4" w:space="0"/>
      </w:pBdr>
      <w:spacing w:before="100" w:beforeAutospacing="1" w:after="100" w:afterAutospacing="1"/>
      <w:jc w:val="left"/>
      <w:textAlignment w:val="center"/>
    </w:pPr>
    <w:rPr>
      <w:rFonts w:ascii="Arial Unicode MS" w:hAnsi="Arial Unicode MS" w:eastAsia="Arial Unicode MS" w:cs="Arial Unicode MS"/>
      <w:b/>
      <w:bCs/>
      <w:kern w:val="0"/>
      <w:szCs w:val="28"/>
    </w:rPr>
  </w:style>
  <w:style w:type="paragraph" w:customStyle="1" w:styleId="125">
    <w:name w:val="表"/>
    <w:basedOn w:val="20"/>
    <w:qFormat/>
    <w:uiPriority w:val="0"/>
    <w:pPr>
      <w:spacing w:line="400" w:lineRule="exact"/>
      <w:ind w:firstLine="0" w:firstLineChars="0"/>
      <w:textAlignment w:val="auto"/>
    </w:pPr>
    <w:rPr>
      <w:rFonts w:ascii="Times New Roman"/>
      <w:sz w:val="21"/>
      <w:szCs w:val="21"/>
    </w:rPr>
  </w:style>
  <w:style w:type="paragraph" w:customStyle="1" w:styleId="126">
    <w:name w:val="font7"/>
    <w:basedOn w:val="1"/>
    <w:qFormat/>
    <w:uiPriority w:val="0"/>
    <w:pPr>
      <w:widowControl/>
      <w:spacing w:before="100" w:beforeAutospacing="1" w:after="100" w:afterAutospacing="1"/>
      <w:jc w:val="left"/>
    </w:pPr>
    <w:rPr>
      <w:rFonts w:eastAsia="Arial Unicode MS"/>
      <w:b/>
      <w:bCs/>
      <w:kern w:val="0"/>
      <w:sz w:val="32"/>
      <w:szCs w:val="32"/>
    </w:rPr>
  </w:style>
  <w:style w:type="paragraph" w:customStyle="1" w:styleId="127">
    <w:name w:val="xl36"/>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2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29">
    <w:name w:val="Body text|2"/>
    <w:basedOn w:val="1"/>
    <w:qFormat/>
    <w:uiPriority w:val="0"/>
    <w:pPr>
      <w:spacing w:line="434" w:lineRule="auto"/>
      <w:ind w:firstLine="450"/>
    </w:pPr>
    <w:rPr>
      <w:lang w:val="zh-TW" w:eastAsia="zh-TW" w:bidi="zh-TW"/>
    </w:rPr>
  </w:style>
  <w:style w:type="paragraph" w:customStyle="1" w:styleId="130">
    <w:name w:val="标4"/>
    <w:basedOn w:val="1"/>
    <w:qFormat/>
    <w:uiPriority w:val="99"/>
    <w:pPr>
      <w:spacing w:before="240" w:after="360" w:line="240" w:lineRule="exact"/>
      <w:outlineLvl w:val="3"/>
    </w:pPr>
    <w:rPr>
      <w:rFonts w:ascii="Arial" w:hAnsi="Arial" w:cs="Arial"/>
      <w:b/>
      <w:bCs/>
      <w:kern w:val="24"/>
    </w:rPr>
  </w:style>
  <w:style w:type="paragraph" w:customStyle="1" w:styleId="131">
    <w:name w:val="xl4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13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16"/>
      <w:szCs w:val="16"/>
    </w:rPr>
  </w:style>
  <w:style w:type="paragraph" w:customStyle="1" w:styleId="134">
    <w:name w:val="样式 样式 首行缩进:  2 字符4 + (中文) 宋体"/>
    <w:basedOn w:val="135"/>
    <w:qFormat/>
    <w:uiPriority w:val="0"/>
    <w:pPr>
      <w:ind w:firstLine="200"/>
    </w:pPr>
    <w:rPr>
      <w:rFonts w:ascii="仿宋_GB2312"/>
    </w:rPr>
  </w:style>
  <w:style w:type="paragraph" w:customStyle="1" w:styleId="135">
    <w:name w:val="样式 首行缩进:  2 字符4"/>
    <w:basedOn w:val="1"/>
    <w:qFormat/>
    <w:uiPriority w:val="0"/>
    <w:pPr>
      <w:ind w:firstLine="560"/>
    </w:pPr>
    <w:rPr>
      <w:rFonts w:cs="宋体"/>
      <w:szCs w:val="20"/>
    </w:rPr>
  </w:style>
  <w:style w:type="paragraph" w:customStyle="1" w:styleId="136">
    <w:name w:val="bm"/>
    <w:qFormat/>
    <w:uiPriority w:val="0"/>
    <w:pPr>
      <w:adjustRightInd w:val="0"/>
      <w:snapToGrid w:val="0"/>
      <w:spacing w:line="360" w:lineRule="auto"/>
      <w:jc w:val="center"/>
    </w:pPr>
    <w:rPr>
      <w:rFonts w:ascii="Times New Roman" w:hAnsi="Times New Roman" w:eastAsia="黑体" w:cs="Times New Roman"/>
      <w:kern w:val="2"/>
      <w:sz w:val="21"/>
      <w:szCs w:val="21"/>
      <w:lang w:val="en-US" w:eastAsia="zh-CN" w:bidi="ar-SA"/>
    </w:rPr>
  </w:style>
  <w:style w:type="paragraph" w:customStyle="1" w:styleId="13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38">
    <w:name w:val="xl47"/>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32"/>
      <w:szCs w:val="32"/>
    </w:rPr>
  </w:style>
  <w:style w:type="paragraph" w:customStyle="1" w:styleId="139">
    <w:name w:val="默认段落字体 Para Char"/>
    <w:basedOn w:val="1"/>
    <w:qFormat/>
    <w:uiPriority w:val="0"/>
    <w:rPr>
      <w:sz w:val="24"/>
    </w:rPr>
  </w:style>
  <w:style w:type="paragraph" w:customStyle="1" w:styleId="140">
    <w:name w:val="xl5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1">
    <w:name w:val="表头"/>
    <w:basedOn w:val="1"/>
    <w:qFormat/>
    <w:uiPriority w:val="0"/>
    <w:pPr>
      <w:spacing w:before="120" w:beforeLines="50" w:after="120" w:afterLines="50" w:line="400" w:lineRule="exact"/>
      <w:jc w:val="center"/>
    </w:pPr>
    <w:rPr>
      <w:rFonts w:ascii="黑体" w:eastAsia="黑体"/>
      <w:b/>
      <w:bCs/>
      <w:kern w:val="0"/>
      <w:sz w:val="24"/>
    </w:rPr>
  </w:style>
  <w:style w:type="paragraph" w:customStyle="1" w:styleId="142">
    <w:name w:val="xl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3">
    <w:name w:val="Table Paragraph"/>
    <w:basedOn w:val="1"/>
    <w:qFormat/>
    <w:uiPriority w:val="1"/>
    <w:pPr>
      <w:autoSpaceDE w:val="0"/>
      <w:autoSpaceDN w:val="0"/>
      <w:spacing w:line="204" w:lineRule="exact"/>
      <w:ind w:left="569"/>
      <w:jc w:val="center"/>
    </w:pPr>
    <w:rPr>
      <w:rFonts w:eastAsia="Times New Roman"/>
      <w:kern w:val="0"/>
      <w:sz w:val="22"/>
      <w:szCs w:val="22"/>
      <w:lang w:eastAsia="en-US"/>
    </w:rPr>
  </w:style>
  <w:style w:type="paragraph" w:customStyle="1" w:styleId="14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45">
    <w:name w:val="xl48"/>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6">
    <w:name w:val="006"/>
    <w:qFormat/>
    <w:uiPriority w:val="0"/>
    <w:pPr>
      <w:widowControl w:val="0"/>
      <w:overflowPunct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47">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6"/>
      <w:szCs w:val="16"/>
    </w:rPr>
  </w:style>
  <w:style w:type="paragraph" w:customStyle="1" w:styleId="14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9">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50">
    <w:name w:val="555"/>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51">
    <w:name w:val="font9"/>
    <w:basedOn w:val="1"/>
    <w:qFormat/>
    <w:uiPriority w:val="0"/>
    <w:pPr>
      <w:widowControl/>
      <w:spacing w:before="100" w:beforeAutospacing="1" w:after="100" w:afterAutospacing="1"/>
      <w:jc w:val="left"/>
    </w:pPr>
    <w:rPr>
      <w:rFonts w:hint="eastAsia" w:ascii="宋体" w:hAnsi="宋体" w:cs="Arial Unicode MS"/>
      <w:b/>
      <w:bCs/>
      <w:kern w:val="0"/>
      <w:sz w:val="32"/>
      <w:szCs w:val="32"/>
    </w:rPr>
  </w:style>
  <w:style w:type="paragraph" w:customStyle="1" w:styleId="15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53">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6"/>
      <w:szCs w:val="16"/>
    </w:rPr>
  </w:style>
  <w:style w:type="paragraph" w:customStyle="1" w:styleId="15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5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56">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157">
    <w:name w:val="bz"/>
    <w:basedOn w:val="97"/>
    <w:qFormat/>
    <w:uiPriority w:val="0"/>
    <w:pPr>
      <w:jc w:val="center"/>
    </w:pPr>
    <w:rPr>
      <w:rFonts w:eastAsia="宋体"/>
      <w:sz w:val="18"/>
    </w:rPr>
  </w:style>
  <w:style w:type="paragraph" w:customStyle="1" w:styleId="15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5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60">
    <w:name w:val="样式4"/>
    <w:link w:val="161"/>
    <w:qFormat/>
    <w:uiPriority w:val="0"/>
    <w:pPr>
      <w:widowControl w:val="0"/>
      <w:ind w:firstLine="480" w:firstLineChars="200"/>
      <w:jc w:val="both"/>
    </w:pPr>
    <w:rPr>
      <w:rFonts w:ascii="Times New Roman" w:hAnsi="Times New Roman" w:eastAsia="宋体" w:cs="Times New Roman"/>
      <w:color w:val="000000"/>
      <w:sz w:val="24"/>
      <w:szCs w:val="24"/>
      <w:lang w:val="en-US" w:eastAsia="zh-CN" w:bidi="ar-SA"/>
    </w:rPr>
  </w:style>
  <w:style w:type="character" w:customStyle="1" w:styleId="161">
    <w:name w:val="样式4 Char Char Char"/>
    <w:link w:val="160"/>
    <w:qFormat/>
    <w:uiPriority w:val="0"/>
    <w:rPr>
      <w:color w:val="000000"/>
      <w:sz w:val="24"/>
      <w:szCs w:val="24"/>
    </w:rPr>
  </w:style>
  <w:style w:type="paragraph" w:customStyle="1" w:styleId="16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63">
    <w:name w:val="表格"/>
    <w:basedOn w:val="1"/>
    <w:next w:val="1"/>
    <w:qFormat/>
    <w:uiPriority w:val="0"/>
    <w:pPr>
      <w:spacing w:line="0" w:lineRule="atLeast"/>
      <w:jc w:val="center"/>
      <w:textAlignment w:val="center"/>
    </w:pPr>
    <w:rPr>
      <w:rFonts w:eastAsia="楷体_GB2312"/>
      <w:bCs/>
      <w:sz w:val="18"/>
      <w:szCs w:val="21"/>
    </w:rPr>
  </w:style>
  <w:style w:type="paragraph" w:customStyle="1" w:styleId="16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6"/>
      <w:szCs w:val="16"/>
    </w:rPr>
  </w:style>
  <w:style w:type="paragraph" w:customStyle="1" w:styleId="165">
    <w:name w:val="font10"/>
    <w:basedOn w:val="1"/>
    <w:qFormat/>
    <w:uiPriority w:val="0"/>
    <w:pPr>
      <w:widowControl/>
      <w:spacing w:before="100" w:beforeAutospacing="1" w:after="100" w:afterAutospacing="1"/>
      <w:jc w:val="left"/>
    </w:pPr>
    <w:rPr>
      <w:rFonts w:eastAsia="Arial Unicode MS"/>
      <w:b/>
      <w:bCs/>
      <w:kern w:val="0"/>
      <w:sz w:val="32"/>
      <w:szCs w:val="32"/>
    </w:rPr>
  </w:style>
  <w:style w:type="paragraph" w:customStyle="1" w:styleId="166">
    <w:name w:val="样式 样式4 + 首行缩进:  2 字符"/>
    <w:basedOn w:val="160"/>
    <w:qFormat/>
    <w:uiPriority w:val="0"/>
    <w:pPr>
      <w:ind w:firstLine="560"/>
    </w:pPr>
    <w:rPr>
      <w:rFonts w:eastAsia="仿宋_GB2312" w:cs="宋体"/>
      <w:sz w:val="28"/>
      <w:szCs w:val="20"/>
    </w:rPr>
  </w:style>
  <w:style w:type="paragraph" w:customStyle="1" w:styleId="16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8"/>
      <w:szCs w:val="18"/>
    </w:rPr>
  </w:style>
  <w:style w:type="paragraph" w:customStyle="1" w:styleId="168">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FF"/>
      <w:kern w:val="0"/>
      <w:sz w:val="16"/>
      <w:szCs w:val="16"/>
    </w:rPr>
  </w:style>
  <w:style w:type="paragraph" w:customStyle="1" w:styleId="17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color w:val="0000FF"/>
      <w:kern w:val="0"/>
      <w:sz w:val="18"/>
      <w:szCs w:val="18"/>
    </w:rPr>
  </w:style>
  <w:style w:type="paragraph" w:customStyle="1" w:styleId="171">
    <w:name w:val="TOC 标题1"/>
    <w:basedOn w:val="3"/>
    <w:next w:val="1"/>
    <w:qFormat/>
    <w:uiPriority w:val="39"/>
    <w:pPr>
      <w:spacing w:before="480" w:line="276" w:lineRule="auto"/>
      <w:jc w:val="left"/>
      <w:outlineLvl w:val="9"/>
    </w:pPr>
    <w:rPr>
      <w:rFonts w:ascii="Cambria" w:hAnsi="Cambria" w:eastAsia="宋体"/>
      <w:color w:val="365F91"/>
      <w:kern w:val="0"/>
      <w:sz w:val="28"/>
      <w:szCs w:val="28"/>
    </w:rPr>
  </w:style>
  <w:style w:type="paragraph" w:customStyle="1" w:styleId="17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7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18"/>
      <w:szCs w:val="18"/>
    </w:rPr>
  </w:style>
  <w:style w:type="paragraph" w:customStyle="1" w:styleId="17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5">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6"/>
      <w:szCs w:val="16"/>
    </w:rPr>
  </w:style>
  <w:style w:type="paragraph" w:customStyle="1" w:styleId="17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FF"/>
      <w:kern w:val="0"/>
      <w:sz w:val="16"/>
      <w:szCs w:val="16"/>
    </w:rPr>
  </w:style>
  <w:style w:type="paragraph" w:customStyle="1" w:styleId="17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7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FF"/>
      <w:kern w:val="0"/>
      <w:sz w:val="16"/>
      <w:szCs w:val="16"/>
    </w:rPr>
  </w:style>
  <w:style w:type="paragraph" w:customStyle="1" w:styleId="179">
    <w:name w:val="样式38"/>
    <w:basedOn w:val="5"/>
    <w:next w:val="5"/>
    <w:qFormat/>
    <w:uiPriority w:val="0"/>
    <w:pPr>
      <w:adjustRightInd w:val="0"/>
      <w:snapToGrid w:val="0"/>
      <w:spacing w:before="240" w:after="240" w:line="240" w:lineRule="auto"/>
      <w:ind w:firstLine="200" w:firstLineChars="200"/>
    </w:pPr>
    <w:rPr>
      <w:rFonts w:eastAsia="宋体"/>
      <w:color w:val="auto"/>
    </w:rPr>
  </w:style>
  <w:style w:type="paragraph" w:customStyle="1" w:styleId="180">
    <w:name w:val="表格文字"/>
    <w:basedOn w:val="1"/>
    <w:qFormat/>
    <w:uiPriority w:val="0"/>
    <w:pPr>
      <w:spacing w:line="240" w:lineRule="exact"/>
      <w:jc w:val="center"/>
    </w:pPr>
    <w:rPr>
      <w:kern w:val="0"/>
      <w:sz w:val="18"/>
      <w:szCs w:val="20"/>
    </w:rPr>
  </w:style>
  <w:style w:type="paragraph" w:customStyle="1" w:styleId="181">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sz w:val="16"/>
      <w:szCs w:val="16"/>
    </w:rPr>
  </w:style>
  <w:style w:type="paragraph" w:customStyle="1" w:styleId="18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character" w:customStyle="1" w:styleId="183">
    <w:name w:val="脚注文本 Char"/>
    <w:semiHidden/>
    <w:qFormat/>
    <w:uiPriority w:val="99"/>
    <w:rPr>
      <w:rFonts w:eastAsia="仿宋_GB2312"/>
      <w:kern w:val="2"/>
      <w:sz w:val="18"/>
      <w:szCs w:val="18"/>
    </w:rPr>
  </w:style>
  <w:style w:type="character" w:customStyle="1" w:styleId="184">
    <w:name w:val="样式4 Char2"/>
    <w:qFormat/>
    <w:uiPriority w:val="0"/>
    <w:rPr>
      <w:rFonts w:eastAsia="宋体"/>
      <w:color w:val="000000"/>
      <w:sz w:val="24"/>
      <w:szCs w:val="24"/>
      <w:lang w:val="en-US" w:eastAsia="zh-CN" w:bidi="ar-SA"/>
    </w:rPr>
  </w:style>
  <w:style w:type="character" w:customStyle="1" w:styleId="185">
    <w:name w:val="样式5 Char2"/>
    <w:qFormat/>
    <w:uiPriority w:val="0"/>
    <w:rPr>
      <w:rFonts w:eastAsia="黑体"/>
      <w:color w:val="000000"/>
      <w:sz w:val="24"/>
      <w:szCs w:val="24"/>
      <w:lang w:val="en-US" w:eastAsia="zh-CN" w:bidi="ar-SA"/>
    </w:rPr>
  </w:style>
  <w:style w:type="character" w:customStyle="1" w:styleId="186">
    <w:name w:val="样式6 Char2"/>
    <w:qFormat/>
    <w:uiPriority w:val="0"/>
    <w:rPr>
      <w:rFonts w:eastAsia="宋体"/>
      <w:color w:val="000000"/>
      <w:sz w:val="21"/>
      <w:szCs w:val="24"/>
      <w:lang w:val="en-US" w:eastAsia="zh-CN" w:bidi="ar-SA"/>
    </w:rPr>
  </w:style>
  <w:style w:type="paragraph" w:customStyle="1" w:styleId="187">
    <w:name w:val="Table caption|1"/>
    <w:basedOn w:val="1"/>
    <w:qFormat/>
    <w:uiPriority w:val="0"/>
    <w:rPr>
      <w:rFonts w:ascii="宋体" w:hAnsi="宋体" w:eastAsia="宋体" w:cs="宋体"/>
      <w:sz w:val="22"/>
      <w:szCs w:val="22"/>
      <w:lang w:val="zh-TW" w:eastAsia="zh-TW" w:bidi="zh-TW"/>
    </w:rPr>
  </w:style>
  <w:style w:type="paragraph" w:customStyle="1" w:styleId="188">
    <w:name w:val="WPSOffice手动目录 1"/>
    <w:qFormat/>
    <w:uiPriority w:val="0"/>
    <w:rPr>
      <w:rFonts w:ascii="Times New Roman" w:hAnsi="Times New Roman" w:eastAsia="宋体" w:cs="Times New Roman"/>
      <w:lang w:val="en-US" w:eastAsia="zh-CN" w:bidi="ar-SA"/>
    </w:rPr>
  </w:style>
  <w:style w:type="paragraph" w:customStyle="1" w:styleId="18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91">
    <w:name w:val="修订2"/>
    <w:hidden/>
    <w:unhideWhenUsed/>
    <w:qFormat/>
    <w:uiPriority w:val="99"/>
    <w:rPr>
      <w:rFonts w:ascii="Times New Roman" w:hAnsi="Times New Roman" w:eastAsia="仿宋_GB2312" w:cs="Times New Roman"/>
      <w:kern w:val="2"/>
      <w:sz w:val="28"/>
      <w:szCs w:val="24"/>
      <w:lang w:val="en-US" w:eastAsia="zh-CN" w:bidi="ar-SA"/>
    </w:rPr>
  </w:style>
  <w:style w:type="character" w:customStyle="1" w:styleId="192">
    <w:name w:val="未处理的提及1"/>
    <w:basedOn w:val="4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F:\Study\&#36890;&#24029;\&#38656;&#27700;&#39044;&#27979;--&#21021;&#27493;&#25104;&#26524;1-&#23457;&#21518;&#20462;&#25913;3-zjy&#25913;(2).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themeOverride" Target="../theme/themeOverride1.xml"/><Relationship Id="rId1" Type="http://schemas.openxmlformats.org/officeDocument/2006/relationships/oleObject" Target="file:///F:\Study\&#36890;&#24029;\&#38656;&#27700;&#39044;&#27979;--&#21021;&#27493;&#25104;&#26524;1-&#23457;&#21518;&#20462;&#25913;3-zjy&#2591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水资源公报!$E$87</c:f>
              <c:strCache>
                <c:ptCount val="1"/>
                <c:pt idx="0">
                  <c:v>通川区供水水源组成</c:v>
                </c:pt>
              </c:strCache>
            </c:strRef>
          </c:tx>
          <c:explosion val="0"/>
          <c:dPt>
            <c:idx val="0"/>
            <c:bubble3D val="0"/>
          </c:dPt>
          <c:dPt>
            <c:idx val="1"/>
            <c:bubble3D val="0"/>
          </c:dPt>
          <c:dPt>
            <c:idx val="2"/>
            <c:bubble3D val="0"/>
          </c:dPt>
          <c:dLbls>
            <c:dLbl>
              <c:idx val="2"/>
              <c:layout>
                <c:manualLayout>
                  <c:x val="-0.0844056943960557"/>
                  <c:y val="0.029982980625675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水资源公报!$F$86:$H$86</c:f>
              <c:strCache>
                <c:ptCount val="3"/>
                <c:pt idx="0">
                  <c:v>地表水源</c:v>
                </c:pt>
                <c:pt idx="1">
                  <c:v>地下水源</c:v>
                </c:pt>
                <c:pt idx="2">
                  <c:v>其他</c:v>
                </c:pt>
              </c:strCache>
            </c:strRef>
          </c:cat>
          <c:val>
            <c:numRef>
              <c:f>水资源公报!$F$87:$H$87</c:f>
              <c:numCache>
                <c:formatCode>0</c:formatCode>
                <c:ptCount val="3"/>
                <c:pt idx="0">
                  <c:v>11699</c:v>
                </c:pt>
                <c:pt idx="1">
                  <c:v>35</c:v>
                </c:pt>
                <c:pt idx="2">
                  <c:v>15</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76990376203"/>
          <c:y val="0.196759259259259"/>
          <c:w val="0.463888888888889"/>
          <c:h val="0.773148148148148"/>
        </c:manualLayout>
      </c:layout>
      <c:pieChart>
        <c:varyColors val="1"/>
        <c:ser>
          <c:idx val="0"/>
          <c:order val="0"/>
          <c:explosion val="0"/>
          <c:dPt>
            <c:idx val="0"/>
            <c:bubble3D val="0"/>
          </c:dPt>
          <c:dPt>
            <c:idx val="1"/>
            <c:bubble3D val="0"/>
          </c:dPt>
          <c:dPt>
            <c:idx val="2"/>
            <c:bubble3D val="0"/>
          </c:dPt>
          <c:dPt>
            <c:idx val="3"/>
            <c:bubble3D val="0"/>
          </c:dPt>
          <c:dPt>
            <c:idx val="4"/>
            <c:bubble3D val="0"/>
          </c:dPt>
          <c:dLbls>
            <c:dLbl>
              <c:idx val="3"/>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水资源公报!$E$91:$E$95</c:f>
              <c:strCache>
                <c:ptCount val="5"/>
                <c:pt idx="0">
                  <c:v>双龙河区</c:v>
                </c:pt>
                <c:pt idx="1">
                  <c:v>魏家河区</c:v>
                </c:pt>
                <c:pt idx="2">
                  <c:v>明月江区</c:v>
                </c:pt>
                <c:pt idx="3">
                  <c:v>长滩河区</c:v>
                </c:pt>
                <c:pt idx="4">
                  <c:v>固家河区</c:v>
                </c:pt>
              </c:strCache>
            </c:strRef>
          </c:cat>
          <c:val>
            <c:numRef>
              <c:f>水资源公报!$F$91:$F$95</c:f>
              <c:numCache>
                <c:formatCode>0</c:formatCode>
                <c:ptCount val="5"/>
                <c:pt idx="0">
                  <c:v>6622.49650961637</c:v>
                </c:pt>
                <c:pt idx="1">
                  <c:v>1045.40151347485</c:v>
                </c:pt>
                <c:pt idx="2">
                  <c:v>576.665092820939</c:v>
                </c:pt>
                <c:pt idx="3">
                  <c:v>3106.6334587105</c:v>
                </c:pt>
                <c:pt idx="4">
                  <c:v>397.803425377344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0.21875</cdr:x>
      <cdr:y>0.0434</cdr:y>
    </cdr:from>
    <cdr:to>
      <cdr:x>0.7</cdr:x>
      <cdr:y>0.16146</cdr:y>
    </cdr:to>
    <cdr:sp>
      <cdr:nvSpPr>
        <cdr:cNvPr id="2" name="矩形 1"/>
        <cdr:cNvSpPr/>
      </cdr:nvSpPr>
      <cdr:spPr xmlns:a="http://schemas.openxmlformats.org/drawingml/2006/main">
        <a:xfrm xmlns:a="http://schemas.openxmlformats.org/drawingml/2006/main">
          <a:off x="1000124" y="119063"/>
          <a:ext cx="2200275" cy="32384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zh-CN" altLang="en-US" sz="1600" b="1"/>
            <a:t>通川区各区供水比例</a:t>
          </a:r>
          <a:endParaRPr lang="zh-CN" altLang="en-US" sz="1600" b="1"/>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D9365B-884E-4ADD-A872-A3A8328E41EE}">
  <ds:schemaRefs/>
</ds:datastoreItem>
</file>

<file path=docProps/app.xml><?xml version="1.0" encoding="utf-8"?>
<Properties xmlns="http://schemas.openxmlformats.org/officeDocument/2006/extended-properties" xmlns:vt="http://schemas.openxmlformats.org/officeDocument/2006/docPropsVTypes">
  <Template>Normal.dotm</Template>
  <Pages>214</Pages>
  <Words>99907</Words>
  <Characters>132160</Characters>
  <Lines>1141</Lines>
  <Paragraphs>321</Paragraphs>
  <TotalTime>19</TotalTime>
  <ScaleCrop>false</ScaleCrop>
  <LinksUpToDate>false</LinksUpToDate>
  <CharactersWithSpaces>134717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2022-06-15T12:01:00Z</dcterms:created>
  <dc:creator>Administrator</dc:creator>
  <cp:lastModifiedBy>迷彩枷身</cp:lastModifiedBy>
  <cp:lastPrinted>2022-10-17T10:29:00Z</cp:lastPrinted>
  <dcterms:modified xsi:type="dcterms:W3CDTF">2022-11-22T04:40:06Z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CDF9A464394A4FE4AD84469BBF4E066C</vt:lpwstr>
  </property>
  <property fmtid="{D5CDD505-2E9C-101B-9397-08002B2CF9AE}" pid="4" name="commondata">
    <vt:lpwstr>eyJoZGlkIjoiMDYzN2E5MWVmMTE2YzI4ODgwNTUxNDQ5NDQwNGMxMmYifQ==</vt:lpwstr>
  </property>
</Properties>
</file>