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rPr>
          <w:sz w:val="36"/>
          <w:szCs w:val="36"/>
        </w:rPr>
      </w:pPr>
    </w:p>
    <w:p>
      <w:pPr>
        <w:rPr>
          <w:sz w:val="36"/>
          <w:szCs w:val="36"/>
        </w:rPr>
      </w:pPr>
    </w:p>
    <w:p>
      <w:pPr>
        <w:rPr>
          <w:sz w:val="36"/>
          <w:szCs w:val="36"/>
        </w:rPr>
      </w:pPr>
    </w:p>
    <w:p>
      <w:pPr>
        <w:rPr>
          <w:sz w:val="36"/>
          <w:szCs w:val="36"/>
        </w:rPr>
      </w:pPr>
    </w:p>
    <w:p>
      <w:pPr>
        <w:adjustRightInd w:val="0"/>
        <w:snapToGrid w:val="0"/>
        <w:jc w:val="center"/>
        <w:outlineLvl w:val="0"/>
        <w:rPr>
          <w:b/>
          <w:sz w:val="72"/>
          <w:szCs w:val="72"/>
        </w:rPr>
      </w:pPr>
      <w:r>
        <w:rPr>
          <w:b/>
          <w:sz w:val="72"/>
          <w:szCs w:val="72"/>
        </w:rPr>
        <w:t>建设项目环境影响报告表</w:t>
      </w:r>
    </w:p>
    <w:p>
      <w:pPr>
        <w:adjustRightInd w:val="0"/>
        <w:snapToGrid w:val="0"/>
        <w:spacing w:before="192" w:beforeLines="80"/>
        <w:jc w:val="center"/>
        <w:rPr>
          <w:b/>
          <w:sz w:val="48"/>
          <w:szCs w:val="48"/>
        </w:rPr>
      </w:pPr>
      <w:r>
        <w:rPr>
          <w:b/>
          <w:sz w:val="48"/>
          <w:szCs w:val="48"/>
        </w:rPr>
        <w:t>（污染影响类</w:t>
      </w:r>
      <w:r>
        <w:rPr>
          <w:rFonts w:hint="eastAsia"/>
          <w:b/>
          <w:sz w:val="48"/>
          <w:szCs w:val="48"/>
        </w:rPr>
        <w:t xml:space="preserve"> </w:t>
      </w:r>
      <w:r>
        <w:rPr>
          <w:rFonts w:hint="eastAsia"/>
          <w:b/>
          <w:sz w:val="48"/>
          <w:szCs w:val="48"/>
          <w:lang w:val="en-US" w:eastAsia="zh-CN"/>
        </w:rPr>
        <w:t>公示</w:t>
      </w:r>
      <w:r>
        <w:rPr>
          <w:rFonts w:hint="eastAsia"/>
          <w:b/>
          <w:sz w:val="48"/>
          <w:szCs w:val="48"/>
        </w:rPr>
        <w:t>本</w:t>
      </w:r>
      <w:r>
        <w:rPr>
          <w:b/>
          <w:sz w:val="48"/>
          <w:szCs w:val="48"/>
        </w:rPr>
        <w:t>）</w:t>
      </w:r>
    </w:p>
    <w:p>
      <w:pPr>
        <w:jc w:val="center"/>
        <w:rPr>
          <w:kern w:val="44"/>
          <w:sz w:val="44"/>
          <w:szCs w:val="44"/>
        </w:rPr>
      </w:pPr>
    </w:p>
    <w:p>
      <w:pPr>
        <w:jc w:val="center"/>
        <w:rPr>
          <w:sz w:val="52"/>
          <w:szCs w:val="52"/>
        </w:rPr>
      </w:pPr>
    </w:p>
    <w:p>
      <w:pPr>
        <w:ind w:firstLine="1040"/>
        <w:rPr>
          <w:sz w:val="44"/>
          <w:szCs w:val="44"/>
        </w:rPr>
      </w:pPr>
    </w:p>
    <w:p>
      <w:pPr>
        <w:ind w:firstLine="1040"/>
        <w:rPr>
          <w:sz w:val="44"/>
          <w:szCs w:val="44"/>
        </w:rPr>
      </w:pPr>
    </w:p>
    <w:p>
      <w:pPr>
        <w:ind w:firstLine="1040"/>
        <w:rPr>
          <w:sz w:val="44"/>
          <w:szCs w:val="44"/>
        </w:rPr>
      </w:pPr>
    </w:p>
    <w:p>
      <w:pPr>
        <w:widowControl/>
        <w:spacing w:line="360" w:lineRule="auto"/>
        <w:rPr>
          <w:b/>
          <w:bCs/>
          <w:sz w:val="36"/>
          <w:szCs w:val="36"/>
          <w:u w:val="single"/>
        </w:rPr>
      </w:pPr>
      <w:r>
        <w:rPr>
          <w:b/>
          <w:bCs/>
          <w:sz w:val="36"/>
          <w:szCs w:val="36"/>
        </w:rPr>
        <w:t>项目名称：</w:t>
      </w:r>
      <w:r>
        <w:rPr>
          <w:b/>
          <w:bCs/>
          <w:sz w:val="36"/>
          <w:szCs w:val="36"/>
          <w:u w:val="single"/>
        </w:rPr>
        <w:t xml:space="preserve">     </w:t>
      </w:r>
      <w:r>
        <w:rPr>
          <w:rFonts w:hint="eastAsia"/>
          <w:b/>
          <w:bCs/>
          <w:sz w:val="36"/>
          <w:szCs w:val="36"/>
          <w:u w:val="single"/>
        </w:rPr>
        <w:t xml:space="preserve">达州市富源润滑油有限责任公司 </w:t>
      </w:r>
      <w:r>
        <w:rPr>
          <w:b/>
          <w:bCs/>
          <w:sz w:val="36"/>
          <w:szCs w:val="36"/>
          <w:u w:val="single"/>
        </w:rPr>
        <w:t xml:space="preserve">   </w:t>
      </w:r>
    </w:p>
    <w:p>
      <w:pPr>
        <w:widowControl/>
        <w:spacing w:line="360" w:lineRule="auto"/>
        <w:ind w:firstLine="1807" w:firstLineChars="500"/>
        <w:rPr>
          <w:b/>
          <w:bCs/>
          <w:sz w:val="36"/>
          <w:szCs w:val="36"/>
          <w:u w:val="single"/>
        </w:rPr>
      </w:pPr>
      <w:r>
        <w:rPr>
          <w:rFonts w:hint="eastAsia"/>
          <w:b/>
          <w:bCs/>
          <w:sz w:val="36"/>
          <w:szCs w:val="36"/>
          <w:u w:val="single"/>
        </w:rPr>
        <w:t xml:space="preserve"> </w:t>
      </w:r>
      <w:r>
        <w:rPr>
          <w:b/>
          <w:bCs/>
          <w:sz w:val="36"/>
          <w:szCs w:val="36"/>
          <w:u w:val="single"/>
        </w:rPr>
        <w:t xml:space="preserve">      </w:t>
      </w:r>
      <w:r>
        <w:rPr>
          <w:rFonts w:hint="eastAsia"/>
          <w:b/>
          <w:bCs/>
          <w:sz w:val="36"/>
          <w:szCs w:val="36"/>
          <w:u w:val="single"/>
        </w:rPr>
        <w:t xml:space="preserve">北外张家坝加油加气站项目 </w:t>
      </w:r>
      <w:r>
        <w:rPr>
          <w:b/>
          <w:bCs/>
          <w:sz w:val="36"/>
          <w:szCs w:val="36"/>
          <w:u w:val="single"/>
        </w:rPr>
        <w:t xml:space="preserve">     </w:t>
      </w:r>
    </w:p>
    <w:p>
      <w:pPr>
        <w:widowControl/>
        <w:spacing w:line="360" w:lineRule="auto"/>
        <w:rPr>
          <w:b/>
          <w:bCs/>
          <w:sz w:val="36"/>
          <w:szCs w:val="36"/>
          <w:u w:val="single"/>
        </w:rPr>
      </w:pPr>
      <w:r>
        <w:rPr>
          <w:b/>
          <w:bCs/>
          <w:sz w:val="36"/>
          <w:szCs w:val="36"/>
        </w:rPr>
        <w:t>建设单位：</w:t>
      </w:r>
      <w:r>
        <w:rPr>
          <w:rFonts w:hint="eastAsia"/>
          <w:b/>
          <w:bCs/>
          <w:sz w:val="36"/>
          <w:szCs w:val="36"/>
          <w:u w:val="single"/>
        </w:rPr>
        <w:t xml:space="preserve"> </w:t>
      </w:r>
      <w:r>
        <w:rPr>
          <w:b/>
          <w:bCs/>
          <w:sz w:val="36"/>
          <w:szCs w:val="36"/>
          <w:u w:val="single"/>
        </w:rPr>
        <w:t xml:space="preserve">    </w:t>
      </w:r>
      <w:r>
        <w:rPr>
          <w:rFonts w:hint="eastAsia"/>
          <w:b/>
          <w:bCs/>
          <w:sz w:val="36"/>
          <w:szCs w:val="36"/>
          <w:u w:val="single"/>
        </w:rPr>
        <w:t xml:space="preserve">达州市富源润滑油有限责任公司 </w:t>
      </w:r>
      <w:r>
        <w:rPr>
          <w:b/>
          <w:bCs/>
          <w:sz w:val="36"/>
          <w:szCs w:val="36"/>
          <w:u w:val="single"/>
        </w:rPr>
        <w:t xml:space="preserve">   </w:t>
      </w:r>
    </w:p>
    <w:p>
      <w:pPr>
        <w:adjustRightInd w:val="0"/>
        <w:snapToGrid w:val="0"/>
        <w:spacing w:line="360" w:lineRule="auto"/>
        <w:jc w:val="left"/>
        <w:rPr>
          <w:b/>
          <w:bCs/>
          <w:sz w:val="36"/>
          <w:szCs w:val="36"/>
          <w:u w:val="single"/>
        </w:rPr>
      </w:pPr>
      <w:r>
        <w:rPr>
          <w:b/>
          <w:bCs/>
          <w:sz w:val="36"/>
          <w:szCs w:val="36"/>
        </w:rPr>
        <w:t xml:space="preserve">编制日期： </w:t>
      </w:r>
      <w:r>
        <w:rPr>
          <w:b/>
          <w:bCs/>
          <w:sz w:val="36"/>
          <w:szCs w:val="36"/>
          <w:u w:val="single"/>
        </w:rPr>
        <w:t xml:space="preserve">            202</w:t>
      </w:r>
      <w:r>
        <w:rPr>
          <w:rFonts w:hint="eastAsia"/>
          <w:b/>
          <w:bCs/>
          <w:sz w:val="36"/>
          <w:szCs w:val="36"/>
          <w:u w:val="single"/>
        </w:rPr>
        <w:t>3</w:t>
      </w:r>
      <w:r>
        <w:rPr>
          <w:b/>
          <w:bCs/>
          <w:sz w:val="36"/>
          <w:szCs w:val="36"/>
          <w:u w:val="single"/>
        </w:rPr>
        <w:t>年</w:t>
      </w:r>
      <w:r>
        <w:rPr>
          <w:rFonts w:hint="eastAsia"/>
          <w:b/>
          <w:bCs/>
          <w:sz w:val="36"/>
          <w:szCs w:val="36"/>
          <w:u w:val="single"/>
        </w:rPr>
        <w:t>8</w:t>
      </w:r>
      <w:r>
        <w:rPr>
          <w:b/>
          <w:bCs/>
          <w:sz w:val="36"/>
          <w:szCs w:val="36"/>
          <w:u w:val="single"/>
        </w:rPr>
        <w:t xml:space="preserve">月            </w:t>
      </w:r>
    </w:p>
    <w:p>
      <w:pPr>
        <w:adjustRightInd w:val="0"/>
        <w:snapToGrid w:val="0"/>
        <w:spacing w:line="288" w:lineRule="auto"/>
        <w:ind w:firstLine="1040"/>
        <w:rPr>
          <w:sz w:val="36"/>
          <w:szCs w:val="36"/>
        </w:rPr>
      </w:pPr>
      <w:bookmarkStart w:id="0" w:name="_Hlk57884087"/>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p>
      <w:pPr>
        <w:adjustRightInd w:val="0"/>
        <w:snapToGrid w:val="0"/>
        <w:spacing w:line="288" w:lineRule="auto"/>
        <w:ind w:firstLine="1040"/>
        <w:rPr>
          <w:sz w:val="36"/>
          <w:szCs w:val="36"/>
        </w:rPr>
      </w:pPr>
    </w:p>
    <w:bookmarkEnd w:id="0"/>
    <w:p>
      <w:pPr>
        <w:adjustRightInd w:val="0"/>
        <w:snapToGrid w:val="0"/>
        <w:spacing w:line="288" w:lineRule="auto"/>
        <w:jc w:val="center"/>
        <w:rPr>
          <w:b/>
          <w:bCs/>
          <w:sz w:val="36"/>
          <w:szCs w:val="36"/>
        </w:rPr>
      </w:pPr>
      <w:r>
        <w:rPr>
          <w:b/>
          <w:bCs/>
          <w:sz w:val="36"/>
          <w:szCs w:val="36"/>
        </w:rPr>
        <w:t>中华人民共和国生态环境部制</w:t>
      </w:r>
    </w:p>
    <w:p>
      <w:pPr>
        <w:adjustRightInd w:val="0"/>
        <w:snapToGrid w:val="0"/>
        <w:spacing w:line="288" w:lineRule="auto"/>
        <w:ind w:firstLine="1040"/>
        <w:rPr>
          <w:sz w:val="36"/>
          <w:szCs w:val="36"/>
        </w:rPr>
        <w:sectPr>
          <w:footerReference r:id="rId3" w:type="default"/>
          <w:footerReference r:id="rId4" w:type="even"/>
          <w:pgSz w:w="11906" w:h="16838"/>
          <w:pgMar w:top="1797" w:right="1440" w:bottom="1797" w:left="1440" w:header="851" w:footer="1077" w:gutter="0"/>
          <w:pgNumType w:start="3"/>
          <w:cols w:space="720" w:num="1"/>
          <w:docGrid w:linePitch="312" w:charSpace="0"/>
        </w:sectPr>
      </w:pPr>
    </w:p>
    <w:p>
      <w:pPr>
        <w:pStyle w:val="65"/>
        <w:numPr>
          <w:ilvl w:val="0"/>
          <w:numId w:val="8"/>
        </w:numPr>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建设项目基本情况</w:t>
      </w:r>
    </w:p>
    <w:tbl>
      <w:tblPr>
        <w:tblStyle w:val="7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6"/>
        <w:gridCol w:w="2409"/>
        <w:gridCol w:w="1617"/>
        <w:gridCol w:w="3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建设项目名称</w:t>
            </w:r>
          </w:p>
        </w:tc>
        <w:tc>
          <w:tcPr>
            <w:tcW w:w="7864" w:type="dxa"/>
            <w:gridSpan w:val="3"/>
            <w:noWrap w:val="0"/>
            <w:vAlign w:val="center"/>
          </w:tcPr>
          <w:p>
            <w:pPr>
              <w:adjustRightInd w:val="0"/>
              <w:snapToGrid w:val="0"/>
              <w:jc w:val="center"/>
              <w:rPr>
                <w:sz w:val="24"/>
              </w:rPr>
            </w:pPr>
            <w:r>
              <w:rPr>
                <w:rFonts w:hint="eastAsia"/>
                <w:sz w:val="24"/>
              </w:rPr>
              <w:t>达州市富源润滑油有限责任公司北外张家坝加油加气站项目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项目代码</w:t>
            </w:r>
          </w:p>
        </w:tc>
        <w:tc>
          <w:tcPr>
            <w:tcW w:w="7864" w:type="dxa"/>
            <w:gridSpan w:val="3"/>
            <w:noWrap w:val="0"/>
            <w:vAlign w:val="center"/>
          </w:tcPr>
          <w:p>
            <w:pPr>
              <w:adjustRightInd w:val="0"/>
              <w:snapToGrid w:val="0"/>
              <w:jc w:val="center"/>
              <w:rPr>
                <w:sz w:val="24"/>
              </w:rPr>
            </w:pPr>
            <w:r>
              <w:rPr>
                <w:rFonts w:hint="eastAsia"/>
                <w:sz w:val="24"/>
              </w:rPr>
              <w:t>2211-511702-04-01-935104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建设单位联系人</w:t>
            </w:r>
          </w:p>
        </w:tc>
        <w:tc>
          <w:tcPr>
            <w:tcW w:w="2409" w:type="dxa"/>
            <w:noWrap w:val="0"/>
            <w:vAlign w:val="center"/>
          </w:tcPr>
          <w:p>
            <w:pPr>
              <w:adjustRightInd w:val="0"/>
              <w:snapToGrid w:val="0"/>
              <w:jc w:val="center"/>
              <w:rPr>
                <w:sz w:val="24"/>
              </w:rPr>
            </w:pPr>
            <w:r>
              <w:rPr>
                <w:rFonts w:hint="eastAsia"/>
                <w:sz w:val="24"/>
              </w:rPr>
              <w:t>田浩</w:t>
            </w:r>
          </w:p>
        </w:tc>
        <w:tc>
          <w:tcPr>
            <w:tcW w:w="1617" w:type="dxa"/>
            <w:noWrap w:val="0"/>
            <w:vAlign w:val="center"/>
          </w:tcPr>
          <w:p>
            <w:pPr>
              <w:adjustRightInd w:val="0"/>
              <w:snapToGrid w:val="0"/>
              <w:jc w:val="center"/>
              <w:rPr>
                <w:b/>
                <w:bCs/>
                <w:sz w:val="24"/>
              </w:rPr>
            </w:pPr>
            <w:r>
              <w:rPr>
                <w:b/>
                <w:bCs/>
                <w:sz w:val="24"/>
              </w:rPr>
              <w:t>联系方式</w:t>
            </w:r>
          </w:p>
        </w:tc>
        <w:tc>
          <w:tcPr>
            <w:tcW w:w="3838" w:type="dxa"/>
            <w:noWrap w:val="0"/>
            <w:vAlign w:val="center"/>
          </w:tcPr>
          <w:p>
            <w:pPr>
              <w:adjustRightInd w:val="0"/>
              <w:snapToGrid w:val="0"/>
              <w:jc w:val="center"/>
              <w:rPr>
                <w:sz w:val="24"/>
              </w:rPr>
            </w:pPr>
            <w:r>
              <w:rPr>
                <w:rFonts w:hint="eastAsia"/>
                <w:sz w:val="24"/>
              </w:rPr>
              <w:t>17711252603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建设地点</w:t>
            </w:r>
          </w:p>
        </w:tc>
        <w:tc>
          <w:tcPr>
            <w:tcW w:w="7864" w:type="dxa"/>
            <w:gridSpan w:val="3"/>
            <w:noWrap w:val="0"/>
            <w:vAlign w:val="center"/>
          </w:tcPr>
          <w:p>
            <w:pPr>
              <w:adjustRightInd w:val="0"/>
              <w:snapToGrid w:val="0"/>
              <w:jc w:val="center"/>
              <w:rPr>
                <w:sz w:val="24"/>
              </w:rPr>
            </w:pPr>
            <w:r>
              <w:rPr>
                <w:sz w:val="24"/>
                <w:u w:val="single"/>
              </w:rPr>
              <w:t xml:space="preserve"> 四川 </w:t>
            </w:r>
            <w:r>
              <w:rPr>
                <w:sz w:val="24"/>
              </w:rPr>
              <w:t>省（自治区）</w:t>
            </w:r>
            <w:r>
              <w:rPr>
                <w:sz w:val="24"/>
                <w:u w:val="single"/>
              </w:rPr>
              <w:t xml:space="preserve"> </w:t>
            </w:r>
            <w:r>
              <w:rPr>
                <w:rFonts w:hint="eastAsia"/>
                <w:sz w:val="24"/>
                <w:u w:val="single"/>
              </w:rPr>
              <w:t>达州</w:t>
            </w:r>
            <w:r>
              <w:rPr>
                <w:sz w:val="24"/>
                <w:u w:val="single"/>
              </w:rPr>
              <w:t xml:space="preserve"> </w:t>
            </w:r>
            <w:r>
              <w:rPr>
                <w:sz w:val="24"/>
              </w:rPr>
              <w:t>市（州）</w:t>
            </w:r>
            <w:r>
              <w:rPr>
                <w:sz w:val="24"/>
                <w:u w:val="single"/>
              </w:rPr>
              <w:t xml:space="preserve"> </w:t>
            </w:r>
            <w:r>
              <w:rPr>
                <w:rFonts w:hint="eastAsia"/>
                <w:sz w:val="24"/>
                <w:u w:val="single"/>
              </w:rPr>
              <w:t>通川</w:t>
            </w:r>
            <w:r>
              <w:rPr>
                <w:sz w:val="24"/>
                <w:u w:val="single"/>
              </w:rPr>
              <w:t xml:space="preserve"> </w:t>
            </w:r>
            <w:r>
              <w:rPr>
                <w:sz w:val="24"/>
              </w:rPr>
              <w:t>县（区）</w:t>
            </w:r>
            <w:r>
              <w:rPr>
                <w:sz w:val="24"/>
                <w:u w:val="single"/>
              </w:rPr>
              <w:t xml:space="preserve">  </w:t>
            </w:r>
            <w:r>
              <w:rPr>
                <w:rFonts w:hint="eastAsia"/>
                <w:sz w:val="24"/>
                <w:u w:val="single"/>
              </w:rPr>
              <w:t>北外</w:t>
            </w:r>
            <w:r>
              <w:rPr>
                <w:sz w:val="24"/>
                <w:u w:val="single"/>
              </w:rPr>
              <w:t xml:space="preserve"> </w:t>
            </w:r>
            <w:r>
              <w:rPr>
                <w:sz w:val="24"/>
              </w:rPr>
              <w:t>乡（镇、街道）</w:t>
            </w:r>
            <w:r>
              <w:rPr>
                <w:rFonts w:hint="eastAsia"/>
                <w:sz w:val="24"/>
                <w:u w:val="single"/>
              </w:rPr>
              <w:t>张家坝</w:t>
            </w:r>
            <w:r>
              <w:rPr>
                <w:sz w:val="24"/>
                <w:u w:val="single"/>
              </w:rPr>
              <w:t xml:space="preserve">  </w:t>
            </w:r>
            <w:r>
              <w:rPr>
                <w:sz w:val="24"/>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地理坐标</w:t>
            </w:r>
          </w:p>
        </w:tc>
        <w:tc>
          <w:tcPr>
            <w:tcW w:w="7864" w:type="dxa"/>
            <w:gridSpan w:val="3"/>
            <w:noWrap w:val="0"/>
            <w:vAlign w:val="center"/>
          </w:tcPr>
          <w:p>
            <w:pPr>
              <w:jc w:val="center"/>
              <w:rPr>
                <w:rFonts w:hint="eastAsia"/>
              </w:rPr>
            </w:pPr>
            <w:r>
              <w:rPr>
                <w:sz w:val="24"/>
                <w:u w:val="single"/>
              </w:rPr>
              <w:t xml:space="preserve">  10</w:t>
            </w:r>
            <w:r>
              <w:rPr>
                <w:rFonts w:hint="eastAsia"/>
                <w:sz w:val="24"/>
                <w:u w:val="single"/>
              </w:rPr>
              <w:t>7</w:t>
            </w:r>
            <w:r>
              <w:rPr>
                <w:sz w:val="24"/>
                <w:u w:val="single"/>
              </w:rPr>
              <w:t xml:space="preserve"> </w:t>
            </w:r>
            <w:r>
              <w:rPr>
                <w:sz w:val="24"/>
              </w:rPr>
              <w:t>度</w:t>
            </w:r>
            <w:r>
              <w:rPr>
                <w:sz w:val="24"/>
                <w:u w:val="single"/>
              </w:rPr>
              <w:t xml:space="preserve">  </w:t>
            </w:r>
            <w:r>
              <w:rPr>
                <w:rFonts w:hint="eastAsia"/>
                <w:sz w:val="24"/>
                <w:u w:val="single"/>
              </w:rPr>
              <w:t>31</w:t>
            </w:r>
            <w:r>
              <w:rPr>
                <w:sz w:val="24"/>
                <w:u w:val="single"/>
              </w:rPr>
              <w:t xml:space="preserve"> </w:t>
            </w:r>
            <w:r>
              <w:rPr>
                <w:sz w:val="24"/>
              </w:rPr>
              <w:t>分</w:t>
            </w:r>
            <w:r>
              <w:rPr>
                <w:sz w:val="24"/>
                <w:u w:val="single"/>
              </w:rPr>
              <w:t xml:space="preserve"> </w:t>
            </w:r>
            <w:r>
              <w:rPr>
                <w:rFonts w:hint="eastAsia"/>
                <w:sz w:val="24"/>
                <w:u w:val="single"/>
              </w:rPr>
              <w:t>34.452</w:t>
            </w:r>
            <w:r>
              <w:rPr>
                <w:sz w:val="24"/>
                <w:u w:val="single"/>
              </w:rPr>
              <w:t xml:space="preserve"> </w:t>
            </w:r>
            <w:r>
              <w:rPr>
                <w:sz w:val="24"/>
              </w:rPr>
              <w:t>秒，</w:t>
            </w:r>
            <w:r>
              <w:rPr>
                <w:sz w:val="24"/>
                <w:u w:val="single"/>
              </w:rPr>
              <w:t xml:space="preserve"> 31 </w:t>
            </w:r>
            <w:r>
              <w:rPr>
                <w:sz w:val="24"/>
              </w:rPr>
              <w:t>度</w:t>
            </w:r>
            <w:r>
              <w:rPr>
                <w:sz w:val="24"/>
                <w:u w:val="single"/>
              </w:rPr>
              <w:t xml:space="preserve"> </w:t>
            </w:r>
            <w:r>
              <w:rPr>
                <w:rFonts w:hint="eastAsia"/>
                <w:sz w:val="24"/>
                <w:u w:val="single"/>
              </w:rPr>
              <w:t>14</w:t>
            </w:r>
            <w:r>
              <w:rPr>
                <w:sz w:val="24"/>
                <w:u w:val="single"/>
              </w:rPr>
              <w:t xml:space="preserve"> </w:t>
            </w:r>
            <w:r>
              <w:rPr>
                <w:sz w:val="24"/>
              </w:rPr>
              <w:t>分</w:t>
            </w:r>
            <w:r>
              <w:rPr>
                <w:sz w:val="24"/>
                <w:u w:val="single"/>
              </w:rPr>
              <w:t xml:space="preserve"> </w:t>
            </w:r>
            <w:r>
              <w:rPr>
                <w:rFonts w:hint="eastAsia"/>
                <w:sz w:val="24"/>
                <w:u w:val="single"/>
              </w:rPr>
              <w:t>13.117</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国民经济</w:t>
            </w:r>
          </w:p>
          <w:p>
            <w:pPr>
              <w:adjustRightInd w:val="0"/>
              <w:snapToGrid w:val="0"/>
              <w:jc w:val="center"/>
              <w:rPr>
                <w:b/>
                <w:bCs/>
                <w:sz w:val="24"/>
              </w:rPr>
            </w:pPr>
            <w:r>
              <w:rPr>
                <w:b/>
                <w:bCs/>
                <w:sz w:val="24"/>
              </w:rPr>
              <w:t>行业类别</w:t>
            </w:r>
          </w:p>
        </w:tc>
        <w:tc>
          <w:tcPr>
            <w:tcW w:w="2409" w:type="dxa"/>
            <w:noWrap w:val="0"/>
            <w:vAlign w:val="center"/>
          </w:tcPr>
          <w:p>
            <w:pPr>
              <w:adjustRightInd w:val="0"/>
              <w:snapToGrid w:val="0"/>
              <w:jc w:val="left"/>
              <w:rPr>
                <w:sz w:val="24"/>
              </w:rPr>
            </w:pPr>
            <w:r>
              <w:rPr>
                <w:sz w:val="24"/>
              </w:rPr>
              <w:t>F5265机动车燃油零售</w:t>
            </w:r>
          </w:p>
          <w:p>
            <w:pPr>
              <w:adjustRightInd w:val="0"/>
              <w:snapToGrid w:val="0"/>
              <w:jc w:val="left"/>
              <w:rPr>
                <w:sz w:val="24"/>
              </w:rPr>
            </w:pPr>
            <w:r>
              <w:rPr>
                <w:sz w:val="24"/>
              </w:rPr>
              <w:t>F5266机动车燃气零售</w:t>
            </w:r>
          </w:p>
        </w:tc>
        <w:tc>
          <w:tcPr>
            <w:tcW w:w="1617" w:type="dxa"/>
            <w:noWrap w:val="0"/>
            <w:vAlign w:val="center"/>
          </w:tcPr>
          <w:p>
            <w:pPr>
              <w:adjustRightInd w:val="0"/>
              <w:snapToGrid w:val="0"/>
              <w:jc w:val="center"/>
              <w:rPr>
                <w:b/>
                <w:bCs/>
                <w:sz w:val="24"/>
              </w:rPr>
            </w:pPr>
            <w:bookmarkStart w:id="1" w:name="_Hlk49843745"/>
            <w:r>
              <w:rPr>
                <w:b/>
                <w:bCs/>
                <w:sz w:val="24"/>
              </w:rPr>
              <w:t>建设项目</w:t>
            </w:r>
          </w:p>
          <w:p>
            <w:pPr>
              <w:adjustRightInd w:val="0"/>
              <w:snapToGrid w:val="0"/>
              <w:jc w:val="center"/>
              <w:rPr>
                <w:b/>
                <w:bCs/>
                <w:sz w:val="24"/>
              </w:rPr>
            </w:pPr>
            <w:r>
              <w:rPr>
                <w:b/>
                <w:bCs/>
                <w:sz w:val="24"/>
              </w:rPr>
              <w:t>行业类别</w:t>
            </w:r>
            <w:bookmarkEnd w:id="1"/>
          </w:p>
        </w:tc>
        <w:tc>
          <w:tcPr>
            <w:tcW w:w="3838" w:type="dxa"/>
            <w:noWrap w:val="0"/>
            <w:vAlign w:val="center"/>
          </w:tcPr>
          <w:p>
            <w:pPr>
              <w:adjustRightInd w:val="0"/>
              <w:snapToGrid w:val="0"/>
              <w:jc w:val="center"/>
              <w:rPr>
                <w:sz w:val="24"/>
              </w:rPr>
            </w:pPr>
            <w:r>
              <w:rPr>
                <w:rFonts w:ascii="宋体" w:hAnsi="宋体" w:cs="宋体"/>
                <w:spacing w:val="12"/>
                <w:sz w:val="23"/>
                <w:szCs w:val="23"/>
              </w:rPr>
              <w:t>五</w:t>
            </w:r>
            <w:r>
              <w:rPr>
                <w:rFonts w:ascii="宋体" w:hAnsi="宋体" w:cs="宋体"/>
                <w:spacing w:val="8"/>
                <w:sz w:val="23"/>
                <w:szCs w:val="23"/>
              </w:rPr>
              <w:t>十</w:t>
            </w:r>
            <w:r>
              <w:rPr>
                <w:rFonts w:ascii="宋体" w:hAnsi="宋体" w:cs="宋体"/>
                <w:spacing w:val="6"/>
                <w:sz w:val="23"/>
                <w:szCs w:val="23"/>
              </w:rPr>
              <w:t>、社会事业与服务业-119 加</w:t>
            </w:r>
            <w:r>
              <w:rPr>
                <w:rFonts w:ascii="宋体" w:hAnsi="宋体" w:cs="宋体"/>
                <w:sz w:val="23"/>
                <w:szCs w:val="23"/>
              </w:rPr>
              <w:t xml:space="preserve"> </w:t>
            </w:r>
            <w:r>
              <w:rPr>
                <w:rFonts w:ascii="宋体" w:hAnsi="宋体" w:cs="宋体"/>
                <w:spacing w:val="13"/>
                <w:sz w:val="23"/>
                <w:szCs w:val="23"/>
              </w:rPr>
              <w:t>油</w:t>
            </w:r>
            <w:r>
              <w:rPr>
                <w:rFonts w:ascii="宋体" w:hAnsi="宋体" w:cs="宋体"/>
                <w:spacing w:val="7"/>
                <w:sz w:val="23"/>
                <w:szCs w:val="23"/>
              </w:rPr>
              <w:t>、加气站-城市建成区新建、扩</w:t>
            </w:r>
            <w:r>
              <w:rPr>
                <w:rFonts w:ascii="宋体" w:hAnsi="宋体" w:cs="宋体"/>
                <w:spacing w:val="9"/>
                <w:sz w:val="23"/>
                <w:szCs w:val="23"/>
              </w:rPr>
              <w:t>建加油站；涉及环境敏感区的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建设性质</w:t>
            </w:r>
          </w:p>
        </w:tc>
        <w:tc>
          <w:tcPr>
            <w:tcW w:w="2409" w:type="dxa"/>
            <w:noWrap w:val="0"/>
            <w:vAlign w:val="center"/>
          </w:tcPr>
          <w:p>
            <w:pPr>
              <w:jc w:val="left"/>
              <w:rPr>
                <w:sz w:val="24"/>
              </w:rPr>
            </w:pPr>
            <w:r>
              <w:rPr>
                <w:sz w:val="24"/>
              </w:rPr>
              <w:sym w:font="Wingdings" w:char="00FE"/>
            </w:r>
            <w:r>
              <w:rPr>
                <w:sz w:val="24"/>
              </w:rPr>
              <w:t>新建（迁建）</w:t>
            </w:r>
          </w:p>
          <w:p>
            <w:pPr>
              <w:jc w:val="left"/>
              <w:rPr>
                <w:sz w:val="24"/>
              </w:rPr>
            </w:pPr>
            <w:r>
              <w:rPr>
                <w:sz w:val="24"/>
              </w:rPr>
              <w:sym w:font="Wingdings" w:char="00A8"/>
            </w:r>
            <w:r>
              <w:rPr>
                <w:sz w:val="24"/>
              </w:rPr>
              <w:t>改建</w:t>
            </w:r>
          </w:p>
          <w:p>
            <w:pPr>
              <w:jc w:val="left"/>
              <w:rPr>
                <w:sz w:val="24"/>
              </w:rPr>
            </w:pPr>
            <w:r>
              <w:rPr>
                <w:sz w:val="24"/>
              </w:rPr>
              <w:sym w:font="Wingdings" w:char="00A8"/>
            </w:r>
            <w:r>
              <w:rPr>
                <w:sz w:val="24"/>
              </w:rPr>
              <w:t>扩建</w:t>
            </w:r>
          </w:p>
          <w:p>
            <w:pPr>
              <w:jc w:val="left"/>
              <w:rPr>
                <w:sz w:val="24"/>
              </w:rPr>
            </w:pPr>
            <w:r>
              <w:rPr>
                <w:sz w:val="24"/>
              </w:rPr>
              <w:sym w:font="Wingdings" w:char="00A8"/>
            </w:r>
            <w:r>
              <w:rPr>
                <w:sz w:val="24"/>
              </w:rPr>
              <w:t>技术改造</w:t>
            </w:r>
          </w:p>
        </w:tc>
        <w:tc>
          <w:tcPr>
            <w:tcW w:w="1617" w:type="dxa"/>
            <w:noWrap w:val="0"/>
            <w:vAlign w:val="center"/>
          </w:tcPr>
          <w:p>
            <w:pPr>
              <w:adjustRightInd w:val="0"/>
              <w:snapToGrid w:val="0"/>
              <w:jc w:val="center"/>
              <w:rPr>
                <w:b/>
                <w:bCs/>
                <w:sz w:val="24"/>
              </w:rPr>
            </w:pPr>
            <w:r>
              <w:rPr>
                <w:b/>
                <w:bCs/>
                <w:sz w:val="24"/>
              </w:rPr>
              <w:t>建设项目</w:t>
            </w:r>
          </w:p>
          <w:p>
            <w:pPr>
              <w:adjustRightInd w:val="0"/>
              <w:snapToGrid w:val="0"/>
              <w:jc w:val="center"/>
              <w:rPr>
                <w:b/>
                <w:bCs/>
                <w:sz w:val="24"/>
              </w:rPr>
            </w:pPr>
            <w:r>
              <w:rPr>
                <w:b/>
                <w:bCs/>
                <w:sz w:val="24"/>
              </w:rPr>
              <w:t>申报情形</w:t>
            </w:r>
          </w:p>
        </w:tc>
        <w:tc>
          <w:tcPr>
            <w:tcW w:w="3838" w:type="dxa"/>
            <w:noWrap w:val="0"/>
            <w:vAlign w:val="center"/>
          </w:tcPr>
          <w:p>
            <w:pPr>
              <w:jc w:val="left"/>
              <w:rPr>
                <w:sz w:val="24"/>
              </w:rPr>
            </w:pPr>
            <w:r>
              <w:rPr>
                <w:sz w:val="24"/>
              </w:rPr>
              <w:t xml:space="preserve">■首次申报项目             </w:t>
            </w:r>
          </w:p>
          <w:p>
            <w:pPr>
              <w:jc w:val="left"/>
              <w:rPr>
                <w:sz w:val="24"/>
              </w:rPr>
            </w:pPr>
            <w:r>
              <w:rPr>
                <w:sz w:val="24"/>
              </w:rPr>
              <w:sym w:font="Wingdings 2" w:char="00A3"/>
            </w:r>
            <w:r>
              <w:rPr>
                <w:sz w:val="24"/>
              </w:rPr>
              <w:t>不予批准后再次申报项目</w:t>
            </w:r>
          </w:p>
          <w:p>
            <w:pPr>
              <w:jc w:val="left"/>
              <w:rPr>
                <w:sz w:val="24"/>
              </w:rPr>
            </w:pPr>
            <w:r>
              <w:rPr>
                <w:sz w:val="24"/>
              </w:rPr>
              <w:sym w:font="Wingdings 2" w:char="00A3"/>
            </w:r>
            <w:r>
              <w:rPr>
                <w:sz w:val="24"/>
              </w:rPr>
              <w:t xml:space="preserve">超五年重新审核项目     </w:t>
            </w:r>
          </w:p>
          <w:p>
            <w:pPr>
              <w:jc w:val="left"/>
              <w:rPr>
                <w:sz w:val="24"/>
              </w:rPr>
            </w:pPr>
            <w:r>
              <w:rPr>
                <w:sz w:val="24"/>
              </w:rPr>
              <w:sym w:font="Wingdings 2" w:char="00A3"/>
            </w:r>
            <w:r>
              <w:rPr>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项目审批（核准</w:t>
            </w:r>
            <w:r>
              <w:rPr>
                <w:rFonts w:hint="eastAsia"/>
                <w:b/>
                <w:bCs/>
                <w:sz w:val="24"/>
                <w:lang w:val="en-US" w:eastAsia="zh-CN"/>
              </w:rPr>
              <w:t>和</w:t>
            </w:r>
            <w:r>
              <w:rPr>
                <w:b/>
                <w:bCs/>
                <w:sz w:val="24"/>
              </w:rPr>
              <w:t>备案）部门（选填）</w:t>
            </w:r>
          </w:p>
        </w:tc>
        <w:tc>
          <w:tcPr>
            <w:tcW w:w="2409" w:type="dxa"/>
            <w:noWrap w:val="0"/>
            <w:vAlign w:val="center"/>
          </w:tcPr>
          <w:p>
            <w:pPr>
              <w:jc w:val="center"/>
              <w:rPr>
                <w:sz w:val="24"/>
              </w:rPr>
            </w:pPr>
            <w:r>
              <w:rPr>
                <w:rFonts w:hint="eastAsia"/>
                <w:sz w:val="24"/>
              </w:rPr>
              <w:t>通川区</w:t>
            </w:r>
            <w:r>
              <w:rPr>
                <w:sz w:val="24"/>
              </w:rPr>
              <w:t>发展和改革局</w:t>
            </w:r>
          </w:p>
        </w:tc>
        <w:tc>
          <w:tcPr>
            <w:tcW w:w="1617" w:type="dxa"/>
            <w:noWrap w:val="0"/>
            <w:vAlign w:val="center"/>
          </w:tcPr>
          <w:p>
            <w:pPr>
              <w:adjustRightInd w:val="0"/>
              <w:snapToGrid w:val="0"/>
              <w:jc w:val="center"/>
              <w:rPr>
                <w:rFonts w:hint="eastAsia" w:eastAsia="宋体"/>
                <w:b/>
                <w:bCs/>
                <w:sz w:val="24"/>
                <w:lang w:val="en-US" w:eastAsia="zh-CN"/>
              </w:rPr>
            </w:pPr>
            <w:r>
              <w:rPr>
                <w:b/>
                <w:bCs/>
                <w:sz w:val="24"/>
              </w:rPr>
              <w:t>项目审批（核准</w:t>
            </w:r>
            <w:r>
              <w:rPr>
                <w:rFonts w:hint="eastAsia"/>
                <w:b/>
                <w:bCs/>
                <w:sz w:val="24"/>
                <w:lang w:val="en-US" w:eastAsia="zh-CN"/>
              </w:rPr>
              <w:t>和</w:t>
            </w:r>
          </w:p>
          <w:p>
            <w:pPr>
              <w:adjustRightInd w:val="0"/>
              <w:snapToGrid w:val="0"/>
              <w:jc w:val="center"/>
              <w:rPr>
                <w:b/>
                <w:bCs/>
                <w:sz w:val="24"/>
              </w:rPr>
            </w:pPr>
            <w:r>
              <w:rPr>
                <w:b/>
                <w:bCs/>
                <w:sz w:val="24"/>
              </w:rPr>
              <w:t>备案）文号（选填）</w:t>
            </w:r>
          </w:p>
        </w:tc>
        <w:tc>
          <w:tcPr>
            <w:tcW w:w="3838" w:type="dxa"/>
            <w:noWrap w:val="0"/>
            <w:vAlign w:val="center"/>
          </w:tcPr>
          <w:p>
            <w:pPr>
              <w:adjustRightInd w:val="0"/>
              <w:snapToGrid w:val="0"/>
              <w:jc w:val="center"/>
              <w:rPr>
                <w:sz w:val="24"/>
              </w:rPr>
            </w:pPr>
            <w:r>
              <w:rPr>
                <w:rFonts w:hint="eastAsia"/>
                <w:sz w:val="24"/>
              </w:rPr>
              <w:t>川投资备</w:t>
            </w:r>
            <w:r>
              <w:rPr>
                <w:sz w:val="24"/>
              </w:rPr>
              <w:t>〔</w:t>
            </w:r>
            <w:r>
              <w:rPr>
                <w:rFonts w:hint="eastAsia"/>
                <w:sz w:val="24"/>
              </w:rPr>
              <w:t>2211-511702-04-01-935104</w:t>
            </w:r>
            <w:r>
              <w:rPr>
                <w:sz w:val="24"/>
              </w:rPr>
              <w:t>〕</w:t>
            </w:r>
            <w:r>
              <w:rPr>
                <w:rFonts w:hint="eastAsia"/>
                <w:sz w:val="24"/>
              </w:rPr>
              <w:t>FGQB</w:t>
            </w:r>
            <w:r>
              <w:rPr>
                <w:sz w:val="24"/>
              </w:rPr>
              <w:t>-0132</w:t>
            </w:r>
            <w:r>
              <w:rPr>
                <w:rFonts w:hint="eastAsia"/>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总投资（万元）</w:t>
            </w:r>
          </w:p>
        </w:tc>
        <w:tc>
          <w:tcPr>
            <w:tcW w:w="2409" w:type="dxa"/>
            <w:noWrap w:val="0"/>
            <w:vAlign w:val="center"/>
          </w:tcPr>
          <w:p>
            <w:pPr>
              <w:adjustRightInd w:val="0"/>
              <w:snapToGrid w:val="0"/>
              <w:jc w:val="center"/>
              <w:rPr>
                <w:sz w:val="24"/>
              </w:rPr>
            </w:pPr>
            <w:r>
              <w:rPr>
                <w:rFonts w:hint="eastAsia"/>
                <w:sz w:val="24"/>
              </w:rPr>
              <w:t>4000</w:t>
            </w:r>
          </w:p>
        </w:tc>
        <w:tc>
          <w:tcPr>
            <w:tcW w:w="1617" w:type="dxa"/>
            <w:noWrap w:val="0"/>
            <w:tcMar>
              <w:top w:w="16" w:type="dxa"/>
              <w:left w:w="16" w:type="dxa"/>
              <w:right w:w="16" w:type="dxa"/>
            </w:tcMar>
            <w:vAlign w:val="center"/>
          </w:tcPr>
          <w:p>
            <w:pPr>
              <w:adjustRightInd w:val="0"/>
              <w:snapToGrid w:val="0"/>
              <w:jc w:val="center"/>
              <w:rPr>
                <w:b/>
                <w:bCs/>
                <w:sz w:val="24"/>
              </w:rPr>
            </w:pPr>
            <w:r>
              <w:rPr>
                <w:b/>
                <w:bCs/>
                <w:sz w:val="24"/>
              </w:rPr>
              <w:t>环保投资（万元）</w:t>
            </w:r>
          </w:p>
        </w:tc>
        <w:tc>
          <w:tcPr>
            <w:tcW w:w="3838" w:type="dxa"/>
            <w:noWrap w:val="0"/>
            <w:vAlign w:val="center"/>
          </w:tcPr>
          <w:p>
            <w:pPr>
              <w:adjustRightInd w:val="0"/>
              <w:snapToGrid w:val="0"/>
              <w:jc w:val="center"/>
              <w:rPr>
                <w:sz w:val="24"/>
              </w:rPr>
            </w:pPr>
            <w:r>
              <w:rPr>
                <w:rFonts w:hint="eastAsia"/>
                <w:snapToGrid w:val="0"/>
                <w:kern w:val="0"/>
                <w:sz w:val="24"/>
              </w:rPr>
              <w:t>80.2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环保投资占比（%）</w:t>
            </w:r>
          </w:p>
        </w:tc>
        <w:tc>
          <w:tcPr>
            <w:tcW w:w="2409" w:type="dxa"/>
            <w:noWrap w:val="0"/>
            <w:vAlign w:val="center"/>
          </w:tcPr>
          <w:p>
            <w:pPr>
              <w:adjustRightInd w:val="0"/>
              <w:snapToGrid w:val="0"/>
              <w:jc w:val="center"/>
              <w:rPr>
                <w:sz w:val="24"/>
              </w:rPr>
            </w:pPr>
            <w:r>
              <w:rPr>
                <w:rFonts w:hint="eastAsia"/>
                <w:sz w:val="24"/>
              </w:rPr>
              <w:t>2.00</w:t>
            </w:r>
            <w:r>
              <w:rPr>
                <w:sz w:val="24"/>
              </w:rPr>
              <w:t>%</w:t>
            </w:r>
          </w:p>
        </w:tc>
        <w:tc>
          <w:tcPr>
            <w:tcW w:w="1617" w:type="dxa"/>
            <w:noWrap w:val="0"/>
            <w:tcMar>
              <w:top w:w="16" w:type="dxa"/>
              <w:left w:w="16" w:type="dxa"/>
              <w:right w:w="16" w:type="dxa"/>
            </w:tcMar>
            <w:vAlign w:val="center"/>
          </w:tcPr>
          <w:p>
            <w:pPr>
              <w:adjustRightInd w:val="0"/>
              <w:snapToGrid w:val="0"/>
              <w:jc w:val="center"/>
              <w:rPr>
                <w:b/>
                <w:bCs/>
                <w:sz w:val="24"/>
              </w:rPr>
            </w:pPr>
            <w:r>
              <w:rPr>
                <w:b/>
                <w:bCs/>
                <w:sz w:val="24"/>
              </w:rPr>
              <w:t>施工工期</w:t>
            </w:r>
          </w:p>
        </w:tc>
        <w:tc>
          <w:tcPr>
            <w:tcW w:w="3838" w:type="dxa"/>
            <w:noWrap w:val="0"/>
            <w:vAlign w:val="center"/>
          </w:tcPr>
          <w:p>
            <w:pPr>
              <w:adjustRightInd w:val="0"/>
              <w:snapToGrid w:val="0"/>
              <w:jc w:val="center"/>
              <w:rPr>
                <w:sz w:val="24"/>
              </w:rPr>
            </w:pPr>
            <w:r>
              <w:rPr>
                <w:rFonts w:hint="eastAsia"/>
                <w:sz w:val="24"/>
              </w:rPr>
              <w:t>5</w:t>
            </w:r>
            <w:r>
              <w:rPr>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pPr>
              <w:adjustRightInd w:val="0"/>
              <w:snapToGrid w:val="0"/>
              <w:jc w:val="center"/>
              <w:rPr>
                <w:b/>
                <w:bCs/>
                <w:sz w:val="24"/>
              </w:rPr>
            </w:pPr>
            <w:r>
              <w:rPr>
                <w:b/>
                <w:bCs/>
                <w:sz w:val="24"/>
              </w:rPr>
              <w:t>是否开工建设</w:t>
            </w:r>
          </w:p>
        </w:tc>
        <w:tc>
          <w:tcPr>
            <w:tcW w:w="2409" w:type="dxa"/>
            <w:noWrap w:val="0"/>
            <w:vAlign w:val="center"/>
          </w:tcPr>
          <w:p>
            <w:pPr>
              <w:adjustRightInd w:val="0"/>
              <w:snapToGrid w:val="0"/>
              <w:rPr>
                <w:sz w:val="24"/>
              </w:rPr>
            </w:pPr>
            <w:r>
              <w:rPr>
                <w:sz w:val="24"/>
              </w:rPr>
              <w:sym w:font="Wingdings" w:char="00FE"/>
            </w:r>
            <w:r>
              <w:rPr>
                <w:sz w:val="24"/>
              </w:rPr>
              <w:t>否</w:t>
            </w:r>
          </w:p>
          <w:p>
            <w:pPr>
              <w:adjustRightInd w:val="0"/>
              <w:snapToGrid w:val="0"/>
              <w:rPr>
                <w:sz w:val="24"/>
              </w:rPr>
            </w:pPr>
            <w:r>
              <w:rPr>
                <w:sz w:val="24"/>
              </w:rPr>
              <w:sym w:font="Wingdings" w:char="00A8"/>
            </w:r>
            <w:r>
              <w:rPr>
                <w:sz w:val="24"/>
              </w:rPr>
              <w:t>是：</w:t>
            </w:r>
            <w:r>
              <w:rPr>
                <w:sz w:val="24"/>
                <w:u w:val="single"/>
              </w:rPr>
              <w:t xml:space="preserve">            </w:t>
            </w:r>
          </w:p>
        </w:tc>
        <w:tc>
          <w:tcPr>
            <w:tcW w:w="1617" w:type="dxa"/>
            <w:noWrap w:val="0"/>
            <w:tcMar>
              <w:top w:w="16" w:type="dxa"/>
              <w:left w:w="16" w:type="dxa"/>
              <w:right w:w="16" w:type="dxa"/>
            </w:tcMar>
            <w:vAlign w:val="center"/>
          </w:tcPr>
          <w:p>
            <w:pPr>
              <w:adjustRightInd w:val="0"/>
              <w:snapToGrid w:val="0"/>
              <w:jc w:val="center"/>
              <w:rPr>
                <w:b/>
                <w:bCs/>
                <w:spacing w:val="-6"/>
                <w:sz w:val="24"/>
              </w:rPr>
            </w:pPr>
            <w:r>
              <w:rPr>
                <w:b/>
                <w:bCs/>
                <w:spacing w:val="-6"/>
                <w:sz w:val="24"/>
              </w:rPr>
              <w:t>用地（用海）</w:t>
            </w:r>
          </w:p>
          <w:p>
            <w:pPr>
              <w:adjustRightInd w:val="0"/>
              <w:snapToGrid w:val="0"/>
              <w:jc w:val="center"/>
              <w:rPr>
                <w:b/>
                <w:bCs/>
                <w:sz w:val="24"/>
              </w:rPr>
            </w:pPr>
            <w:r>
              <w:rPr>
                <w:b/>
                <w:bCs/>
                <w:spacing w:val="-6"/>
                <w:sz w:val="24"/>
              </w:rPr>
              <w:t>面积（m</w:t>
            </w:r>
            <w:r>
              <w:rPr>
                <w:b/>
                <w:bCs/>
                <w:spacing w:val="-6"/>
                <w:sz w:val="24"/>
                <w:vertAlign w:val="superscript"/>
              </w:rPr>
              <w:t>2</w:t>
            </w:r>
            <w:r>
              <w:rPr>
                <w:b/>
                <w:bCs/>
                <w:spacing w:val="-6"/>
                <w:sz w:val="24"/>
              </w:rPr>
              <w:t>）</w:t>
            </w:r>
          </w:p>
        </w:tc>
        <w:tc>
          <w:tcPr>
            <w:tcW w:w="3838" w:type="dxa"/>
            <w:noWrap w:val="0"/>
            <w:vAlign w:val="center"/>
          </w:tcPr>
          <w:p>
            <w:pPr>
              <w:adjustRightInd w:val="0"/>
              <w:snapToGrid w:val="0"/>
              <w:jc w:val="center"/>
              <w:rPr>
                <w:sz w:val="24"/>
              </w:rPr>
            </w:pPr>
            <w:r>
              <w:rPr>
                <w:rFonts w:hint="eastAsia"/>
                <w:snapToGrid w:val="0"/>
                <w:kern w:val="0"/>
                <w:sz w:val="24"/>
              </w:rPr>
              <w:t>2083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pPr>
              <w:autoSpaceDE w:val="0"/>
              <w:autoSpaceDN w:val="0"/>
              <w:adjustRightInd w:val="0"/>
              <w:snapToGrid w:val="0"/>
              <w:jc w:val="center"/>
              <w:rPr>
                <w:b/>
                <w:bCs/>
                <w:kern w:val="0"/>
                <w:sz w:val="24"/>
              </w:rPr>
            </w:pPr>
            <w:r>
              <w:rPr>
                <w:b/>
                <w:bCs/>
                <w:kern w:val="0"/>
                <w:sz w:val="24"/>
              </w:rPr>
              <w:t>专项评价设置情况</w:t>
            </w:r>
          </w:p>
        </w:tc>
        <w:tc>
          <w:tcPr>
            <w:tcW w:w="7864" w:type="dxa"/>
            <w:gridSpan w:val="3"/>
            <w:noWrap w:val="0"/>
            <w:vAlign w:val="center"/>
          </w:tcPr>
          <w:p>
            <w:pPr>
              <w:spacing w:line="360" w:lineRule="auto"/>
              <w:ind w:firstLine="424" w:firstLineChars="177"/>
              <w:contextualSpacing/>
              <w:rPr>
                <w:sz w:val="24"/>
              </w:rPr>
            </w:pPr>
            <w:r>
              <w:rPr>
                <w:sz w:val="24"/>
              </w:rPr>
              <w:t>根据《建设项目环境影响报告表编制技术指南》（污染影响类）（试行）表1专项评价设置原则表，本项目专项评价设置情况分析如下：</w:t>
            </w:r>
          </w:p>
          <w:p>
            <w:pPr>
              <w:jc w:val="center"/>
              <w:rPr>
                <w:b/>
                <w:bCs/>
                <w:szCs w:val="21"/>
              </w:rPr>
            </w:pPr>
            <w:r>
              <w:rPr>
                <w:b/>
                <w:bCs/>
                <w:szCs w:val="21"/>
              </w:rPr>
              <w:t>表1-1 专项评价设置情况分析表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2928"/>
              <w:gridCol w:w="2896"/>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b/>
                      <w:bCs/>
                      <w:kern w:val="21"/>
                      <w:szCs w:val="21"/>
                    </w:rPr>
                    <w:t>专项评价的类别</w:t>
                  </w:r>
                </w:p>
              </w:tc>
              <w:tc>
                <w:tcPr>
                  <w:tcW w:w="1917" w:type="pct"/>
                  <w:noWrap w:val="0"/>
                  <w:vAlign w:val="center"/>
                </w:tcPr>
                <w:p>
                  <w:pPr>
                    <w:autoSpaceDE w:val="0"/>
                    <w:autoSpaceDN w:val="0"/>
                    <w:adjustRightInd w:val="0"/>
                    <w:snapToGrid w:val="0"/>
                    <w:spacing w:line="340" w:lineRule="exact"/>
                    <w:jc w:val="center"/>
                    <w:rPr>
                      <w:b/>
                      <w:bCs/>
                      <w:szCs w:val="21"/>
                    </w:rPr>
                  </w:pPr>
                  <w:r>
                    <w:rPr>
                      <w:b/>
                      <w:bCs/>
                      <w:kern w:val="21"/>
                      <w:szCs w:val="21"/>
                    </w:rPr>
                    <w:t>设置原则</w:t>
                  </w:r>
                </w:p>
              </w:tc>
              <w:tc>
                <w:tcPr>
                  <w:tcW w:w="1896" w:type="pct"/>
                  <w:noWrap w:val="0"/>
                  <w:vAlign w:val="center"/>
                </w:tcPr>
                <w:p>
                  <w:pPr>
                    <w:autoSpaceDE w:val="0"/>
                    <w:autoSpaceDN w:val="0"/>
                    <w:adjustRightInd w:val="0"/>
                    <w:snapToGrid w:val="0"/>
                    <w:spacing w:line="340" w:lineRule="exact"/>
                    <w:jc w:val="center"/>
                    <w:rPr>
                      <w:b/>
                      <w:bCs/>
                      <w:szCs w:val="21"/>
                    </w:rPr>
                  </w:pPr>
                  <w:r>
                    <w:rPr>
                      <w:b/>
                      <w:bCs/>
                      <w:kern w:val="21"/>
                      <w:szCs w:val="21"/>
                    </w:rPr>
                    <w:t>本项目</w:t>
                  </w:r>
                </w:p>
              </w:tc>
              <w:tc>
                <w:tcPr>
                  <w:tcW w:w="515" w:type="pct"/>
                  <w:noWrap w:val="0"/>
                  <w:vAlign w:val="center"/>
                </w:tcPr>
                <w:p>
                  <w:pPr>
                    <w:autoSpaceDE w:val="0"/>
                    <w:autoSpaceDN w:val="0"/>
                    <w:adjustRightInd w:val="0"/>
                    <w:snapToGrid w:val="0"/>
                    <w:spacing w:line="340" w:lineRule="exact"/>
                    <w:jc w:val="center"/>
                    <w:rPr>
                      <w:b/>
                      <w:bCs/>
                      <w:szCs w:val="21"/>
                    </w:rPr>
                  </w:pPr>
                  <w:r>
                    <w:rPr>
                      <w:b/>
                      <w:bCs/>
                      <w:kern w:val="21"/>
                      <w:szCs w:val="21"/>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kern w:val="21"/>
                      <w:szCs w:val="21"/>
                    </w:rPr>
                    <w:t>大气</w:t>
                  </w:r>
                </w:p>
              </w:tc>
              <w:tc>
                <w:tcPr>
                  <w:tcW w:w="1917" w:type="pct"/>
                  <w:noWrap w:val="0"/>
                  <w:vAlign w:val="center"/>
                </w:tcPr>
                <w:p>
                  <w:pPr>
                    <w:autoSpaceDE w:val="0"/>
                    <w:autoSpaceDN w:val="0"/>
                    <w:adjustRightInd w:val="0"/>
                    <w:snapToGrid w:val="0"/>
                    <w:spacing w:line="340" w:lineRule="exact"/>
                    <w:jc w:val="center"/>
                    <w:rPr>
                      <w:b/>
                      <w:bCs/>
                      <w:szCs w:val="21"/>
                    </w:rPr>
                  </w:pPr>
                  <w:r>
                    <w:rPr>
                      <w:kern w:val="21"/>
                      <w:szCs w:val="21"/>
                    </w:rPr>
                    <w:t>排放废气含有毒有害污染物</w:t>
                  </w:r>
                  <w:r>
                    <w:rPr>
                      <w:kern w:val="21"/>
                      <w:szCs w:val="21"/>
                      <w:vertAlign w:val="superscript"/>
                    </w:rPr>
                    <w:t>1</w:t>
                  </w:r>
                  <w:r>
                    <w:rPr>
                      <w:kern w:val="21"/>
                      <w:szCs w:val="21"/>
                    </w:rPr>
                    <w:t>、二噁英、苯并[a]芘、氰化物、氯气且厂界外500米范围内有环境空气保护目标</w:t>
                  </w:r>
                  <w:r>
                    <w:rPr>
                      <w:kern w:val="21"/>
                      <w:szCs w:val="21"/>
                      <w:vertAlign w:val="superscript"/>
                    </w:rPr>
                    <w:t>2</w:t>
                  </w:r>
                  <w:r>
                    <w:rPr>
                      <w:kern w:val="21"/>
                      <w:szCs w:val="21"/>
                    </w:rPr>
                    <w:t>的建设项目</w:t>
                  </w:r>
                </w:p>
              </w:tc>
              <w:tc>
                <w:tcPr>
                  <w:tcW w:w="1896" w:type="pct"/>
                  <w:noWrap w:val="0"/>
                  <w:vAlign w:val="center"/>
                </w:tcPr>
                <w:p>
                  <w:pPr>
                    <w:autoSpaceDE w:val="0"/>
                    <w:autoSpaceDN w:val="0"/>
                    <w:adjustRightInd w:val="0"/>
                    <w:snapToGrid w:val="0"/>
                    <w:spacing w:line="340" w:lineRule="exact"/>
                    <w:jc w:val="center"/>
                    <w:rPr>
                      <w:b/>
                      <w:bCs/>
                      <w:szCs w:val="21"/>
                    </w:rPr>
                  </w:pPr>
                  <w:r>
                    <w:rPr>
                      <w:kern w:val="21"/>
                      <w:szCs w:val="21"/>
                    </w:rPr>
                    <w:t>本项目无上述废气排放</w:t>
                  </w:r>
                </w:p>
              </w:tc>
              <w:tc>
                <w:tcPr>
                  <w:tcW w:w="515" w:type="pct"/>
                  <w:noWrap w:val="0"/>
                  <w:vAlign w:val="center"/>
                </w:tcPr>
                <w:p>
                  <w:pPr>
                    <w:autoSpaceDE w:val="0"/>
                    <w:autoSpaceDN w:val="0"/>
                    <w:adjustRightInd w:val="0"/>
                    <w:snapToGrid w:val="0"/>
                    <w:spacing w:line="340" w:lineRule="exact"/>
                    <w:jc w:val="center"/>
                    <w:rPr>
                      <w:b/>
                      <w:bCs/>
                      <w:szCs w:val="21"/>
                    </w:rPr>
                  </w:pPr>
                  <w:r>
                    <w:rPr>
                      <w:kern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kern w:val="21"/>
                      <w:szCs w:val="21"/>
                    </w:rPr>
                    <w:t>地表水</w:t>
                  </w:r>
                </w:p>
              </w:tc>
              <w:tc>
                <w:tcPr>
                  <w:tcW w:w="1917" w:type="pct"/>
                  <w:noWrap w:val="0"/>
                  <w:vAlign w:val="center"/>
                </w:tcPr>
                <w:p>
                  <w:pPr>
                    <w:autoSpaceDE w:val="0"/>
                    <w:autoSpaceDN w:val="0"/>
                    <w:adjustRightInd w:val="0"/>
                    <w:snapToGrid w:val="0"/>
                    <w:spacing w:line="340" w:lineRule="exact"/>
                    <w:jc w:val="center"/>
                    <w:rPr>
                      <w:b/>
                      <w:bCs/>
                      <w:szCs w:val="21"/>
                    </w:rPr>
                  </w:pPr>
                  <w:r>
                    <w:rPr>
                      <w:kern w:val="21"/>
                      <w:szCs w:val="21"/>
                    </w:rPr>
                    <w:t>新增工业废水直排建设项目（槽罐车外送污水处理厂的除外）；新增废水直排的污水集中处理厂</w:t>
                  </w:r>
                </w:p>
              </w:tc>
              <w:tc>
                <w:tcPr>
                  <w:tcW w:w="1896" w:type="pct"/>
                  <w:noWrap w:val="0"/>
                  <w:vAlign w:val="center"/>
                </w:tcPr>
                <w:p>
                  <w:pPr>
                    <w:autoSpaceDE w:val="0"/>
                    <w:autoSpaceDN w:val="0"/>
                    <w:adjustRightInd w:val="0"/>
                    <w:snapToGrid w:val="0"/>
                    <w:spacing w:line="340" w:lineRule="exact"/>
                    <w:jc w:val="center"/>
                    <w:rPr>
                      <w:b/>
                      <w:bCs/>
                      <w:szCs w:val="21"/>
                    </w:rPr>
                  </w:pPr>
                  <w:r>
                    <w:rPr>
                      <w:kern w:val="21"/>
                      <w:szCs w:val="21"/>
                    </w:rPr>
                    <w:t>本项目未新增工业废水直排</w:t>
                  </w:r>
                </w:p>
              </w:tc>
              <w:tc>
                <w:tcPr>
                  <w:tcW w:w="515" w:type="pct"/>
                  <w:noWrap w:val="0"/>
                  <w:vAlign w:val="center"/>
                </w:tcPr>
                <w:p>
                  <w:pPr>
                    <w:autoSpaceDE w:val="0"/>
                    <w:autoSpaceDN w:val="0"/>
                    <w:adjustRightInd w:val="0"/>
                    <w:snapToGrid w:val="0"/>
                    <w:spacing w:line="340" w:lineRule="exact"/>
                    <w:jc w:val="center"/>
                    <w:rPr>
                      <w:b/>
                      <w:bCs/>
                      <w:szCs w:val="21"/>
                    </w:rPr>
                  </w:pPr>
                  <w:r>
                    <w:rPr>
                      <w:rFonts w:hint="eastAsia"/>
                      <w:kern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kern w:val="21"/>
                      <w:szCs w:val="21"/>
                    </w:rPr>
                    <w:t>环境风险</w:t>
                  </w:r>
                </w:p>
              </w:tc>
              <w:tc>
                <w:tcPr>
                  <w:tcW w:w="1917" w:type="pct"/>
                  <w:noWrap w:val="0"/>
                  <w:vAlign w:val="center"/>
                </w:tcPr>
                <w:p>
                  <w:pPr>
                    <w:autoSpaceDE w:val="0"/>
                    <w:autoSpaceDN w:val="0"/>
                    <w:adjustRightInd w:val="0"/>
                    <w:snapToGrid w:val="0"/>
                    <w:spacing w:line="340" w:lineRule="exact"/>
                    <w:jc w:val="center"/>
                    <w:rPr>
                      <w:b/>
                      <w:bCs/>
                      <w:szCs w:val="21"/>
                    </w:rPr>
                  </w:pPr>
                  <w:r>
                    <w:rPr>
                      <w:kern w:val="21"/>
                      <w:szCs w:val="21"/>
                    </w:rPr>
                    <w:t>有毒有害和易燃易爆危险物质存储量超过临界量</w:t>
                  </w:r>
                  <w:r>
                    <w:rPr>
                      <w:kern w:val="21"/>
                      <w:szCs w:val="21"/>
                      <w:vertAlign w:val="superscript"/>
                    </w:rPr>
                    <w:t>3</w:t>
                  </w:r>
                  <w:r>
                    <w:rPr>
                      <w:kern w:val="21"/>
                      <w:szCs w:val="21"/>
                    </w:rPr>
                    <w:t>的建设项目</w:t>
                  </w:r>
                </w:p>
              </w:tc>
              <w:tc>
                <w:tcPr>
                  <w:tcW w:w="1896" w:type="pct"/>
                  <w:noWrap w:val="0"/>
                  <w:vAlign w:val="center"/>
                </w:tcPr>
                <w:p>
                  <w:pPr>
                    <w:autoSpaceDE w:val="0"/>
                    <w:autoSpaceDN w:val="0"/>
                    <w:adjustRightInd w:val="0"/>
                    <w:snapToGrid w:val="0"/>
                    <w:spacing w:line="340" w:lineRule="exact"/>
                    <w:jc w:val="center"/>
                    <w:rPr>
                      <w:kern w:val="21"/>
                      <w:szCs w:val="21"/>
                    </w:rPr>
                  </w:pPr>
                  <w:r>
                    <w:rPr>
                      <w:kern w:val="21"/>
                      <w:szCs w:val="21"/>
                    </w:rPr>
                    <w:t>本项目汽油、柴油存储量未超过临界值，LNG存储量超</w:t>
                  </w:r>
                </w:p>
                <w:p>
                  <w:pPr>
                    <w:autoSpaceDE w:val="0"/>
                    <w:autoSpaceDN w:val="0"/>
                    <w:adjustRightInd w:val="0"/>
                    <w:snapToGrid w:val="0"/>
                    <w:spacing w:line="340" w:lineRule="exact"/>
                    <w:jc w:val="center"/>
                    <w:rPr>
                      <w:kern w:val="21"/>
                      <w:szCs w:val="21"/>
                    </w:rPr>
                  </w:pPr>
                  <w:r>
                    <w:rPr>
                      <w:kern w:val="21"/>
                      <w:szCs w:val="21"/>
                    </w:rPr>
                    <w:t>过临界值</w:t>
                  </w:r>
                </w:p>
              </w:tc>
              <w:tc>
                <w:tcPr>
                  <w:tcW w:w="515" w:type="pct"/>
                  <w:noWrap w:val="0"/>
                  <w:vAlign w:val="center"/>
                </w:tcPr>
                <w:p>
                  <w:pPr>
                    <w:autoSpaceDE w:val="0"/>
                    <w:autoSpaceDN w:val="0"/>
                    <w:adjustRightInd w:val="0"/>
                    <w:snapToGrid w:val="0"/>
                    <w:spacing w:line="340" w:lineRule="exact"/>
                    <w:jc w:val="center"/>
                    <w:rPr>
                      <w:kern w:val="21"/>
                      <w:szCs w:val="21"/>
                    </w:rPr>
                  </w:pPr>
                  <w:r>
                    <w:rPr>
                      <w:rFonts w:hint="eastAsia"/>
                      <w:kern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kern w:val="21"/>
                      <w:szCs w:val="21"/>
                    </w:rPr>
                    <w:t>生态</w:t>
                  </w:r>
                </w:p>
              </w:tc>
              <w:tc>
                <w:tcPr>
                  <w:tcW w:w="1917" w:type="pct"/>
                  <w:noWrap w:val="0"/>
                  <w:vAlign w:val="center"/>
                </w:tcPr>
                <w:p>
                  <w:pPr>
                    <w:autoSpaceDE w:val="0"/>
                    <w:autoSpaceDN w:val="0"/>
                    <w:adjustRightInd w:val="0"/>
                    <w:snapToGrid w:val="0"/>
                    <w:spacing w:line="340" w:lineRule="exact"/>
                    <w:jc w:val="center"/>
                    <w:rPr>
                      <w:b/>
                      <w:bCs/>
                      <w:szCs w:val="21"/>
                    </w:rPr>
                  </w:pPr>
                  <w:r>
                    <w:rPr>
                      <w:kern w:val="21"/>
                      <w:szCs w:val="21"/>
                    </w:rPr>
                    <w:t>取水口下游500米范围内有重要水生生物的自然产卵场、索饵场、越冬场和洄游通道的新增河道取水的污染类建设项目</w:t>
                  </w:r>
                </w:p>
              </w:tc>
              <w:tc>
                <w:tcPr>
                  <w:tcW w:w="1896" w:type="pct"/>
                  <w:noWrap w:val="0"/>
                  <w:vAlign w:val="center"/>
                </w:tcPr>
                <w:p>
                  <w:pPr>
                    <w:autoSpaceDE w:val="0"/>
                    <w:autoSpaceDN w:val="0"/>
                    <w:adjustRightInd w:val="0"/>
                    <w:snapToGrid w:val="0"/>
                    <w:spacing w:line="340" w:lineRule="exact"/>
                    <w:jc w:val="center"/>
                    <w:rPr>
                      <w:b/>
                      <w:bCs/>
                      <w:szCs w:val="21"/>
                    </w:rPr>
                  </w:pPr>
                  <w:r>
                    <w:rPr>
                      <w:rFonts w:hint="eastAsia"/>
                      <w:kern w:val="21"/>
                      <w:szCs w:val="21"/>
                    </w:rPr>
                    <w:t>本项目不涉及</w:t>
                  </w:r>
                </w:p>
              </w:tc>
              <w:tc>
                <w:tcPr>
                  <w:tcW w:w="515" w:type="pct"/>
                  <w:noWrap w:val="0"/>
                  <w:vAlign w:val="center"/>
                </w:tcPr>
                <w:p>
                  <w:pPr>
                    <w:autoSpaceDE w:val="0"/>
                    <w:autoSpaceDN w:val="0"/>
                    <w:adjustRightInd w:val="0"/>
                    <w:snapToGrid w:val="0"/>
                    <w:spacing w:line="340" w:lineRule="exact"/>
                    <w:jc w:val="center"/>
                    <w:rPr>
                      <w:b/>
                      <w:bCs/>
                      <w:szCs w:val="21"/>
                    </w:rPr>
                  </w:pPr>
                  <w:r>
                    <w:rPr>
                      <w:kern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noWrap w:val="0"/>
                  <w:vAlign w:val="center"/>
                </w:tcPr>
                <w:p>
                  <w:pPr>
                    <w:autoSpaceDE w:val="0"/>
                    <w:autoSpaceDN w:val="0"/>
                    <w:adjustRightInd w:val="0"/>
                    <w:snapToGrid w:val="0"/>
                    <w:spacing w:line="340" w:lineRule="exact"/>
                    <w:jc w:val="center"/>
                    <w:rPr>
                      <w:b/>
                      <w:bCs/>
                      <w:szCs w:val="21"/>
                    </w:rPr>
                  </w:pPr>
                  <w:r>
                    <w:rPr>
                      <w:kern w:val="21"/>
                      <w:szCs w:val="21"/>
                    </w:rPr>
                    <w:t>海洋</w:t>
                  </w:r>
                </w:p>
              </w:tc>
              <w:tc>
                <w:tcPr>
                  <w:tcW w:w="1917" w:type="pct"/>
                  <w:noWrap w:val="0"/>
                  <w:vAlign w:val="center"/>
                </w:tcPr>
                <w:p>
                  <w:pPr>
                    <w:autoSpaceDE w:val="0"/>
                    <w:autoSpaceDN w:val="0"/>
                    <w:adjustRightInd w:val="0"/>
                    <w:snapToGrid w:val="0"/>
                    <w:spacing w:line="340" w:lineRule="exact"/>
                    <w:jc w:val="center"/>
                    <w:rPr>
                      <w:b/>
                      <w:bCs/>
                      <w:szCs w:val="21"/>
                    </w:rPr>
                  </w:pPr>
                  <w:r>
                    <w:rPr>
                      <w:kern w:val="21"/>
                      <w:szCs w:val="21"/>
                    </w:rPr>
                    <w:t>直接向海排放污染物的海洋工程建设项目</w:t>
                  </w:r>
                </w:p>
              </w:tc>
              <w:tc>
                <w:tcPr>
                  <w:tcW w:w="1896" w:type="pct"/>
                  <w:noWrap w:val="0"/>
                  <w:vAlign w:val="center"/>
                </w:tcPr>
                <w:p>
                  <w:pPr>
                    <w:autoSpaceDE w:val="0"/>
                    <w:autoSpaceDN w:val="0"/>
                    <w:adjustRightInd w:val="0"/>
                    <w:snapToGrid w:val="0"/>
                    <w:spacing w:line="340" w:lineRule="exact"/>
                    <w:jc w:val="center"/>
                    <w:rPr>
                      <w:b/>
                      <w:bCs/>
                      <w:szCs w:val="21"/>
                    </w:rPr>
                  </w:pPr>
                  <w:r>
                    <w:rPr>
                      <w:rFonts w:hint="eastAsia"/>
                      <w:kern w:val="21"/>
                      <w:szCs w:val="21"/>
                    </w:rPr>
                    <w:t>本</w:t>
                  </w:r>
                  <w:r>
                    <w:rPr>
                      <w:kern w:val="21"/>
                      <w:szCs w:val="21"/>
                    </w:rPr>
                    <w:t>项目不涉及</w:t>
                  </w:r>
                </w:p>
              </w:tc>
              <w:tc>
                <w:tcPr>
                  <w:tcW w:w="515" w:type="pct"/>
                  <w:noWrap w:val="0"/>
                  <w:vAlign w:val="center"/>
                </w:tcPr>
                <w:p>
                  <w:pPr>
                    <w:autoSpaceDE w:val="0"/>
                    <w:autoSpaceDN w:val="0"/>
                    <w:adjustRightInd w:val="0"/>
                    <w:snapToGrid w:val="0"/>
                    <w:spacing w:line="340" w:lineRule="exact"/>
                    <w:jc w:val="center"/>
                    <w:rPr>
                      <w:b/>
                      <w:bCs/>
                      <w:szCs w:val="21"/>
                    </w:rPr>
                  </w:pPr>
                  <w:r>
                    <w:rPr>
                      <w:kern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autoSpaceDE w:val="0"/>
                    <w:autoSpaceDN w:val="0"/>
                    <w:adjustRightInd w:val="0"/>
                    <w:snapToGrid w:val="0"/>
                    <w:spacing w:line="340" w:lineRule="exact"/>
                    <w:ind w:firstLine="420" w:firstLineChars="200"/>
                    <w:jc w:val="left"/>
                    <w:rPr>
                      <w:kern w:val="21"/>
                      <w:szCs w:val="21"/>
                    </w:rPr>
                  </w:pPr>
                  <w:r>
                    <w:rPr>
                      <w:kern w:val="21"/>
                      <w:szCs w:val="21"/>
                    </w:rPr>
                    <w:t>注：1、废气中有毒有害污染物指纳入《有毒有害大气污染物名录》的污染物（不包括无排放标准的污染物）。</w:t>
                  </w:r>
                </w:p>
                <w:p>
                  <w:pPr>
                    <w:autoSpaceDE w:val="0"/>
                    <w:autoSpaceDN w:val="0"/>
                    <w:adjustRightInd w:val="0"/>
                    <w:snapToGrid w:val="0"/>
                    <w:spacing w:line="340" w:lineRule="exact"/>
                    <w:ind w:firstLine="420" w:firstLineChars="200"/>
                    <w:jc w:val="left"/>
                    <w:rPr>
                      <w:kern w:val="21"/>
                      <w:szCs w:val="21"/>
                    </w:rPr>
                  </w:pPr>
                  <w:r>
                    <w:rPr>
                      <w:kern w:val="21"/>
                      <w:szCs w:val="21"/>
                    </w:rPr>
                    <w:t>2、环境空气保护目标只自然保护区、风景名胜区、居住区、文化区和农村地区中人群较集中的区域。</w:t>
                  </w:r>
                </w:p>
                <w:p>
                  <w:pPr>
                    <w:autoSpaceDE w:val="0"/>
                    <w:autoSpaceDN w:val="0"/>
                    <w:adjustRightInd w:val="0"/>
                    <w:snapToGrid w:val="0"/>
                    <w:spacing w:line="340" w:lineRule="exact"/>
                    <w:ind w:firstLine="420" w:firstLineChars="200"/>
                    <w:jc w:val="left"/>
                    <w:rPr>
                      <w:kern w:val="21"/>
                      <w:szCs w:val="21"/>
                    </w:rPr>
                  </w:pPr>
                  <w:r>
                    <w:rPr>
                      <w:kern w:val="21"/>
                      <w:szCs w:val="21"/>
                    </w:rPr>
                    <w:t>3、临界量及其计算方法可参考《建设项目环境风险评价技术导则》（HJ 169）附录B、附录C。</w:t>
                  </w:r>
                </w:p>
              </w:tc>
            </w:tr>
          </w:tbl>
          <w:p>
            <w:pPr>
              <w:adjustRightInd w:val="0"/>
              <w:snapToGrid w:val="0"/>
              <w:jc w:val="left"/>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pPr>
              <w:autoSpaceDE w:val="0"/>
              <w:autoSpaceDN w:val="0"/>
              <w:adjustRightInd w:val="0"/>
              <w:snapToGrid w:val="0"/>
              <w:jc w:val="center"/>
              <w:rPr>
                <w:b/>
                <w:bCs/>
                <w:kern w:val="0"/>
                <w:sz w:val="24"/>
              </w:rPr>
            </w:pPr>
            <w:r>
              <w:rPr>
                <w:b/>
                <w:bCs/>
                <w:sz w:val="24"/>
              </w:rPr>
              <w:t>规划情况</w:t>
            </w:r>
          </w:p>
        </w:tc>
        <w:tc>
          <w:tcPr>
            <w:tcW w:w="7864" w:type="dxa"/>
            <w:gridSpan w:val="3"/>
            <w:noWrap w:val="0"/>
            <w:vAlign w:val="center"/>
          </w:tcPr>
          <w:p>
            <w:pPr>
              <w:pStyle w:val="132"/>
              <w:ind w:firstLine="480"/>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pPr>
              <w:adjustRightInd w:val="0"/>
              <w:snapToGrid w:val="0"/>
              <w:jc w:val="center"/>
              <w:rPr>
                <w:b/>
                <w:bCs/>
                <w:kern w:val="0"/>
                <w:sz w:val="24"/>
              </w:rPr>
            </w:pPr>
            <w:r>
              <w:rPr>
                <w:b/>
                <w:bCs/>
                <w:sz w:val="24"/>
              </w:rPr>
              <w:t>规划环境影响评价情况</w:t>
            </w:r>
          </w:p>
        </w:tc>
        <w:tc>
          <w:tcPr>
            <w:tcW w:w="7864" w:type="dxa"/>
            <w:gridSpan w:val="3"/>
            <w:noWrap w:val="0"/>
            <w:vAlign w:val="center"/>
          </w:tcPr>
          <w:p>
            <w:pPr>
              <w:pStyle w:val="132"/>
              <w:ind w:firstLine="480"/>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pPr>
              <w:autoSpaceDE w:val="0"/>
              <w:autoSpaceDN w:val="0"/>
              <w:adjustRightInd w:val="0"/>
              <w:snapToGrid w:val="0"/>
              <w:jc w:val="center"/>
              <w:rPr>
                <w:b/>
                <w:bCs/>
                <w:kern w:val="0"/>
                <w:sz w:val="24"/>
              </w:rPr>
            </w:pPr>
            <w:r>
              <w:rPr>
                <w:b/>
                <w:bCs/>
                <w:kern w:val="0"/>
                <w:sz w:val="24"/>
              </w:rPr>
              <w:t>规划及规划环境影响评价符合性分析</w:t>
            </w:r>
          </w:p>
        </w:tc>
        <w:tc>
          <w:tcPr>
            <w:tcW w:w="7864" w:type="dxa"/>
            <w:gridSpan w:val="3"/>
            <w:noWrap w:val="0"/>
            <w:vAlign w:val="center"/>
          </w:tcPr>
          <w:p>
            <w:pPr>
              <w:pStyle w:val="132"/>
              <w:ind w:firstLine="480"/>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pPr>
              <w:autoSpaceDE w:val="0"/>
              <w:autoSpaceDN w:val="0"/>
              <w:adjustRightInd w:val="0"/>
              <w:snapToGrid w:val="0"/>
              <w:jc w:val="center"/>
              <w:rPr>
                <w:b/>
                <w:bCs/>
                <w:kern w:val="0"/>
                <w:sz w:val="24"/>
              </w:rPr>
            </w:pPr>
            <w:r>
              <w:rPr>
                <w:b/>
                <w:bCs/>
                <w:kern w:val="0"/>
                <w:sz w:val="24"/>
              </w:rPr>
              <w:t>其他符合性分析</w:t>
            </w:r>
          </w:p>
        </w:tc>
        <w:tc>
          <w:tcPr>
            <w:tcW w:w="7864" w:type="dxa"/>
            <w:gridSpan w:val="3"/>
            <w:noWrap w:val="0"/>
            <w:vAlign w:val="center"/>
          </w:tcPr>
          <w:p>
            <w:pPr>
              <w:pStyle w:val="134"/>
              <w:ind w:firstLine="482"/>
              <w:rPr>
                <w:rFonts w:eastAsia="宋体"/>
                <w:b/>
                <w:bCs/>
              </w:rPr>
            </w:pPr>
            <w:r>
              <w:rPr>
                <w:rFonts w:eastAsia="宋体"/>
                <w:b/>
                <w:bCs/>
              </w:rPr>
              <w:t xml:space="preserve">1、产业政策符合性分析 </w:t>
            </w:r>
          </w:p>
          <w:p>
            <w:pPr>
              <w:pStyle w:val="132"/>
              <w:ind w:firstLine="480"/>
              <w:rPr>
                <w:rFonts w:ascii="宋体" w:hAnsi="宋体" w:cs="宋体"/>
                <w:sz w:val="23"/>
                <w:szCs w:val="23"/>
              </w:rPr>
            </w:pPr>
            <w:r>
              <w:t>本项目为加油加气合建站项目，属于《国民经济行业分类》</w:t>
            </w:r>
            <w:r>
              <w:rPr>
                <w:rFonts w:hint="eastAsia"/>
              </w:rPr>
              <w:t>（</w:t>
            </w:r>
            <w:r>
              <w:t>GB/T    4754-2017</w:t>
            </w:r>
            <w:r>
              <w:rPr>
                <w:rFonts w:hint="eastAsia"/>
              </w:rPr>
              <w:t>）</w:t>
            </w:r>
            <w:r>
              <w:t>中</w:t>
            </w:r>
            <w:r>
              <w:rPr>
                <w:rFonts w:hint="eastAsia"/>
              </w:rPr>
              <w:t>“</w:t>
            </w:r>
            <w:r>
              <w:t>F5265机动车燃料零售、F5266机动车燃气零售</w:t>
            </w:r>
            <w:r>
              <w:rPr>
                <w:rFonts w:hint="eastAsia"/>
              </w:rPr>
              <w:t>”</w:t>
            </w:r>
            <w:r>
              <w:t xml:space="preserve">类行业， 不属于国家发展和改革委员会令《产业结构调整指导目录 </w:t>
            </w:r>
            <w:r>
              <w:rPr>
                <w:rFonts w:hint="eastAsia"/>
              </w:rPr>
              <w:t>（</w:t>
            </w:r>
            <w:r>
              <w:t>2019年本</w:t>
            </w:r>
            <w:r>
              <w:rPr>
                <w:rFonts w:hint="eastAsia"/>
              </w:rPr>
              <w:t>）</w:t>
            </w:r>
            <w:r>
              <w:t xml:space="preserve"> 》</w:t>
            </w:r>
            <w:r>
              <w:rPr>
                <w:rFonts w:hint="eastAsia"/>
              </w:rPr>
              <w:t>（2021年修订）</w:t>
            </w:r>
            <w:r>
              <w:t xml:space="preserve">中鼓励、限制和淘汰类。根据《促进产业结构调整暂行规定》  </w:t>
            </w:r>
            <w:r>
              <w:rPr>
                <w:rFonts w:hint="eastAsia"/>
              </w:rPr>
              <w:t>（</w:t>
            </w:r>
            <w:r>
              <w:t>国发〔2005〕40号</w:t>
            </w:r>
            <w:r>
              <w:rPr>
                <w:rFonts w:hint="eastAsia"/>
              </w:rPr>
              <w:t>）</w:t>
            </w:r>
            <w:r>
              <w:t>，项目的建设符合国家有关法律、法规和政策规定，属于允许类。</w:t>
            </w:r>
          </w:p>
          <w:p>
            <w:pPr>
              <w:pStyle w:val="132"/>
              <w:ind w:firstLine="480"/>
            </w:pPr>
            <w:r>
              <w:rPr>
                <w:rFonts w:hint="eastAsia"/>
              </w:rPr>
              <w:t>同时</w:t>
            </w:r>
            <w:bookmarkStart w:id="2" w:name="_Hlk143261532"/>
            <w:r>
              <w:rPr>
                <w:rFonts w:hint="eastAsia"/>
              </w:rPr>
              <w:t>项目于</w:t>
            </w:r>
            <w:r>
              <w:t>2022年</w:t>
            </w:r>
            <w:r>
              <w:rPr>
                <w:rFonts w:hint="eastAsia"/>
              </w:rPr>
              <w:t>11</w:t>
            </w:r>
            <w:r>
              <w:t>月</w:t>
            </w:r>
            <w:r>
              <w:rPr>
                <w:rFonts w:hint="eastAsia"/>
              </w:rPr>
              <w:t>8</w:t>
            </w:r>
            <w:r>
              <w:t>日</w:t>
            </w:r>
            <w:r>
              <w:rPr>
                <w:rFonts w:hint="eastAsia"/>
              </w:rPr>
              <w:t>通过通川区发展和改革局备案，备案号：川投资备</w:t>
            </w:r>
            <w:r>
              <w:rPr>
                <w:szCs w:val="24"/>
              </w:rPr>
              <w:t>〔</w:t>
            </w:r>
            <w:r>
              <w:rPr>
                <w:rFonts w:hint="eastAsia"/>
              </w:rPr>
              <w:t>2211-511702-04-01-935104</w:t>
            </w:r>
            <w:r>
              <w:rPr>
                <w:szCs w:val="24"/>
              </w:rPr>
              <w:t>〕</w:t>
            </w:r>
            <w:r>
              <w:rPr>
                <w:rFonts w:hint="eastAsia"/>
              </w:rPr>
              <w:t>FGQB</w:t>
            </w:r>
            <w:r>
              <w:t>-0132</w:t>
            </w:r>
            <w:r>
              <w:rPr>
                <w:rFonts w:hint="eastAsia"/>
              </w:rPr>
              <w:t>号。</w:t>
            </w:r>
          </w:p>
          <w:bookmarkEnd w:id="2"/>
          <w:p>
            <w:pPr>
              <w:pStyle w:val="132"/>
              <w:ind w:firstLine="480"/>
            </w:pPr>
            <w:r>
              <w:t>因此，本项目符合国家相关产业政策。</w:t>
            </w:r>
          </w:p>
          <w:p>
            <w:pPr>
              <w:pStyle w:val="134"/>
              <w:ind w:firstLine="482"/>
              <w:rPr>
                <w:rFonts w:eastAsia="宋体"/>
                <w:b/>
                <w:bCs/>
              </w:rPr>
            </w:pPr>
            <w:r>
              <w:rPr>
                <w:rFonts w:eastAsia="宋体"/>
                <w:b/>
                <w:bCs/>
              </w:rPr>
              <w:t>2、“三线一单”符合性分析</w:t>
            </w:r>
          </w:p>
          <w:p>
            <w:pPr>
              <w:pStyle w:val="132"/>
              <w:ind w:firstLine="482"/>
              <w:rPr>
                <w:rFonts w:hint="eastAsia"/>
                <w:b/>
                <w:bCs/>
              </w:rPr>
            </w:pPr>
            <w:r>
              <w:rPr>
                <w:rFonts w:hint="eastAsia"/>
                <w:b/>
                <w:bCs/>
              </w:rPr>
              <w:t>1）项目与“三线一单”符合性分析</w:t>
            </w:r>
          </w:p>
          <w:p>
            <w:pPr>
              <w:pStyle w:val="132"/>
              <w:ind w:firstLine="482"/>
              <w:rPr>
                <w:b/>
                <w:bCs/>
              </w:rPr>
            </w:pPr>
            <w:r>
              <w:rPr>
                <w:rFonts w:hint="eastAsia"/>
                <w:b/>
                <w:bCs/>
              </w:rPr>
              <w:t>①与《关于以改善环境质量为核心加强环境影响评价管理的通知》（环环评</w:t>
            </w:r>
            <w:r>
              <w:rPr>
                <w:b/>
                <w:bCs/>
              </w:rPr>
              <w:t>〔20</w:t>
            </w:r>
            <w:r>
              <w:rPr>
                <w:rFonts w:hint="eastAsia"/>
                <w:b/>
                <w:bCs/>
              </w:rPr>
              <w:t>16</w:t>
            </w:r>
            <w:r>
              <w:rPr>
                <w:b/>
                <w:bCs/>
              </w:rPr>
              <w:t>〕</w:t>
            </w:r>
            <w:r>
              <w:rPr>
                <w:rFonts w:hint="eastAsia"/>
                <w:b/>
                <w:bCs/>
              </w:rPr>
              <w:t>150号）符合性分析</w:t>
            </w:r>
          </w:p>
          <w:p>
            <w:pPr>
              <w:pStyle w:val="132"/>
              <w:ind w:firstLine="480"/>
            </w:pPr>
            <w:r>
              <w:rPr>
                <w:rFonts w:hint="eastAsia"/>
              </w:rPr>
              <w:t>为更好</w:t>
            </w:r>
            <w:r>
              <w:rPr>
                <w:rFonts w:hint="eastAsia"/>
                <w:lang w:val="en-US" w:eastAsia="zh-CN"/>
              </w:rPr>
              <w:t>地</w:t>
            </w:r>
            <w:r>
              <w:rPr>
                <w:rFonts w:hint="eastAsia"/>
              </w:rPr>
              <w:t>建立项目环评审批与规划环评、现有项目环境管理、区域环境质量联动机制，更好地发挥环评制度从源头防范环境污染和生态破坏的作用，加快推进改善环境质量，原环保部于2016年10月27日印发了《关于以改善环境质量为核心加强环境影响评价管理的通知》（环环评</w:t>
            </w:r>
            <w:r>
              <w:t>〔20</w:t>
            </w:r>
            <w:r>
              <w:rPr>
                <w:rFonts w:hint="eastAsia"/>
              </w:rPr>
              <w:t>16</w:t>
            </w:r>
            <w:r>
              <w:t>〕</w:t>
            </w:r>
            <w:r>
              <w:rPr>
                <w:rFonts w:hint="eastAsia"/>
              </w:rPr>
              <w:t>150号），该《通知》明确环境影响评价需要落实“生态保护红线、环境质量底线、资源利用上线和环境准入负面清单”（简称“三线一单”）约束。本项目与《通知》的符合性分析见下表。</w:t>
            </w:r>
          </w:p>
          <w:p>
            <w:pPr>
              <w:pStyle w:val="69"/>
              <w:ind w:firstLine="398"/>
              <w:jc w:val="center"/>
              <w:rPr>
                <w:b/>
                <w:bCs/>
                <w:kern w:val="2"/>
                <w:sz w:val="21"/>
                <w:szCs w:val="21"/>
              </w:rPr>
            </w:pPr>
            <w:r>
              <w:rPr>
                <w:rFonts w:hint="eastAsia"/>
                <w:b/>
                <w:bCs/>
                <w:kern w:val="2"/>
                <w:sz w:val="21"/>
                <w:szCs w:val="21"/>
              </w:rPr>
              <w:t>表1-2</w:t>
            </w:r>
            <w:r>
              <w:rPr>
                <w:b/>
                <w:bCs/>
                <w:kern w:val="2"/>
                <w:sz w:val="21"/>
                <w:szCs w:val="21"/>
              </w:rPr>
              <w:t xml:space="preserve"> </w:t>
            </w:r>
            <w:r>
              <w:rPr>
                <w:rFonts w:hint="eastAsia"/>
                <w:b/>
                <w:bCs/>
                <w:kern w:val="2"/>
                <w:sz w:val="21"/>
                <w:szCs w:val="21"/>
              </w:rPr>
              <w:t>三线一单具体要求</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884"/>
              <w:gridCol w:w="2737"/>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noWrap w:val="0"/>
                  <w:vAlign w:val="center"/>
                </w:tcPr>
                <w:p>
                  <w:pPr>
                    <w:jc w:val="center"/>
                    <w:rPr>
                      <w:b/>
                      <w:bCs/>
                    </w:rPr>
                  </w:pPr>
                  <w:r>
                    <w:rPr>
                      <w:b/>
                      <w:bCs/>
                    </w:rPr>
                    <w:t>项目</w:t>
                  </w:r>
                </w:p>
              </w:tc>
              <w:tc>
                <w:tcPr>
                  <w:tcW w:w="1888" w:type="pct"/>
                  <w:noWrap w:val="0"/>
                  <w:vAlign w:val="center"/>
                </w:tcPr>
                <w:p>
                  <w:pPr>
                    <w:jc w:val="center"/>
                    <w:rPr>
                      <w:b/>
                      <w:bCs/>
                    </w:rPr>
                  </w:pPr>
                  <w:r>
                    <w:rPr>
                      <w:b/>
                      <w:bCs/>
                    </w:rPr>
                    <w:t>具体要求</w:t>
                  </w:r>
                </w:p>
              </w:tc>
              <w:tc>
                <w:tcPr>
                  <w:tcW w:w="1792" w:type="pct"/>
                  <w:noWrap w:val="0"/>
                  <w:vAlign w:val="center"/>
                </w:tcPr>
                <w:p>
                  <w:pPr>
                    <w:jc w:val="center"/>
                    <w:rPr>
                      <w:b/>
                      <w:bCs/>
                    </w:rPr>
                  </w:pPr>
                  <w:r>
                    <w:rPr>
                      <w:b/>
                      <w:bCs/>
                    </w:rPr>
                    <w:t>本项目</w:t>
                  </w:r>
                </w:p>
              </w:tc>
              <w:tc>
                <w:tcPr>
                  <w:tcW w:w="437" w:type="pct"/>
                  <w:noWrap w:val="0"/>
                  <w:vAlign w:val="center"/>
                </w:tcPr>
                <w:p>
                  <w:pPr>
                    <w:jc w:val="center"/>
                    <w:rPr>
                      <w:b/>
                      <w:bCs/>
                    </w:rPr>
                  </w:pPr>
                  <w:r>
                    <w:rPr>
                      <w:b/>
                      <w:bCs/>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noWrap w:val="0"/>
                  <w:vAlign w:val="center"/>
                </w:tcPr>
                <w:p>
                  <w:pPr>
                    <w:jc w:val="center"/>
                  </w:pPr>
                  <w:r>
                    <w:t>生态红线</w:t>
                  </w:r>
                </w:p>
              </w:tc>
              <w:tc>
                <w:tcPr>
                  <w:tcW w:w="1888" w:type="pct"/>
                  <w:noWrap w:val="0"/>
                  <w:vAlign w:val="center"/>
                </w:tcPr>
                <w:p>
                  <w:pPr>
                    <w:jc w:val="center"/>
                  </w:pPr>
                  <w: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92" w:type="pct"/>
                  <w:noWrap w:val="0"/>
                  <w:vAlign w:val="center"/>
                </w:tcPr>
                <w:p>
                  <w:pPr>
                    <w:jc w:val="center"/>
                  </w:pPr>
                  <w:r>
                    <w:t>本项目位于四川省</w:t>
                  </w:r>
                  <w:r>
                    <w:rPr>
                      <w:rFonts w:hint="eastAsia"/>
                    </w:rPr>
                    <w:t>达州市通川区北外镇张家坝</w:t>
                  </w:r>
                  <w:r>
                    <w:t>，经核实，</w:t>
                  </w:r>
                  <w:r>
                    <w:rPr>
                      <w:rFonts w:hint="eastAsia"/>
                    </w:rPr>
                    <w:t>项目</w:t>
                  </w:r>
                  <w:r>
                    <w:t>不处于生态红线范围内</w:t>
                  </w:r>
                  <w:r>
                    <w:rPr>
                      <w:rFonts w:hint="eastAsia"/>
                    </w:rPr>
                    <w:t>。</w:t>
                  </w:r>
                </w:p>
              </w:tc>
              <w:tc>
                <w:tcPr>
                  <w:tcW w:w="437" w:type="pct"/>
                  <w:noWrap w:val="0"/>
                  <w:vAlign w:val="center"/>
                </w:tcPr>
                <w:p>
                  <w:pPr>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noWrap w:val="0"/>
                  <w:vAlign w:val="center"/>
                </w:tcPr>
                <w:p>
                  <w:pPr>
                    <w:jc w:val="center"/>
                  </w:pPr>
                  <w:r>
                    <w:t>环境质量</w:t>
                  </w:r>
                </w:p>
                <w:p>
                  <w:pPr>
                    <w:jc w:val="center"/>
                  </w:pPr>
                  <w:r>
                    <w:t>底线</w:t>
                  </w:r>
                </w:p>
              </w:tc>
              <w:tc>
                <w:tcPr>
                  <w:tcW w:w="1888" w:type="pct"/>
                  <w:noWrap w:val="0"/>
                  <w:vAlign w:val="center"/>
                </w:tcPr>
                <w:p>
                  <w:pPr>
                    <w:jc w:val="center"/>
                  </w:pPr>
                  <w:r>
                    <w:t>环境</w:t>
                  </w:r>
                  <w:r>
                    <w:rPr>
                      <w:rFonts w:hint="eastAsia"/>
                    </w:rPr>
                    <w:t>质量</w:t>
                  </w:r>
                  <w:r>
                    <w:t>底线是国家和地方设置的大气、水和土壤环境质量目标，也是改善环墳质量的基准线。项目环评应对照区域环境质量目标，深入分析预测项目建设对环境质里的影响，强化污染防治措施和污染物排放控制要求。</w:t>
                  </w:r>
                </w:p>
              </w:tc>
              <w:tc>
                <w:tcPr>
                  <w:tcW w:w="1792" w:type="pct"/>
                  <w:noWrap w:val="0"/>
                  <w:vAlign w:val="center"/>
                </w:tcPr>
                <w:p>
                  <w:pPr>
                    <w:jc w:val="center"/>
                  </w:pPr>
                  <w:r>
                    <w:t>根据</w:t>
                  </w:r>
                  <w:r>
                    <w:rPr>
                      <w:rFonts w:hint="eastAsia"/>
                      <w:sz w:val="24"/>
                    </w:rPr>
                    <w:t>《达州市2022年环境空气质量状况》</w:t>
                  </w:r>
                  <w:r>
                    <w:t>，项目所在区域</w:t>
                  </w:r>
                  <w:r>
                    <w:rPr>
                      <w:rFonts w:hint="eastAsia"/>
                    </w:rPr>
                    <w:t>环境空气</w:t>
                  </w:r>
                  <w:r>
                    <w:t>基本因子未超过标准限值要求，</w:t>
                  </w:r>
                  <w:r>
                    <w:rPr>
                      <w:rFonts w:hint="eastAsia"/>
                    </w:rPr>
                    <w:t>项目所在区域属于达标区；区域</w:t>
                  </w:r>
                  <w:r>
                    <w:t>地表水环境、地下水环境、</w:t>
                  </w:r>
                  <w:r>
                    <w:rPr>
                      <w:rFonts w:hint="eastAsia"/>
                    </w:rPr>
                    <w:t>土壤环境</w:t>
                  </w:r>
                  <w:r>
                    <w:t>质量良好，未超出环境质量底线；经分析项目的实施不会改变区域环境功能现状，不会影响区域环境质量目标的实现</w:t>
                  </w:r>
                  <w:r>
                    <w:rPr>
                      <w:rFonts w:hint="eastAsia"/>
                    </w:rPr>
                    <w:t>。</w:t>
                  </w:r>
                </w:p>
              </w:tc>
              <w:tc>
                <w:tcPr>
                  <w:tcW w:w="437" w:type="pct"/>
                  <w:noWrap w:val="0"/>
                  <w:vAlign w:val="center"/>
                </w:tcPr>
                <w:p>
                  <w:pPr>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noWrap w:val="0"/>
                  <w:vAlign w:val="center"/>
                </w:tcPr>
                <w:p>
                  <w:pPr>
                    <w:jc w:val="center"/>
                  </w:pPr>
                  <w:r>
                    <w:t>资源利用</w:t>
                  </w:r>
                </w:p>
                <w:p>
                  <w:pPr>
                    <w:jc w:val="center"/>
                  </w:pPr>
                  <w:r>
                    <w:t>上线</w:t>
                  </w:r>
                </w:p>
              </w:tc>
              <w:tc>
                <w:tcPr>
                  <w:tcW w:w="1888" w:type="pct"/>
                  <w:noWrap w:val="0"/>
                  <w:vAlign w:val="center"/>
                </w:tcPr>
                <w:p>
                  <w:pPr>
                    <w:jc w:val="center"/>
                  </w:pPr>
                  <w: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792" w:type="pct"/>
                  <w:noWrap w:val="0"/>
                  <w:vAlign w:val="center"/>
                </w:tcPr>
                <w:p>
                  <w:pPr>
                    <w:jc w:val="center"/>
                  </w:pPr>
                  <w:r>
                    <w:t>本项目</w:t>
                  </w:r>
                  <w:r>
                    <w:rPr>
                      <w:rFonts w:hint="eastAsia"/>
                    </w:rPr>
                    <w:t>属于加油加气站项目，项目用地属于规划的加油加气站用地；项目</w:t>
                  </w:r>
                  <w:r>
                    <w:t>运营期</w:t>
                  </w:r>
                  <w:r>
                    <w:rPr>
                      <w:rFonts w:hint="eastAsia"/>
                    </w:rPr>
                    <w:t>主要消耗能源为电能，</w:t>
                  </w:r>
                  <w:r>
                    <w:t>根据分析，区域的</w:t>
                  </w:r>
                  <w:bookmarkStart w:id="22" w:name="_GoBack"/>
                  <w:r>
                    <w:rPr>
                      <w:rFonts w:hint="eastAsia"/>
                    </w:rPr>
                    <w:t>电力资源</w:t>
                  </w:r>
                  <w:bookmarkEnd w:id="22"/>
                  <w:r>
                    <w:t>能满足本项目的要求。不会突破资源利用上线</w:t>
                  </w:r>
                  <w:r>
                    <w:rPr>
                      <w:rFonts w:hint="eastAsia"/>
                    </w:rPr>
                    <w:t>。</w:t>
                  </w:r>
                </w:p>
              </w:tc>
              <w:tc>
                <w:tcPr>
                  <w:tcW w:w="437" w:type="pct"/>
                  <w:noWrap w:val="0"/>
                  <w:vAlign w:val="center"/>
                </w:tcPr>
                <w:p>
                  <w:pPr>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883" w:type="pct"/>
                  <w:noWrap w:val="0"/>
                  <w:vAlign w:val="center"/>
                </w:tcPr>
                <w:p>
                  <w:pPr>
                    <w:jc w:val="center"/>
                  </w:pPr>
                  <w:r>
                    <w:t>生态环境准入清单</w:t>
                  </w:r>
                </w:p>
              </w:tc>
              <w:tc>
                <w:tcPr>
                  <w:tcW w:w="1888" w:type="pct"/>
                  <w:noWrap w:val="0"/>
                  <w:vAlign w:val="center"/>
                </w:tcPr>
                <w:p>
                  <w:pPr>
                    <w:jc w:val="center"/>
                  </w:pPr>
                  <w: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792" w:type="pct"/>
                  <w:noWrap w:val="0"/>
                  <w:vAlign w:val="center"/>
                </w:tcPr>
                <w:p>
                  <w:pPr>
                    <w:jc w:val="center"/>
                  </w:pPr>
                  <w:r>
                    <w:t>经查阅《四川省重点生态功能区产业准入负面清单（第一批）（试行）》（2017年）、《四川省重点生态功能区产业准入负面清单（第二批）（试行）》（2018年）、《四川省、重庆市长江经济带发展负面清单实施细则</w:t>
                  </w:r>
                  <w:r>
                    <w:rPr>
                      <w:rFonts w:hint="eastAsia"/>
                    </w:rPr>
                    <w:t>（</w:t>
                  </w:r>
                  <w:r>
                    <w:t>试行，2022年版</w:t>
                  </w:r>
                  <w:r>
                    <w:rPr>
                      <w:rFonts w:hint="eastAsia"/>
                    </w:rPr>
                    <w:t>）</w:t>
                  </w:r>
                  <w:r>
                    <w:t>》，本项目未被列入生态环境准入负面清单内</w:t>
                  </w:r>
                  <w:r>
                    <w:rPr>
                      <w:rFonts w:hint="eastAsia"/>
                    </w:rPr>
                    <w:t>。</w:t>
                  </w:r>
                </w:p>
              </w:tc>
              <w:tc>
                <w:tcPr>
                  <w:tcW w:w="437" w:type="pct"/>
                  <w:noWrap w:val="0"/>
                  <w:vAlign w:val="center"/>
                </w:tcPr>
                <w:p>
                  <w:pPr>
                    <w:jc w:val="center"/>
                  </w:pPr>
                  <w:r>
                    <w:t>符合</w:t>
                  </w:r>
                </w:p>
              </w:tc>
            </w:tr>
          </w:tbl>
          <w:p>
            <w:pPr>
              <w:pStyle w:val="23"/>
              <w:spacing w:after="0" w:line="360" w:lineRule="auto"/>
              <w:ind w:firstLine="482" w:firstLineChars="200"/>
              <w:rPr>
                <w:b/>
                <w:bCs/>
                <w:spacing w:val="0"/>
                <w:kern w:val="2"/>
                <w:sz w:val="24"/>
                <w:szCs w:val="21"/>
              </w:rPr>
            </w:pPr>
            <w:r>
              <w:rPr>
                <w:rFonts w:hint="eastAsia" w:ascii="宋体" w:hAnsi="宋体" w:cs="宋体"/>
                <w:b/>
                <w:bCs/>
                <w:spacing w:val="0"/>
                <w:kern w:val="2"/>
                <w:sz w:val="24"/>
                <w:szCs w:val="21"/>
              </w:rPr>
              <w:t>②</w:t>
            </w:r>
            <w:r>
              <w:rPr>
                <w:b/>
                <w:bCs/>
                <w:spacing w:val="0"/>
                <w:kern w:val="2"/>
                <w:sz w:val="24"/>
                <w:szCs w:val="21"/>
              </w:rPr>
              <w:t>与《四川省人民政府关于印发四川省生态保护红线方案的通知》（川府发〔20</w:t>
            </w:r>
            <w:r>
              <w:rPr>
                <w:rFonts w:hint="eastAsia"/>
                <w:b/>
                <w:bCs/>
                <w:spacing w:val="0"/>
                <w:kern w:val="2"/>
                <w:sz w:val="24"/>
                <w:szCs w:val="21"/>
              </w:rPr>
              <w:t>18</w:t>
            </w:r>
            <w:r>
              <w:rPr>
                <w:b/>
                <w:bCs/>
                <w:spacing w:val="0"/>
                <w:kern w:val="2"/>
                <w:sz w:val="24"/>
                <w:szCs w:val="21"/>
              </w:rPr>
              <w:t>〕24号）符给性分析</w:t>
            </w:r>
          </w:p>
          <w:p>
            <w:pPr>
              <w:pStyle w:val="23"/>
              <w:spacing w:after="0" w:line="360" w:lineRule="auto"/>
              <w:ind w:firstLine="480" w:firstLineChars="200"/>
              <w:rPr>
                <w:spacing w:val="0"/>
                <w:kern w:val="2"/>
                <w:sz w:val="24"/>
                <w:szCs w:val="21"/>
              </w:rPr>
            </w:pPr>
            <w:r>
              <w:rPr>
                <w:spacing w:val="0"/>
                <w:kern w:val="2"/>
                <w:sz w:val="24"/>
                <w:szCs w:val="21"/>
              </w:rPr>
              <w:t>根据《四川省人民政府关于印发四川省生态保护红线方案的通知》（川府发〔20</w:t>
            </w:r>
            <w:r>
              <w:rPr>
                <w:rFonts w:hint="eastAsia"/>
                <w:spacing w:val="0"/>
                <w:kern w:val="2"/>
                <w:sz w:val="24"/>
                <w:szCs w:val="21"/>
              </w:rPr>
              <w:t>18</w:t>
            </w:r>
            <w:r>
              <w:rPr>
                <w:spacing w:val="0"/>
                <w:kern w:val="2"/>
                <w:sz w:val="24"/>
                <w:szCs w:val="21"/>
              </w:rPr>
              <w:t>〕24号），明确了省内生态保护红线总面积14.80万平方公里，分为4个重点区域和13个</w:t>
            </w:r>
            <w:r>
              <w:rPr>
                <w:rFonts w:hint="eastAsia"/>
                <w:spacing w:val="0"/>
                <w:kern w:val="2"/>
                <w:sz w:val="24"/>
                <w:szCs w:val="21"/>
              </w:rPr>
              <w:t>生态保护红线类型</w:t>
            </w:r>
            <w:r>
              <w:rPr>
                <w:spacing w:val="0"/>
                <w:kern w:val="2"/>
                <w:sz w:val="24"/>
                <w:szCs w:val="21"/>
              </w:rPr>
              <w:t>。4个重点区域分别为：若尔盖草原湿地生态功能区、川滇森林及生物多样性生态功能区、秦巴生物多样性生态功能区、大小凉山水土保持及生物多样性生态功能区。13个</w:t>
            </w:r>
            <w:r>
              <w:rPr>
                <w:rFonts w:hint="eastAsia"/>
                <w:spacing w:val="0"/>
                <w:kern w:val="2"/>
                <w:sz w:val="24"/>
                <w:szCs w:val="21"/>
              </w:rPr>
              <w:t>生态保护红线类型</w:t>
            </w:r>
            <w:r>
              <w:rPr>
                <w:spacing w:val="0"/>
                <w:kern w:val="2"/>
                <w:sz w:val="24"/>
                <w:szCs w:val="21"/>
              </w:rPr>
              <w:t>分别为：雅砻江源水源涵养生态保护红线、大渡河源水源涵养生态保护红线、若尔盖湿地水源涵养生物多样性维护生态保护红线、沙鲁里山生物多样性维护生态保护红线、大雪山生物多样性维护水土保持生态保护红线、岷山生物多样性维护水源涵养生态保护红线、邛崃山生物多样性维护生态保护红线、凉山-相岭生物多样性维护-水士保持生态保护红线、锦屏山水源涵养水土保持生态保护红线、金沙江下游干热河谷水土流失敏感生态保护红线、大巴山生物多样性维护-水源涵养生态保护红线、川东南石漠化敏感生态保护红线和盆中城市饮用水源水土保持生态保护红线。</w:t>
            </w:r>
          </w:p>
          <w:p>
            <w:pPr>
              <w:pStyle w:val="23"/>
              <w:spacing w:after="0" w:line="360" w:lineRule="auto"/>
              <w:ind w:firstLine="0" w:firstLineChars="0"/>
              <w:jc w:val="center"/>
              <w:rPr>
                <w:sz w:val="24"/>
              </w:rPr>
            </w:pPr>
            <w:r>
              <mc:AlternateContent>
                <mc:Choice Requires="wps">
                  <w:drawing>
                    <wp:anchor distT="0" distB="0" distL="114300" distR="114300" simplePos="0" relativeHeight="251661312" behindDoc="0" locked="0" layoutInCell="1" allowOverlap="1">
                      <wp:simplePos x="0" y="0"/>
                      <wp:positionH relativeFrom="column">
                        <wp:posOffset>3266440</wp:posOffset>
                      </wp:positionH>
                      <wp:positionV relativeFrom="paragraph">
                        <wp:posOffset>1662430</wp:posOffset>
                      </wp:positionV>
                      <wp:extent cx="822325" cy="251460"/>
                      <wp:effectExtent l="4445" t="635635" r="11430" b="8255"/>
                      <wp:wrapNone/>
                      <wp:docPr id="3" name="自选图形 118"/>
                      <wp:cNvGraphicFramePr/>
                      <a:graphic xmlns:a="http://schemas.openxmlformats.org/drawingml/2006/main">
                        <a:graphicData uri="http://schemas.microsoft.com/office/word/2010/wordprocessingShape">
                          <wps:wsp>
                            <wps:cNvSpPr/>
                            <wps:spPr>
                              <a:xfrm>
                                <a:off x="0" y="0"/>
                                <a:ext cx="822325" cy="251460"/>
                              </a:xfrm>
                              <a:prstGeom prst="wedgeRoundRectCallout">
                                <a:avLst>
                                  <a:gd name="adj1" fmla="val 31481"/>
                                  <a:gd name="adj2" fmla="val -291287"/>
                                  <a:gd name="adj3" fmla="val 16667"/>
                                </a:avLst>
                              </a:prstGeom>
                              <a:noFill/>
                              <a:ln w="9525" cap="flat" cmpd="sng">
                                <a:solidFill>
                                  <a:srgbClr val="000000"/>
                                </a:solidFill>
                                <a:prstDash val="solid"/>
                                <a:miter/>
                                <a:headEnd type="none" w="med" len="med"/>
                                <a:tailEnd type="none" w="med" len="med"/>
                              </a:ln>
                            </wps:spPr>
                            <wps:txbx>
                              <w:txbxContent>
                                <w:p>
                                  <w:pPr>
                                    <w:rPr>
                                      <w:sz w:val="15"/>
                                      <w:szCs w:val="15"/>
                                    </w:rPr>
                                  </w:pPr>
                                  <w:r>
                                    <w:rPr>
                                      <w:rFonts w:hint="eastAsia"/>
                                      <w:b/>
                                      <w:bCs/>
                                      <w:color w:val="000000"/>
                                      <w:sz w:val="15"/>
                                      <w:szCs w:val="15"/>
                                    </w:rPr>
                                    <w:t>本项目所在地</w:t>
                                  </w:r>
                                </w:p>
                              </w:txbxContent>
                            </wps:txbx>
                            <wps:bodyPr wrap="square" upright="1"/>
                          </wps:wsp>
                        </a:graphicData>
                      </a:graphic>
                    </wp:anchor>
                  </w:drawing>
                </mc:Choice>
                <mc:Fallback>
                  <w:pict>
                    <v:shape id="自选图形 118" o:spid="_x0000_s1026" o:spt="62" type="#_x0000_t62" style="position:absolute;left:0pt;margin-left:257.2pt;margin-top:130.9pt;height:19.8pt;width:64.75pt;z-index:251661312;mso-width-relative:page;mso-height-relative:page;" filled="f" stroked="t" coordsize="21600,21600" o:gfxdata="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9D0P2wAAAAsBAAAP&#10;AAAAAAAAAAEAIAAAACIAAABkcnMvZG93bnJldi54bWxQSwECFAAUAAAACACHTuJAyXFU104CAACd&#10;BAAADgAAAAAAAAABACAAAAAqAQAAZHJzL2Uyb0RvYy54bWxQSwUGAAAAAAYABgBZAQAA6gUAAAAA&#10;" adj="17600,-52118,14400">
                      <v:fill on="f" focussize="0,0"/>
                      <v:stroke color="#000000" joinstyle="miter"/>
                      <v:imagedata o:title=""/>
                      <o:lock v:ext="edit" aspectratio="f"/>
                      <v:textbox>
                        <w:txbxContent>
                          <w:p>
                            <w:pPr>
                              <w:rPr>
                                <w:sz w:val="15"/>
                                <w:szCs w:val="15"/>
                              </w:rPr>
                            </w:pPr>
                            <w:r>
                              <w:rPr>
                                <w:rFonts w:hint="eastAsia"/>
                                <w:b/>
                                <w:bCs/>
                                <w:color w:val="000000"/>
                                <w:sz w:val="15"/>
                                <w:szCs w:val="15"/>
                              </w:rPr>
                              <w:t>本项目所在地</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3914140</wp:posOffset>
                      </wp:positionH>
                      <wp:positionV relativeFrom="paragraph">
                        <wp:posOffset>1022350</wp:posOffset>
                      </wp:positionV>
                      <wp:extent cx="45085" cy="45085"/>
                      <wp:effectExtent l="13970" t="15875" r="17145" b="15240"/>
                      <wp:wrapNone/>
                      <wp:docPr id="6" name="自选图形 200"/>
                      <wp:cNvGraphicFramePr/>
                      <a:graphic xmlns:a="http://schemas.openxmlformats.org/drawingml/2006/main">
                        <a:graphicData uri="http://schemas.microsoft.com/office/word/2010/wordprocessingShape">
                          <wps:wsp>
                            <wps:cNvSpPr/>
                            <wps:spPr>
                              <a:xfrm>
                                <a:off x="0" y="0"/>
                                <a:ext cx="45085" cy="45085"/>
                              </a:xfrm>
                              <a:prstGeom prst="star5">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200" o:spid="_x0000_s1026" style="position:absolute;left:0pt;margin-left:308.2pt;margin-top:80.5pt;height:3.55pt;width:3.55pt;z-index:251664384;mso-width-relative:page;mso-height-relative:page;" fillcolor="#FF0000" filled="t" stroked="t" coordsize="45085,45085" o:gfxdata="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nXpt9kAAAALAQAADwAAAAAAAAABACAAAAAi&#10;AAAAZHJzL2Rvd25yZXYueG1sUEsBAhQAFAAAAAgAh07iQOQFZJgJAgAAMgQAAA4AAAAAAAAAAQAg&#10;AAAAKAEAAGRycy9lMm9Eb2MueG1sUEsFBgAAAAAGAAYAWQEAAKMFAAAAAA==&#10;" path="m0,17220l17221,17221,22542,0,27863,17221,45084,17220,31152,27863,36474,45084,22542,34441,8610,45084,13932,27863xe">
                      <v:path o:connectlocs="22542,0;0,17220;8610,45084;36474,45084;45084,17220" o:connectangles="247,164,82,82,0"/>
                      <v:fill on="t" focussize="0,0"/>
                      <v:stroke color="#FF0000" joinstyle="miter"/>
                      <v:imagedata o:title=""/>
                      <o:lock v:ext="edit" aspectratio="f"/>
                    </v:shape>
                  </w:pict>
                </mc:Fallback>
              </mc:AlternateContent>
            </w:r>
            <w:r>
              <w:rPr>
                <w:rFonts w:eastAsia="方正小标宋简体"/>
                <w:sz w:val="32"/>
                <w:szCs w:val="32"/>
              </w:rPr>
              <w:drawing>
                <wp:inline distT="0" distB="0" distL="114300" distR="114300">
                  <wp:extent cx="4611370" cy="2787015"/>
                  <wp:effectExtent l="0" t="0" r="17780" b="13335"/>
                  <wp:docPr id="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pic:cNvPicPr>
                            <a:picLocks noChangeAspect="1"/>
                          </pic:cNvPicPr>
                        </pic:nvPicPr>
                        <pic:blipFill>
                          <a:blip r:embed="rId9"/>
                          <a:srcRect t="3902"/>
                          <a:stretch>
                            <a:fillRect/>
                          </a:stretch>
                        </pic:blipFill>
                        <pic:spPr>
                          <a:xfrm>
                            <a:off x="0" y="0"/>
                            <a:ext cx="4611370" cy="2787015"/>
                          </a:xfrm>
                          <a:prstGeom prst="rect">
                            <a:avLst/>
                          </a:prstGeom>
                          <a:noFill/>
                          <a:ln>
                            <a:noFill/>
                          </a:ln>
                        </pic:spPr>
                      </pic:pic>
                    </a:graphicData>
                  </a:graphic>
                </wp:inline>
              </w:drawing>
            </w:r>
          </w:p>
          <w:p>
            <w:pPr>
              <w:pStyle w:val="69"/>
              <w:ind w:firstLine="398"/>
              <w:jc w:val="center"/>
              <w:rPr>
                <w:b/>
                <w:bCs/>
                <w:kern w:val="2"/>
                <w:sz w:val="21"/>
                <w:szCs w:val="21"/>
              </w:rPr>
            </w:pPr>
            <w:r>
              <w:rPr>
                <w:rFonts w:hint="eastAsia"/>
                <w:b/>
                <w:bCs/>
                <w:kern w:val="2"/>
                <w:sz w:val="21"/>
                <w:szCs w:val="21"/>
              </w:rPr>
              <w:t xml:space="preserve">图1-1 </w:t>
            </w:r>
            <w:r>
              <w:rPr>
                <w:b/>
                <w:bCs/>
                <w:kern w:val="2"/>
                <w:sz w:val="21"/>
                <w:szCs w:val="21"/>
              </w:rPr>
              <w:t>项目与</w:t>
            </w:r>
            <w:r>
              <w:rPr>
                <w:rFonts w:hint="eastAsia"/>
                <w:b/>
                <w:bCs/>
                <w:kern w:val="2"/>
                <w:sz w:val="21"/>
                <w:szCs w:val="21"/>
              </w:rPr>
              <w:t>四川省生态红线</w:t>
            </w:r>
            <w:r>
              <w:rPr>
                <w:b/>
                <w:bCs/>
                <w:kern w:val="2"/>
                <w:sz w:val="21"/>
                <w:szCs w:val="21"/>
              </w:rPr>
              <w:t>关系图</w:t>
            </w:r>
          </w:p>
          <w:p>
            <w:pPr>
              <w:pStyle w:val="23"/>
              <w:spacing w:after="0" w:line="360" w:lineRule="auto"/>
              <w:ind w:firstLine="456" w:firstLineChars="200"/>
              <w:rPr>
                <w:sz w:val="24"/>
              </w:rPr>
            </w:pPr>
            <w:r>
              <w:rPr>
                <w:sz w:val="24"/>
              </w:rPr>
              <w:t>本项目位于</w:t>
            </w:r>
            <w:r>
              <w:rPr>
                <w:rFonts w:hint="eastAsia"/>
                <w:sz w:val="24"/>
              </w:rPr>
              <w:t>四川省达州市通川区</w:t>
            </w:r>
            <w:r>
              <w:rPr>
                <w:sz w:val="24"/>
              </w:rPr>
              <w:t>，项目用地不涉及上述四川省生态保护红线。</w:t>
            </w:r>
          </w:p>
          <w:p>
            <w:pPr>
              <w:pStyle w:val="23"/>
              <w:spacing w:after="0" w:line="360" w:lineRule="auto"/>
              <w:ind w:firstLine="458" w:firstLineChars="200"/>
              <w:rPr>
                <w:rFonts w:hint="eastAsia"/>
                <w:b/>
                <w:bCs/>
                <w:sz w:val="24"/>
              </w:rPr>
            </w:pPr>
            <w:r>
              <w:rPr>
                <w:rFonts w:hint="eastAsia"/>
                <w:b/>
                <w:bCs/>
                <w:sz w:val="24"/>
              </w:rPr>
              <w:t>③与四川省人民政府《关于落实生态保护红线、环境质量底线、资源利用上线制定生态环境准入清单实施生态环境分区管控的通知》（川府发</w:t>
            </w:r>
            <w:r>
              <w:rPr>
                <w:b/>
                <w:bCs/>
                <w:spacing w:val="0"/>
                <w:kern w:val="2"/>
                <w:sz w:val="24"/>
                <w:szCs w:val="21"/>
              </w:rPr>
              <w:t>〔20</w:t>
            </w:r>
            <w:r>
              <w:rPr>
                <w:rFonts w:hint="eastAsia"/>
                <w:b/>
                <w:bCs/>
                <w:spacing w:val="0"/>
                <w:kern w:val="2"/>
                <w:sz w:val="24"/>
                <w:szCs w:val="21"/>
              </w:rPr>
              <w:t>20</w:t>
            </w:r>
            <w:r>
              <w:rPr>
                <w:b/>
                <w:bCs/>
                <w:spacing w:val="0"/>
                <w:kern w:val="2"/>
                <w:sz w:val="24"/>
                <w:szCs w:val="21"/>
              </w:rPr>
              <w:t>〕</w:t>
            </w:r>
            <w:r>
              <w:rPr>
                <w:rFonts w:hint="eastAsia"/>
                <w:b/>
                <w:bCs/>
                <w:sz w:val="24"/>
              </w:rPr>
              <w:t>9号）符合性分析</w:t>
            </w:r>
          </w:p>
          <w:p>
            <w:pPr>
              <w:pStyle w:val="23"/>
              <w:spacing w:after="0" w:line="360" w:lineRule="auto"/>
              <w:ind w:firstLine="480" w:firstLineChars="200"/>
              <w:rPr>
                <w:rFonts w:hint="eastAsia"/>
                <w:spacing w:val="0"/>
                <w:kern w:val="2"/>
                <w:sz w:val="24"/>
                <w:szCs w:val="21"/>
              </w:rPr>
            </w:pPr>
            <w:r>
              <w:rPr>
                <w:rFonts w:hint="eastAsia"/>
                <w:spacing w:val="0"/>
                <w:kern w:val="2"/>
                <w:sz w:val="24"/>
                <w:szCs w:val="21"/>
              </w:rPr>
              <w:t>根据四川省人民政府《关于落实生态保护红线、环境质量底线、资源利用上线制定生态环境准入清单实施生态环境分区管控的通知》（川府发</w:t>
            </w:r>
            <w:r>
              <w:rPr>
                <w:spacing w:val="0"/>
                <w:kern w:val="2"/>
                <w:sz w:val="24"/>
                <w:szCs w:val="21"/>
              </w:rPr>
              <w:t>〔20</w:t>
            </w:r>
            <w:r>
              <w:rPr>
                <w:rFonts w:hint="eastAsia"/>
                <w:spacing w:val="0"/>
                <w:kern w:val="2"/>
                <w:sz w:val="24"/>
                <w:szCs w:val="21"/>
              </w:rPr>
              <w:t>20</w:t>
            </w:r>
            <w:r>
              <w:rPr>
                <w:spacing w:val="0"/>
                <w:kern w:val="2"/>
                <w:sz w:val="24"/>
                <w:szCs w:val="21"/>
              </w:rPr>
              <w:t>〕</w:t>
            </w:r>
            <w:r>
              <w:rPr>
                <w:rFonts w:hint="eastAsia"/>
                <w:spacing w:val="0"/>
                <w:kern w:val="2"/>
                <w:sz w:val="24"/>
                <w:szCs w:val="21"/>
              </w:rPr>
              <w:t>9号）：为实现生态环境精细化管理，建立国土空间全覆盖的生态环境保护制度，将全省行政区域从生态环境保护角度划分为优先保护、重点管控和一般管控三类环境管控单元，在一张图上落实生态保护、环境质量目标管理、资源利用管控要求，按照环境管控单元编制生态环境准入清单，构建生态环境区分管控体系。</w:t>
            </w:r>
          </w:p>
          <w:p>
            <w:pPr>
              <w:pStyle w:val="69"/>
              <w:ind w:firstLine="0" w:firstLineChars="0"/>
              <w:jc w:val="center"/>
              <w:rPr>
                <w:rFonts w:hint="eastAsia"/>
                <w:b/>
                <w:bCs/>
                <w:kern w:val="2"/>
                <w:szCs w:val="24"/>
              </w:rPr>
            </w:pPr>
            <w:r>
              <mc:AlternateContent>
                <mc:Choice Requires="wps">
                  <w:drawing>
                    <wp:anchor distT="0" distB="0" distL="114300" distR="114300" simplePos="0" relativeHeight="251659264" behindDoc="0" locked="0" layoutInCell="1" allowOverlap="1">
                      <wp:simplePos x="0" y="0"/>
                      <wp:positionH relativeFrom="column">
                        <wp:posOffset>2397125</wp:posOffset>
                      </wp:positionH>
                      <wp:positionV relativeFrom="paragraph">
                        <wp:posOffset>1647825</wp:posOffset>
                      </wp:positionV>
                      <wp:extent cx="1005840" cy="276225"/>
                      <wp:effectExtent l="5080" t="520700" r="17780" b="22225"/>
                      <wp:wrapNone/>
                      <wp:docPr id="1" name="自选图形 120"/>
                      <wp:cNvGraphicFramePr/>
                      <a:graphic xmlns:a="http://schemas.openxmlformats.org/drawingml/2006/main">
                        <a:graphicData uri="http://schemas.microsoft.com/office/word/2010/wordprocessingShape">
                          <wps:wsp>
                            <wps:cNvSpPr/>
                            <wps:spPr>
                              <a:xfrm>
                                <a:off x="0" y="0"/>
                                <a:ext cx="1005840" cy="276225"/>
                              </a:xfrm>
                              <a:prstGeom prst="wedgeRectCallout">
                                <a:avLst>
                                  <a:gd name="adj1" fmla="val 39773"/>
                                  <a:gd name="adj2" fmla="val -230921"/>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b/>
                                      <w:bCs/>
                                    </w:rPr>
                                    <w:t>本项目所在地</w:t>
                                  </w:r>
                                </w:p>
                              </w:txbxContent>
                            </wps:txbx>
                            <wps:bodyPr wrap="square" upright="1"/>
                          </wps:wsp>
                        </a:graphicData>
                      </a:graphic>
                    </wp:anchor>
                  </w:drawing>
                </mc:Choice>
                <mc:Fallback>
                  <w:pict>
                    <v:shape id="自选图形 120" o:spid="_x0000_s1026" o:spt="61" type="#_x0000_t61" style="position:absolute;left:0pt;margin-left:188.75pt;margin-top:129.75pt;height:21.75pt;width:79.2pt;z-index:251659264;mso-width-relative:page;mso-height-relative:page;" filled="f" stroked="t" coordsize="21600,21600" o:gfxdata="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yGeR2wAAAAsBAAAPAAAAAAAAAAEAIAAAACIA&#10;AABkcnMvZG93bnJldi54bWxQSwECFAAUAAAACACHTuJA6P3Jbj8CAAB1BAAADgAAAAAAAAABACAA&#10;AAAqAQAAZHJzL2Uyb0RvYy54bWxQSwUGAAAAAAYABgBZAQAA2wUAAAAA&#10;" adj="19391,-39079">
                      <v:fill on="f" focussize="0,0"/>
                      <v:stroke color="#000000" joinstyle="miter"/>
                      <v:imagedata o:title=""/>
                      <o:lock v:ext="edit" aspectratio="f"/>
                      <v:textbox>
                        <w:txbxContent>
                          <w:p>
                            <w:pPr>
                              <w:rPr>
                                <w:rFonts w:hint="eastAsia"/>
                              </w:rPr>
                            </w:pPr>
                            <w:r>
                              <w:rPr>
                                <w:rFonts w:hint="eastAsia"/>
                                <w:b/>
                                <w:bCs/>
                              </w:rPr>
                              <w:t>本项目所在地</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3273425</wp:posOffset>
                      </wp:positionH>
                      <wp:positionV relativeFrom="paragraph">
                        <wp:posOffset>1127125</wp:posOffset>
                      </wp:positionV>
                      <wp:extent cx="45085" cy="45085"/>
                      <wp:effectExtent l="13970" t="15875" r="17145" b="15240"/>
                      <wp:wrapNone/>
                      <wp:docPr id="7" name="自选图形 203"/>
                      <wp:cNvGraphicFramePr/>
                      <a:graphic xmlns:a="http://schemas.openxmlformats.org/drawingml/2006/main">
                        <a:graphicData uri="http://schemas.microsoft.com/office/word/2010/wordprocessingShape">
                          <wps:wsp>
                            <wps:cNvSpPr/>
                            <wps:spPr>
                              <a:xfrm>
                                <a:off x="0" y="0"/>
                                <a:ext cx="45085" cy="45085"/>
                              </a:xfrm>
                              <a:prstGeom prst="star5">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203" o:spid="_x0000_s1026" style="position:absolute;left:0pt;margin-left:257.75pt;margin-top:88.75pt;height:3.55pt;width:3.55pt;z-index:251665408;mso-width-relative:page;mso-height-relative:page;" fillcolor="#FF0000" filled="t" stroked="t" coordsize="45085,45085" o:gfxdata="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k/462gAAAAsBAAAPAAAAAAAAAAEAIAAA&#10;ACIAAABkcnMvZG93bnJldi54bWxQSwECFAAUAAAACACHTuJA1FmOhgoCAAAyBAAADgAAAAAAAAAB&#10;ACAAAAApAQAAZHJzL2Uyb0RvYy54bWxQSwUGAAAAAAYABgBZAQAApQUAAAAA&#10;" path="m0,17220l17221,17221,22542,0,27863,17221,45084,17220,31152,27863,36474,45084,22542,34441,8610,45084,13932,27863xe">
                      <v:path o:connectlocs="22542,0;0,17220;8610,45084;36474,45084;45084,17220" o:connectangles="247,164,82,82,0"/>
                      <v:fill on="t" focussize="0,0"/>
                      <v:stroke color="#FF0000" joinstyle="miter"/>
                      <v:imagedata o:title=""/>
                      <o:lock v:ext="edit" aspectratio="f"/>
                    </v:shape>
                  </w:pict>
                </mc:Fallback>
              </mc:AlternateContent>
            </w:r>
            <w:r>
              <w:drawing>
                <wp:inline distT="0" distB="0" distL="114300" distR="114300">
                  <wp:extent cx="4611370" cy="3042920"/>
                  <wp:effectExtent l="0" t="0" r="17780" b="508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10"/>
                          <a:stretch>
                            <a:fillRect/>
                          </a:stretch>
                        </pic:blipFill>
                        <pic:spPr>
                          <a:xfrm>
                            <a:off x="0" y="0"/>
                            <a:ext cx="4611370" cy="3042920"/>
                          </a:xfrm>
                          <a:prstGeom prst="rect">
                            <a:avLst/>
                          </a:prstGeom>
                          <a:noFill/>
                          <a:ln>
                            <a:noFill/>
                          </a:ln>
                        </pic:spPr>
                      </pic:pic>
                    </a:graphicData>
                  </a:graphic>
                </wp:inline>
              </w:drawing>
            </w:r>
          </w:p>
          <w:p>
            <w:pPr>
              <w:pStyle w:val="69"/>
              <w:ind w:firstLine="398"/>
              <w:jc w:val="center"/>
              <w:rPr>
                <w:b/>
                <w:bCs/>
                <w:kern w:val="2"/>
                <w:sz w:val="21"/>
                <w:szCs w:val="21"/>
              </w:rPr>
            </w:pPr>
            <w:r>
              <w:rPr>
                <w:rFonts w:hint="eastAsia"/>
                <w:b/>
                <w:bCs/>
                <w:kern w:val="2"/>
                <w:sz w:val="21"/>
                <w:szCs w:val="21"/>
              </w:rPr>
              <w:t>图1-2   项目与四川省环境管控单元关系图</w:t>
            </w:r>
          </w:p>
          <w:p>
            <w:pPr>
              <w:pStyle w:val="23"/>
              <w:spacing w:after="0" w:line="360" w:lineRule="auto"/>
              <w:ind w:firstLine="480" w:firstLineChars="200"/>
              <w:rPr>
                <w:rFonts w:hint="eastAsia"/>
                <w:spacing w:val="0"/>
                <w:kern w:val="2"/>
                <w:sz w:val="24"/>
                <w:szCs w:val="21"/>
              </w:rPr>
            </w:pPr>
            <w:r>
              <w:rPr>
                <w:rFonts w:hint="eastAsia"/>
                <w:spacing w:val="0"/>
                <w:kern w:val="2"/>
                <w:sz w:val="24"/>
                <w:szCs w:val="21"/>
              </w:rPr>
              <w:t>根据川府发</w:t>
            </w:r>
            <w:r>
              <w:rPr>
                <w:spacing w:val="0"/>
                <w:kern w:val="2"/>
                <w:sz w:val="24"/>
                <w:szCs w:val="21"/>
              </w:rPr>
              <w:t>〔20</w:t>
            </w:r>
            <w:r>
              <w:rPr>
                <w:rFonts w:hint="eastAsia"/>
                <w:spacing w:val="0"/>
                <w:kern w:val="2"/>
                <w:sz w:val="24"/>
                <w:szCs w:val="21"/>
              </w:rPr>
              <w:t>20</w:t>
            </w:r>
            <w:r>
              <w:rPr>
                <w:spacing w:val="0"/>
                <w:kern w:val="2"/>
                <w:sz w:val="24"/>
                <w:szCs w:val="21"/>
              </w:rPr>
              <w:t>〕</w:t>
            </w:r>
            <w:r>
              <w:rPr>
                <w:rFonts w:hint="eastAsia"/>
                <w:spacing w:val="0"/>
                <w:kern w:val="2"/>
                <w:sz w:val="24"/>
                <w:szCs w:val="21"/>
              </w:rPr>
              <w:t>9号文，本项目与四川省总体生态环境管控要求符合性分析见下表：</w:t>
            </w:r>
          </w:p>
          <w:p>
            <w:pPr>
              <w:pStyle w:val="69"/>
              <w:ind w:firstLine="398"/>
              <w:jc w:val="center"/>
              <w:rPr>
                <w:b/>
                <w:bCs/>
                <w:kern w:val="2"/>
                <w:sz w:val="21"/>
                <w:szCs w:val="21"/>
              </w:rPr>
            </w:pPr>
            <w:r>
              <w:rPr>
                <w:b/>
                <w:bCs/>
                <w:kern w:val="2"/>
                <w:sz w:val="21"/>
                <w:szCs w:val="21"/>
              </w:rPr>
              <w:t>表1-</w:t>
            </w:r>
            <w:r>
              <w:rPr>
                <w:rFonts w:hint="eastAsia"/>
                <w:b/>
                <w:bCs/>
                <w:kern w:val="2"/>
                <w:sz w:val="21"/>
                <w:szCs w:val="21"/>
              </w:rPr>
              <w:t xml:space="preserve">3  </w:t>
            </w:r>
            <w:r>
              <w:rPr>
                <w:b/>
                <w:bCs/>
                <w:kern w:val="2"/>
                <w:sz w:val="21"/>
                <w:szCs w:val="21"/>
              </w:rPr>
              <w:t>全省总体生态环境管控要求符合性分析表</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426"/>
              <w:gridCol w:w="2530"/>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0" w:type="pct"/>
                  <w:noWrap w:val="0"/>
                  <w:vAlign w:val="center"/>
                </w:tcPr>
                <w:p>
                  <w:pPr>
                    <w:jc w:val="center"/>
                    <w:rPr>
                      <w:b/>
                      <w:bCs/>
                      <w:szCs w:val="21"/>
                    </w:rPr>
                  </w:pPr>
                  <w:r>
                    <w:rPr>
                      <w:b/>
                      <w:bCs/>
                      <w:szCs w:val="21"/>
                    </w:rPr>
                    <w:t>区域</w:t>
                  </w:r>
                </w:p>
              </w:tc>
              <w:tc>
                <w:tcPr>
                  <w:tcW w:w="2243" w:type="pct"/>
                  <w:noWrap w:val="0"/>
                  <w:vAlign w:val="center"/>
                </w:tcPr>
                <w:p>
                  <w:pPr>
                    <w:jc w:val="center"/>
                    <w:rPr>
                      <w:b/>
                      <w:bCs/>
                      <w:szCs w:val="21"/>
                    </w:rPr>
                  </w:pPr>
                  <w:r>
                    <w:rPr>
                      <w:b/>
                      <w:bCs/>
                      <w:szCs w:val="21"/>
                    </w:rPr>
                    <w:t>总体生态环境管控要求</w:t>
                  </w:r>
                </w:p>
              </w:tc>
              <w:tc>
                <w:tcPr>
                  <w:tcW w:w="1656" w:type="pct"/>
                  <w:noWrap w:val="0"/>
                  <w:vAlign w:val="center"/>
                </w:tcPr>
                <w:p>
                  <w:pPr>
                    <w:jc w:val="center"/>
                    <w:rPr>
                      <w:b/>
                      <w:bCs/>
                      <w:szCs w:val="21"/>
                    </w:rPr>
                  </w:pPr>
                  <w:r>
                    <w:rPr>
                      <w:b/>
                      <w:bCs/>
                      <w:szCs w:val="21"/>
                    </w:rPr>
                    <w:t>本项目情况</w:t>
                  </w:r>
                </w:p>
              </w:tc>
              <w:tc>
                <w:tcPr>
                  <w:tcW w:w="451" w:type="pct"/>
                  <w:noWrap w:val="0"/>
                  <w:vAlign w:val="center"/>
                </w:tcPr>
                <w:p>
                  <w:pPr>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0" w:type="pct"/>
                  <w:noWrap w:val="0"/>
                  <w:vAlign w:val="center"/>
                </w:tcPr>
                <w:p>
                  <w:pPr>
                    <w:jc w:val="center"/>
                    <w:rPr>
                      <w:b/>
                      <w:bCs/>
                      <w:szCs w:val="21"/>
                    </w:rPr>
                  </w:pPr>
                  <w:r>
                    <w:rPr>
                      <w:szCs w:val="21"/>
                    </w:rPr>
                    <w:t>优先保护单元</w:t>
                  </w:r>
                </w:p>
              </w:tc>
              <w:tc>
                <w:tcPr>
                  <w:tcW w:w="2243" w:type="pct"/>
                  <w:noWrap w:val="0"/>
                  <w:vAlign w:val="center"/>
                </w:tcPr>
                <w:p>
                  <w:pPr>
                    <w:jc w:val="center"/>
                    <w:rPr>
                      <w:b/>
                      <w:bCs/>
                      <w:szCs w:val="21"/>
                    </w:rPr>
                  </w:pPr>
                  <w:r>
                    <w:rPr>
                      <w:szCs w:val="21"/>
                    </w:rPr>
                    <w:t>优先保护单元中，应以生态环境保护优先为原则，严格执行相关法律、法规要求，严守生态环境质量底线，确保生态环境功能不降低。</w:t>
                  </w:r>
                </w:p>
              </w:tc>
              <w:tc>
                <w:tcPr>
                  <w:tcW w:w="1656" w:type="pct"/>
                  <w:vMerge w:val="restart"/>
                  <w:noWrap w:val="0"/>
                  <w:vAlign w:val="center"/>
                </w:tcPr>
                <w:p>
                  <w:pPr>
                    <w:jc w:val="center"/>
                    <w:rPr>
                      <w:b/>
                      <w:bCs/>
                      <w:szCs w:val="21"/>
                    </w:rPr>
                  </w:pPr>
                  <w:r>
                    <w:rPr>
                      <w:szCs w:val="21"/>
                    </w:rPr>
                    <w:t>本项目位于</w:t>
                  </w:r>
                  <w:r>
                    <w:rPr>
                      <w:rFonts w:hint="eastAsia"/>
                      <w:szCs w:val="21"/>
                    </w:rPr>
                    <w:t>达州市通川区北外镇</w:t>
                  </w:r>
                  <w:r>
                    <w:rPr>
                      <w:szCs w:val="21"/>
                    </w:rPr>
                    <w:t>，</w:t>
                  </w:r>
                  <w:r>
                    <w:rPr>
                      <w:rFonts w:hint="eastAsia"/>
                      <w:szCs w:val="21"/>
                    </w:rPr>
                    <w:t>从四川省环境管控单元分布图可知，本项目所在区域为一般管控单元。本项目符合“三线一单”的要求，通过采取本报告提出的各项环保措施，本项目不会对环境造成明显影响</w:t>
                  </w:r>
                </w:p>
              </w:tc>
              <w:tc>
                <w:tcPr>
                  <w:tcW w:w="451" w:type="pct"/>
                  <w:vMerge w:val="restart"/>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650" w:type="pct"/>
                  <w:noWrap w:val="0"/>
                  <w:vAlign w:val="center"/>
                </w:tcPr>
                <w:p>
                  <w:pPr>
                    <w:jc w:val="center"/>
                    <w:rPr>
                      <w:b/>
                      <w:bCs/>
                      <w:szCs w:val="21"/>
                    </w:rPr>
                  </w:pPr>
                  <w:r>
                    <w:rPr>
                      <w:szCs w:val="21"/>
                    </w:rPr>
                    <w:t>重点管控单元</w:t>
                  </w:r>
                </w:p>
              </w:tc>
              <w:tc>
                <w:tcPr>
                  <w:tcW w:w="2243" w:type="pct"/>
                  <w:noWrap w:val="0"/>
                  <w:vAlign w:val="center"/>
                </w:tcPr>
                <w:p>
                  <w:pPr>
                    <w:jc w:val="left"/>
                    <w:rPr>
                      <w:b/>
                      <w:bCs/>
                      <w:szCs w:val="21"/>
                    </w:rPr>
                  </w:pPr>
                  <w:r>
                    <w:rPr>
                      <w:szCs w:val="21"/>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1656" w:type="pct"/>
                  <w:vMerge w:val="continue"/>
                  <w:noWrap w:val="0"/>
                  <w:vAlign w:val="center"/>
                </w:tcPr>
                <w:p>
                  <w:pPr>
                    <w:jc w:val="center"/>
                    <w:rPr>
                      <w:b/>
                      <w:bCs/>
                      <w:szCs w:val="21"/>
                    </w:rPr>
                  </w:pPr>
                </w:p>
              </w:tc>
              <w:tc>
                <w:tcPr>
                  <w:tcW w:w="451"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50" w:type="pct"/>
                  <w:noWrap w:val="0"/>
                  <w:vAlign w:val="center"/>
                </w:tcPr>
                <w:p>
                  <w:pPr>
                    <w:jc w:val="center"/>
                    <w:rPr>
                      <w:b/>
                      <w:bCs/>
                      <w:szCs w:val="21"/>
                    </w:rPr>
                  </w:pPr>
                  <w:r>
                    <w:rPr>
                      <w:szCs w:val="21"/>
                    </w:rPr>
                    <w:t>一般管控单元</w:t>
                  </w:r>
                </w:p>
              </w:tc>
              <w:tc>
                <w:tcPr>
                  <w:tcW w:w="2243" w:type="pct"/>
                  <w:noWrap w:val="0"/>
                  <w:vAlign w:val="center"/>
                </w:tcPr>
                <w:p>
                  <w:pPr>
                    <w:jc w:val="left"/>
                    <w:rPr>
                      <w:b/>
                      <w:bCs/>
                      <w:szCs w:val="21"/>
                    </w:rPr>
                  </w:pPr>
                  <w:r>
                    <w:rPr>
                      <w:szCs w:val="21"/>
                    </w:rPr>
                    <w:t>一般管控单元中，执行区域生态环境保护的基本要求，重点加强农业、生活等领域污染治理。</w:t>
                  </w:r>
                </w:p>
              </w:tc>
              <w:tc>
                <w:tcPr>
                  <w:tcW w:w="1656" w:type="pct"/>
                  <w:vMerge w:val="continue"/>
                  <w:noWrap w:val="0"/>
                  <w:vAlign w:val="center"/>
                </w:tcPr>
                <w:p>
                  <w:pPr>
                    <w:jc w:val="center"/>
                    <w:rPr>
                      <w:b/>
                      <w:bCs/>
                      <w:szCs w:val="21"/>
                    </w:rPr>
                  </w:pPr>
                </w:p>
              </w:tc>
              <w:tc>
                <w:tcPr>
                  <w:tcW w:w="451"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50" w:type="pct"/>
                  <w:vMerge w:val="restart"/>
                  <w:noWrap w:val="0"/>
                  <w:vAlign w:val="center"/>
                </w:tcPr>
                <w:p>
                  <w:pPr>
                    <w:jc w:val="center"/>
                    <w:rPr>
                      <w:szCs w:val="21"/>
                    </w:rPr>
                  </w:pPr>
                  <w:r>
                    <w:rPr>
                      <w:szCs w:val="21"/>
                    </w:rPr>
                    <w:t>川</w:t>
                  </w:r>
                  <w:r>
                    <w:rPr>
                      <w:rFonts w:hint="eastAsia"/>
                      <w:szCs w:val="21"/>
                    </w:rPr>
                    <w:t>东北经济区</w:t>
                  </w:r>
                </w:p>
              </w:tc>
              <w:tc>
                <w:tcPr>
                  <w:tcW w:w="2243" w:type="pct"/>
                  <w:noWrap w:val="0"/>
                  <w:vAlign w:val="center"/>
                </w:tcPr>
                <w:p>
                  <w:pPr>
                    <w:jc w:val="left"/>
                    <w:rPr>
                      <w:szCs w:val="21"/>
                    </w:rPr>
                  </w:pPr>
                  <w:r>
                    <w:t>控制农村面源污染，提高污水收集处理率，加快乡镇污水处理基础设施建设</w:t>
                  </w:r>
                  <w:r>
                    <w:rPr>
                      <w:rFonts w:hint="eastAsia"/>
                    </w:rPr>
                    <w:t>。</w:t>
                  </w:r>
                </w:p>
              </w:tc>
              <w:tc>
                <w:tcPr>
                  <w:tcW w:w="1656" w:type="pct"/>
                  <w:vMerge w:val="restart"/>
                  <w:noWrap w:val="0"/>
                  <w:vAlign w:val="center"/>
                </w:tcPr>
                <w:p>
                  <w:pPr>
                    <w:jc w:val="center"/>
                    <w:rPr>
                      <w:rFonts w:hint="eastAsia"/>
                      <w:szCs w:val="21"/>
                    </w:rPr>
                  </w:pPr>
                  <w:r>
                    <w:rPr>
                      <w:szCs w:val="21"/>
                    </w:rPr>
                    <w:t>本项目为</w:t>
                  </w:r>
                  <w:r>
                    <w:rPr>
                      <w:rFonts w:hint="eastAsia"/>
                      <w:szCs w:val="21"/>
                    </w:rPr>
                    <w:t>加油加气站</w:t>
                  </w:r>
                  <w:r>
                    <w:rPr>
                      <w:szCs w:val="21"/>
                    </w:rPr>
                    <w:t>，</w:t>
                  </w:r>
                  <w:r>
                    <w:rPr>
                      <w:rFonts w:hint="eastAsia"/>
                      <w:szCs w:val="21"/>
                    </w:rPr>
                    <w:t>项目废水经预处理后通过市政污水管网进入污水处理厂处理</w:t>
                  </w:r>
                </w:p>
              </w:tc>
              <w:tc>
                <w:tcPr>
                  <w:tcW w:w="451" w:type="pct"/>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650" w:type="pct"/>
                  <w:vMerge w:val="continue"/>
                  <w:noWrap w:val="0"/>
                  <w:vAlign w:val="center"/>
                </w:tcPr>
                <w:p>
                  <w:pPr>
                    <w:jc w:val="center"/>
                    <w:rPr>
                      <w:szCs w:val="21"/>
                    </w:rPr>
                  </w:pPr>
                </w:p>
              </w:tc>
              <w:tc>
                <w:tcPr>
                  <w:tcW w:w="2243" w:type="pct"/>
                  <w:noWrap w:val="0"/>
                  <w:vAlign w:val="center"/>
                </w:tcPr>
                <w:p>
                  <w:pPr>
                    <w:jc w:val="left"/>
                    <w:rPr>
                      <w:szCs w:val="21"/>
                    </w:rPr>
                  </w:pPr>
                  <w:r>
                    <w:t>建设流域水环境风险联防联控体系。</w:t>
                  </w:r>
                </w:p>
              </w:tc>
              <w:tc>
                <w:tcPr>
                  <w:tcW w:w="1656" w:type="pct"/>
                  <w:vMerge w:val="continue"/>
                  <w:noWrap w:val="0"/>
                  <w:vAlign w:val="center"/>
                </w:tcPr>
                <w:p>
                  <w:pPr>
                    <w:jc w:val="center"/>
                    <w:rPr>
                      <w:szCs w:val="21"/>
                    </w:rPr>
                  </w:pPr>
                </w:p>
              </w:tc>
              <w:tc>
                <w:tcPr>
                  <w:tcW w:w="451" w:type="pct"/>
                  <w:noWrap w:val="0"/>
                  <w:vAlign w:val="center"/>
                </w:tcPr>
                <w:p>
                  <w:pPr>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650" w:type="pct"/>
                  <w:vMerge w:val="continue"/>
                  <w:noWrap w:val="0"/>
                  <w:vAlign w:val="center"/>
                </w:tcPr>
                <w:p>
                  <w:pPr>
                    <w:jc w:val="center"/>
                    <w:rPr>
                      <w:szCs w:val="21"/>
                    </w:rPr>
                  </w:pPr>
                </w:p>
              </w:tc>
              <w:tc>
                <w:tcPr>
                  <w:tcW w:w="2243" w:type="pct"/>
                  <w:noWrap w:val="0"/>
                  <w:vAlign w:val="center"/>
                </w:tcPr>
                <w:p>
                  <w:pPr>
                    <w:jc w:val="left"/>
                    <w:rPr>
                      <w:szCs w:val="21"/>
                    </w:rPr>
                  </w:pPr>
                  <w:r>
                    <w:t>提高大气污染治理水平。</w:t>
                  </w:r>
                </w:p>
              </w:tc>
              <w:tc>
                <w:tcPr>
                  <w:tcW w:w="1656" w:type="pct"/>
                  <w:noWrap w:val="0"/>
                  <w:vAlign w:val="center"/>
                </w:tcPr>
                <w:p>
                  <w:pPr>
                    <w:jc w:val="center"/>
                    <w:rPr>
                      <w:rFonts w:hint="eastAsia"/>
                      <w:szCs w:val="21"/>
                    </w:rPr>
                  </w:pPr>
                  <w:r>
                    <w:rPr>
                      <w:rFonts w:hint="eastAsia"/>
                      <w:szCs w:val="21"/>
                    </w:rPr>
                    <w:t>项目卸油、储油、加油过程中挥发的有机废气采用油气回收系统进行回收；LNG储罐放散天然气，经EAG加热气化后经站内</w:t>
                  </w:r>
                  <w:r>
                    <w:rPr>
                      <w:szCs w:val="21"/>
                    </w:rPr>
                    <w:t>9m</w:t>
                  </w:r>
                  <w:r>
                    <w:rPr>
                      <w:rFonts w:hint="eastAsia"/>
                      <w:szCs w:val="21"/>
                    </w:rPr>
                    <w:t>高放散管有组织排放。</w:t>
                  </w:r>
                </w:p>
              </w:tc>
              <w:tc>
                <w:tcPr>
                  <w:tcW w:w="451" w:type="pct"/>
                  <w:noWrap w:val="0"/>
                  <w:vAlign w:val="center"/>
                </w:tcPr>
                <w:p>
                  <w:pPr>
                    <w:jc w:val="center"/>
                    <w:rPr>
                      <w:szCs w:val="21"/>
                    </w:rPr>
                  </w:pPr>
                  <w:r>
                    <w:rPr>
                      <w:szCs w:val="21"/>
                    </w:rPr>
                    <w:t>符合</w:t>
                  </w:r>
                </w:p>
              </w:tc>
            </w:tr>
          </w:tbl>
          <w:p>
            <w:pPr>
              <w:spacing w:line="360" w:lineRule="auto"/>
              <w:ind w:firstLine="482" w:firstLineChars="200"/>
              <w:rPr>
                <w:b/>
                <w:bCs/>
                <w:sz w:val="24"/>
                <w:szCs w:val="21"/>
              </w:rPr>
            </w:pPr>
            <w:r>
              <w:rPr>
                <w:rFonts w:hint="eastAsia"/>
                <w:b/>
                <w:bCs/>
                <w:sz w:val="24"/>
                <w:szCs w:val="21"/>
              </w:rPr>
              <w:t>④</w:t>
            </w:r>
            <w:r>
              <w:rPr>
                <w:b/>
                <w:bCs/>
                <w:sz w:val="24"/>
                <w:szCs w:val="21"/>
              </w:rPr>
              <w:t>与达州市人民政府《关于落实生态保护红线、环境质量底线、资源利用上线制定生态环境准入清单实施生态环境分区管控的通知》（达市府发 〔20</w:t>
            </w:r>
            <w:r>
              <w:rPr>
                <w:rFonts w:hint="eastAsia"/>
                <w:b/>
                <w:bCs/>
                <w:sz w:val="24"/>
                <w:szCs w:val="21"/>
              </w:rPr>
              <w:t>21</w:t>
            </w:r>
            <w:r>
              <w:rPr>
                <w:b/>
                <w:bCs/>
                <w:sz w:val="24"/>
                <w:szCs w:val="21"/>
              </w:rPr>
              <w:t>〕17 号）符合性分析</w:t>
            </w:r>
          </w:p>
          <w:p>
            <w:pPr>
              <w:spacing w:line="360" w:lineRule="auto"/>
              <w:ind w:firstLine="480" w:firstLineChars="200"/>
              <w:rPr>
                <w:sz w:val="24"/>
                <w:szCs w:val="21"/>
              </w:rPr>
            </w:pPr>
            <w:r>
              <w:rPr>
                <w:rFonts w:hint="eastAsia"/>
                <w:sz w:val="24"/>
                <w:szCs w:val="21"/>
              </w:rPr>
              <w:t>根据</w:t>
            </w:r>
            <w:r>
              <w:rPr>
                <w:sz w:val="24"/>
                <w:szCs w:val="21"/>
              </w:rPr>
              <w:t>达州市人民政府《关于落实生态保护红线、环境质量底线、资源利用上线制定生态环境准入清单实施生态环境分区管控的通知》（达市府发 〔20</w:t>
            </w:r>
            <w:r>
              <w:rPr>
                <w:rFonts w:hint="eastAsia"/>
                <w:sz w:val="24"/>
                <w:szCs w:val="21"/>
              </w:rPr>
              <w:t>21</w:t>
            </w:r>
            <w:r>
              <w:rPr>
                <w:sz w:val="24"/>
                <w:szCs w:val="21"/>
              </w:rPr>
              <w:t>〕17 号）</w:t>
            </w:r>
            <w:r>
              <w:rPr>
                <w:rFonts w:hint="eastAsia"/>
                <w:sz w:val="24"/>
                <w:szCs w:val="21"/>
              </w:rPr>
              <w:t>中生态环境分区管控及其要求。按照省委“一干多支、五区协同”的区域发展战略和市委“加快建设四川东出北上综合交通枢纽和川渝陕结合部区域中心城市”战略定位，立足成渝地区双城经济圈和万达开川渝统筹发展示范区建设的区域特征、发展定位及突出生态环境问题，将全市行政区域从生态环境保护角度划分为优先保护、重点管控和一般管控三类环境管控单元。</w:t>
            </w:r>
            <w:r>
              <w:rPr>
                <w:sz w:val="24"/>
                <w:szCs w:val="21"/>
              </w:rPr>
              <w:t>全市共划定46个综合环境管控单元。</w:t>
            </w:r>
          </w:p>
          <w:p>
            <w:pPr>
              <w:spacing w:line="360" w:lineRule="auto"/>
              <w:ind w:firstLine="480" w:firstLineChars="200"/>
              <w:rPr>
                <w:sz w:val="24"/>
                <w:szCs w:val="21"/>
              </w:rPr>
            </w:pPr>
            <w:r>
              <w:rPr>
                <w:sz w:val="24"/>
                <w:szCs w:val="21"/>
              </w:rPr>
              <w:t>优先保护单元。以生态环境保护为主的区域，全市划分优先保护单元17个，主要包括生态保护红线、 自然保护地、饮用水水源保护区等。</w:t>
            </w:r>
            <w:r>
              <w:rPr>
                <w:rFonts w:hint="eastAsia"/>
                <w:sz w:val="24"/>
                <w:szCs w:val="21"/>
              </w:rPr>
              <w:t>应以生态环境保护优先为原则，严格执行相关法律、法规要求，严守生态环境质量底线，确保生态环境功能不降低。</w:t>
            </w:r>
          </w:p>
          <w:p>
            <w:pPr>
              <w:spacing w:line="360" w:lineRule="auto"/>
              <w:ind w:firstLine="480" w:firstLineChars="200"/>
              <w:rPr>
                <w:sz w:val="24"/>
                <w:szCs w:val="21"/>
              </w:rPr>
            </w:pPr>
            <w:r>
              <w:rPr>
                <w:sz w:val="24"/>
                <w:szCs w:val="21"/>
              </w:rPr>
              <w:t>重点管控单元。涉及水、大气、土壤、 自然资源等资源环境要素重点管 控的区域，全市划分重点管控单元22个，主要包括人口密集的城镇规划区和 产业集聚的工业园区</w:t>
            </w:r>
            <w:r>
              <w:rPr>
                <w:rFonts w:hint="eastAsia"/>
                <w:sz w:val="24"/>
                <w:szCs w:val="21"/>
              </w:rPr>
              <w:t>（</w:t>
            </w:r>
            <w:r>
              <w:rPr>
                <w:sz w:val="24"/>
                <w:szCs w:val="21"/>
              </w:rPr>
              <w:t>工业集聚区</w:t>
            </w:r>
            <w:r>
              <w:rPr>
                <w:rFonts w:hint="eastAsia"/>
                <w:sz w:val="24"/>
                <w:szCs w:val="21"/>
              </w:rPr>
              <w:t>）</w:t>
            </w:r>
            <w:r>
              <w:rPr>
                <w:sz w:val="24"/>
                <w:szCs w:val="21"/>
              </w:rPr>
              <w:t>等。</w:t>
            </w:r>
            <w:r>
              <w:rPr>
                <w:rFonts w:hint="eastAsia"/>
                <w:sz w:val="24"/>
                <w:szCs w:val="21"/>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spacing w:line="360" w:lineRule="auto"/>
              <w:ind w:firstLine="480" w:firstLineChars="200"/>
              <w:rPr>
                <w:sz w:val="24"/>
                <w:szCs w:val="21"/>
              </w:rPr>
            </w:pPr>
            <w:r>
              <w:rPr>
                <w:sz w:val="24"/>
                <w:szCs w:val="21"/>
              </w:rPr>
              <w:t>一般管控单元。除优先保护单元和重点管控单元之外的其他区域，全市共划分一般管控单元7个。</w:t>
            </w:r>
            <w:r>
              <w:rPr>
                <w:rFonts w:hint="eastAsia"/>
                <w:sz w:val="24"/>
                <w:szCs w:val="21"/>
              </w:rPr>
              <w:t>执行区域生态环境保护的基本要求，重点加强农业、生活等领域污染治理。</w:t>
            </w:r>
          </w:p>
          <w:p>
            <w:pPr>
              <w:spacing w:line="360" w:lineRule="auto"/>
              <w:ind w:firstLine="420" w:firstLineChars="200"/>
            </w:pPr>
            <w:r>
              <mc:AlternateContent>
                <mc:Choice Requires="wps">
                  <w:drawing>
                    <wp:anchor distT="0" distB="0" distL="114300" distR="114300" simplePos="0" relativeHeight="251660288" behindDoc="0" locked="0" layoutInCell="1" allowOverlap="1">
                      <wp:simplePos x="0" y="0"/>
                      <wp:positionH relativeFrom="column">
                        <wp:posOffset>2289175</wp:posOffset>
                      </wp:positionH>
                      <wp:positionV relativeFrom="paragraph">
                        <wp:posOffset>1764030</wp:posOffset>
                      </wp:positionV>
                      <wp:extent cx="488950" cy="182880"/>
                      <wp:effectExtent l="374015" t="6350" r="13335" b="248920"/>
                      <wp:wrapNone/>
                      <wp:docPr id="2" name="对话气泡: 矩形 7"/>
                      <wp:cNvGraphicFramePr/>
                      <a:graphic xmlns:a="http://schemas.openxmlformats.org/drawingml/2006/main">
                        <a:graphicData uri="http://schemas.microsoft.com/office/word/2010/wordprocessingShape">
                          <wps:wsp>
                            <wps:cNvSpPr/>
                            <wps:spPr>
                              <a:xfrm flipV="1">
                                <a:off x="0" y="0"/>
                                <a:ext cx="488950" cy="182880"/>
                              </a:xfrm>
                              <a:prstGeom prst="wedgeRectCallout">
                                <a:avLst>
                                  <a:gd name="adj1" fmla="val -125190"/>
                                  <a:gd name="adj2" fmla="val -178468"/>
                                </a:avLst>
                              </a:prstGeom>
                              <a:noFill/>
                              <a:ln w="12700" cap="flat" cmpd="sng">
                                <a:solidFill>
                                  <a:srgbClr val="FF0000"/>
                                </a:solidFill>
                                <a:prstDash val="solid"/>
                                <a:round/>
                                <a:headEnd type="none" w="med" len="med"/>
                                <a:tailEnd type="none" w="med" len="med"/>
                              </a:ln>
                            </wps:spPr>
                            <wps:txbx>
                              <w:txbxContent>
                                <w:p>
                                  <w:pPr>
                                    <w:jc w:val="center"/>
                                    <w:rPr>
                                      <w:b/>
                                      <w:bCs/>
                                      <w:color w:val="FF0000"/>
                                      <w:sz w:val="18"/>
                                      <w:szCs w:val="18"/>
                                    </w:rPr>
                                  </w:pPr>
                                  <w:r>
                                    <w:rPr>
                                      <w:rFonts w:hint="eastAsia"/>
                                      <w:b/>
                                      <w:bCs/>
                                      <w:color w:val="FF0000"/>
                                      <w:sz w:val="18"/>
                                      <w:szCs w:val="18"/>
                                    </w:rPr>
                                    <w:t>本项目</w:t>
                                  </w:r>
                                </w:p>
                              </w:txbxContent>
                            </wps:txbx>
                            <wps:bodyPr wrap="square" lIns="0" tIns="0" rIns="0" bIns="0" anchor="ctr" anchorCtr="0" upright="1"/>
                          </wps:wsp>
                        </a:graphicData>
                      </a:graphic>
                    </wp:anchor>
                  </w:drawing>
                </mc:Choice>
                <mc:Fallback>
                  <w:pict>
                    <v:shape id="对话气泡: 矩形 7" o:spid="_x0000_s1026" o:spt="61" type="#_x0000_t61" style="position:absolute;left:0pt;flip:y;margin-left:180.25pt;margin-top:138.9pt;height:14.4pt;width:38.5pt;z-index:251660288;v-text-anchor:middle;mso-width-relative:page;mso-height-relative:page;" filled="f" stroked="t" coordsize="21600,21600" o:gfxdata="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Z/PIF2gAAAAsBAAAPAAAAAAAAAAEAIAAAACIAAABkcnMvZG93&#10;bnJldi54bWxQSwECFAAUAAAACACHTuJAsJwRkHACAADGBAAADgAAAAAAAAABACAAAAApAQAAZHJz&#10;L2Uyb0RvYy54bWxQSwUGAAAAAAYABgBZAQAACwYAAAAA&#10;" adj="-16241,-27749">
                      <v:fill on="f" focussize="0,0"/>
                      <v:stroke weight="1pt" color="#FF0000" joinstyle="round"/>
                      <v:imagedata o:title=""/>
                      <o:lock v:ext="edit" aspectratio="f"/>
                      <v:textbox inset="0mm,0mm,0mm,0mm">
                        <w:txbxContent>
                          <w:p>
                            <w:pPr>
                              <w:jc w:val="center"/>
                              <w:rPr>
                                <w:b/>
                                <w:bCs/>
                                <w:color w:val="FF0000"/>
                                <w:sz w:val="18"/>
                                <w:szCs w:val="18"/>
                              </w:rPr>
                            </w:pPr>
                            <w:r>
                              <w:rPr>
                                <w:rFonts w:hint="eastAsia"/>
                                <w:b/>
                                <w:bCs/>
                                <w:color w:val="FF0000"/>
                                <w:sz w:val="18"/>
                                <w:szCs w:val="18"/>
                              </w:rPr>
                              <w:t>本项目</w:t>
                            </w:r>
                          </w:p>
                        </w:txbxContent>
                      </v:textbox>
                    </v:shape>
                  </w:pict>
                </mc:Fallback>
              </mc:AlternateContent>
            </w:r>
            <w:r>
              <w:t xml:space="preserve"> </w:t>
            </w:r>
            <w:r>
              <w:drawing>
                <wp:inline distT="0" distB="0" distL="114300" distR="114300">
                  <wp:extent cx="4853940" cy="3431540"/>
                  <wp:effectExtent l="0" t="0" r="3810"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4853940" cy="3431540"/>
                          </a:xfrm>
                          <a:prstGeom prst="rect">
                            <a:avLst/>
                          </a:prstGeom>
                          <a:noFill/>
                          <a:ln>
                            <a:noFill/>
                          </a:ln>
                        </pic:spPr>
                      </pic:pic>
                    </a:graphicData>
                  </a:graphic>
                </wp:inline>
              </w:drawing>
            </w:r>
          </w:p>
          <w:p>
            <w:pPr>
              <w:pStyle w:val="69"/>
              <w:ind w:firstLine="398"/>
              <w:jc w:val="center"/>
              <w:rPr>
                <w:b/>
                <w:bCs/>
                <w:kern w:val="2"/>
                <w:sz w:val="21"/>
                <w:szCs w:val="21"/>
              </w:rPr>
            </w:pPr>
            <w:r>
              <w:rPr>
                <w:b/>
                <w:bCs/>
                <w:kern w:val="2"/>
                <w:sz w:val="21"/>
                <w:szCs w:val="21"/>
              </w:rPr>
              <w:t>图1-</w:t>
            </w:r>
            <w:r>
              <w:rPr>
                <w:rFonts w:hint="eastAsia"/>
                <w:b/>
                <w:bCs/>
                <w:kern w:val="2"/>
                <w:sz w:val="21"/>
                <w:szCs w:val="21"/>
              </w:rPr>
              <w:t>3</w:t>
            </w:r>
            <w:r>
              <w:rPr>
                <w:b/>
                <w:bCs/>
                <w:kern w:val="2"/>
                <w:sz w:val="21"/>
                <w:szCs w:val="21"/>
              </w:rPr>
              <w:t xml:space="preserve"> </w:t>
            </w:r>
            <w:r>
              <w:rPr>
                <w:rFonts w:hint="eastAsia"/>
                <w:b/>
                <w:bCs/>
                <w:kern w:val="2"/>
                <w:sz w:val="21"/>
                <w:szCs w:val="21"/>
              </w:rPr>
              <w:t xml:space="preserve">  </w:t>
            </w:r>
            <w:r>
              <w:rPr>
                <w:b/>
                <w:bCs/>
                <w:kern w:val="2"/>
                <w:sz w:val="21"/>
                <w:szCs w:val="21"/>
              </w:rPr>
              <w:t>项目与</w:t>
            </w:r>
            <w:r>
              <w:rPr>
                <w:rFonts w:hint="eastAsia"/>
                <w:b/>
                <w:bCs/>
                <w:kern w:val="2"/>
                <w:sz w:val="21"/>
                <w:szCs w:val="21"/>
              </w:rPr>
              <w:t>达州市</w:t>
            </w:r>
            <w:r>
              <w:rPr>
                <w:b/>
                <w:bCs/>
                <w:kern w:val="2"/>
                <w:sz w:val="21"/>
                <w:szCs w:val="21"/>
              </w:rPr>
              <w:t>环境管控单元关系图</w:t>
            </w:r>
          </w:p>
          <w:p>
            <w:pPr>
              <w:spacing w:line="360" w:lineRule="auto"/>
              <w:ind w:firstLine="480" w:firstLineChars="200"/>
              <w:rPr>
                <w:rFonts w:hint="eastAsia"/>
                <w:sz w:val="24"/>
                <w:szCs w:val="21"/>
              </w:rPr>
            </w:pPr>
            <w:r>
              <w:rPr>
                <w:rFonts w:hint="eastAsia"/>
                <w:sz w:val="24"/>
                <w:szCs w:val="21"/>
              </w:rPr>
              <w:t>由上图可知，本项目位于“城镇重点管控单元”。本项目与《达州市生态环境分区管控方案》要求符合性分析如下：</w:t>
            </w:r>
          </w:p>
          <w:p>
            <w:pPr>
              <w:pStyle w:val="69"/>
              <w:ind w:firstLine="398"/>
              <w:jc w:val="center"/>
              <w:rPr>
                <w:rFonts w:hint="eastAsia"/>
                <w:b/>
                <w:bCs/>
                <w:kern w:val="2"/>
                <w:sz w:val="21"/>
                <w:szCs w:val="21"/>
              </w:rPr>
            </w:pPr>
            <w:r>
              <w:rPr>
                <w:rFonts w:hint="eastAsia"/>
                <w:b/>
                <w:bCs/>
                <w:kern w:val="2"/>
                <w:sz w:val="21"/>
                <w:szCs w:val="21"/>
              </w:rPr>
              <w:t>表1-4  本项目与《达州市生态环境分区管控方案》分析表</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568"/>
              <w:gridCol w:w="3752"/>
              <w:gridCol w:w="1943"/>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pct"/>
                  <w:gridSpan w:val="2"/>
                  <w:noWrap w:val="0"/>
                  <w:vAlign w:val="center"/>
                </w:tcPr>
                <w:p>
                  <w:pPr>
                    <w:adjustRightInd w:val="0"/>
                    <w:snapToGrid w:val="0"/>
                    <w:jc w:val="center"/>
                    <w:rPr>
                      <w:b/>
                      <w:bCs/>
                      <w:szCs w:val="21"/>
                    </w:rPr>
                  </w:pPr>
                  <w:r>
                    <w:rPr>
                      <w:b/>
                      <w:bCs/>
                      <w:szCs w:val="21"/>
                    </w:rPr>
                    <w:t>项目</w:t>
                  </w:r>
                </w:p>
              </w:tc>
              <w:tc>
                <w:tcPr>
                  <w:tcW w:w="2456" w:type="pct"/>
                  <w:noWrap w:val="0"/>
                  <w:vAlign w:val="center"/>
                </w:tcPr>
                <w:p>
                  <w:pPr>
                    <w:adjustRightInd w:val="0"/>
                    <w:snapToGrid w:val="0"/>
                    <w:jc w:val="center"/>
                    <w:rPr>
                      <w:b/>
                      <w:bCs/>
                      <w:szCs w:val="21"/>
                    </w:rPr>
                  </w:pPr>
                  <w:r>
                    <w:rPr>
                      <w:b/>
                      <w:bCs/>
                      <w:szCs w:val="21"/>
                    </w:rPr>
                    <w:t>管控要求</w:t>
                  </w:r>
                </w:p>
              </w:tc>
              <w:tc>
                <w:tcPr>
                  <w:tcW w:w="1272" w:type="pct"/>
                  <w:noWrap w:val="0"/>
                  <w:vAlign w:val="center"/>
                </w:tcPr>
                <w:p>
                  <w:pPr>
                    <w:adjustRightInd w:val="0"/>
                    <w:snapToGrid w:val="0"/>
                    <w:jc w:val="center"/>
                    <w:rPr>
                      <w:b/>
                      <w:bCs/>
                      <w:szCs w:val="21"/>
                    </w:rPr>
                  </w:pPr>
                  <w:r>
                    <w:rPr>
                      <w:b/>
                      <w:bCs/>
                      <w:szCs w:val="21"/>
                    </w:rPr>
                    <w:t>本项目</w:t>
                  </w:r>
                </w:p>
              </w:tc>
              <w:tc>
                <w:tcPr>
                  <w:tcW w:w="425" w:type="pct"/>
                  <w:noWrap w:val="0"/>
                  <w:vAlign w:val="center"/>
                </w:tcPr>
                <w:p>
                  <w:pPr>
                    <w:adjustRightInd w:val="0"/>
                    <w:snapToGrid w:val="0"/>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475" w:type="pct"/>
                  <w:noWrap w:val="0"/>
                  <w:vAlign w:val="center"/>
                </w:tcPr>
                <w:p>
                  <w:pPr>
                    <w:adjustRightInd w:val="0"/>
                    <w:snapToGrid w:val="0"/>
                    <w:rPr>
                      <w:szCs w:val="21"/>
                    </w:rPr>
                  </w:pPr>
                  <w:r>
                    <w:rPr>
                      <w:szCs w:val="21"/>
                    </w:rPr>
                    <w:t>环境管控单元生态环境管控要求</w:t>
                  </w:r>
                </w:p>
              </w:tc>
              <w:tc>
                <w:tcPr>
                  <w:tcW w:w="372" w:type="pct"/>
                  <w:noWrap w:val="0"/>
                  <w:vAlign w:val="center"/>
                </w:tcPr>
                <w:p>
                  <w:pPr>
                    <w:adjustRightInd w:val="0"/>
                    <w:snapToGrid w:val="0"/>
                    <w:jc w:val="center"/>
                    <w:rPr>
                      <w:szCs w:val="21"/>
                    </w:rPr>
                  </w:pPr>
                  <w:r>
                    <w:rPr>
                      <w:rFonts w:hint="eastAsia"/>
                      <w:sz w:val="24"/>
                      <w:szCs w:val="21"/>
                    </w:rPr>
                    <w:t>重点管控单元</w:t>
                  </w:r>
                </w:p>
              </w:tc>
              <w:tc>
                <w:tcPr>
                  <w:tcW w:w="2456" w:type="pct"/>
                  <w:noWrap w:val="0"/>
                  <w:vAlign w:val="center"/>
                </w:tcPr>
                <w:p>
                  <w:pPr>
                    <w:pStyle w:val="69"/>
                    <w:spacing w:line="240" w:lineRule="auto"/>
                    <w:ind w:firstLine="0" w:firstLineChars="0"/>
                    <w:rPr>
                      <w:kern w:val="2"/>
                      <w:sz w:val="21"/>
                      <w:szCs w:val="21"/>
                    </w:rPr>
                  </w:pPr>
                  <w:r>
                    <w:rPr>
                      <w:kern w:val="2"/>
                      <w:sz w:val="21"/>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272" w:type="pct"/>
                  <w:noWrap w:val="0"/>
                  <w:vAlign w:val="center"/>
                </w:tcPr>
                <w:p>
                  <w:pPr>
                    <w:pStyle w:val="69"/>
                    <w:spacing w:line="240" w:lineRule="auto"/>
                    <w:ind w:firstLine="0" w:firstLineChars="0"/>
                    <w:rPr>
                      <w:sz w:val="21"/>
                      <w:szCs w:val="21"/>
                    </w:rPr>
                  </w:pPr>
                  <w:r>
                    <w:rPr>
                      <w:sz w:val="21"/>
                      <w:szCs w:val="21"/>
                    </w:rPr>
                    <w:t>项目</w:t>
                  </w:r>
                  <w:r>
                    <w:rPr>
                      <w:rFonts w:hint="eastAsia"/>
                      <w:sz w:val="21"/>
                      <w:szCs w:val="21"/>
                    </w:rPr>
                    <w:t>所在区域属于达标区。项目严格按照</w:t>
                  </w:r>
                  <w:r>
                    <w:rPr>
                      <w:sz w:val="21"/>
                      <w:szCs w:val="21"/>
                    </w:rPr>
                    <w:t xml:space="preserve">《汽车加油加气加氢站技术标准 </w:t>
                  </w:r>
                  <w:r>
                    <w:rPr>
                      <w:rFonts w:hint="eastAsia"/>
                      <w:sz w:val="21"/>
                      <w:szCs w:val="21"/>
                    </w:rPr>
                    <w:t>（</w:t>
                  </w:r>
                  <w:r>
                    <w:rPr>
                      <w:sz w:val="21"/>
                      <w:szCs w:val="21"/>
                    </w:rPr>
                    <w:t>GB50156-2021</w:t>
                  </w:r>
                  <w:r>
                    <w:rPr>
                      <w:rFonts w:hint="eastAsia"/>
                      <w:sz w:val="21"/>
                      <w:szCs w:val="21"/>
                    </w:rPr>
                    <w:t>）</w:t>
                  </w:r>
                  <w:r>
                    <w:rPr>
                      <w:sz w:val="21"/>
                      <w:szCs w:val="21"/>
                    </w:rPr>
                    <w:t>》</w:t>
                  </w:r>
                  <w:r>
                    <w:rPr>
                      <w:rFonts w:hint="eastAsia"/>
                      <w:sz w:val="21"/>
                      <w:szCs w:val="21"/>
                    </w:rPr>
                    <w:t>的相关技术规范进行设计施工，对挥发的有机废气采用油气回收装置进行回收，</w:t>
                  </w:r>
                  <w:r>
                    <w:rPr>
                      <w:rFonts w:hint="eastAsia"/>
                      <w:kern w:val="2"/>
                      <w:sz w:val="21"/>
                      <w:szCs w:val="21"/>
                    </w:rPr>
                    <w:t>LNG储罐放散天然气通过10m高放散管进行有组织排放，同时目严格按照行业标准及本环评提出的各项风险防范措施进行风险防控。本次环评明确提出项目排放总量建议指标。</w:t>
                  </w:r>
                </w:p>
              </w:tc>
              <w:tc>
                <w:tcPr>
                  <w:tcW w:w="425" w:type="pct"/>
                  <w:noWrap w:val="0"/>
                  <w:vAlign w:val="center"/>
                </w:tcPr>
                <w:p>
                  <w:pPr>
                    <w:pStyle w:val="69"/>
                    <w:spacing w:line="240" w:lineRule="auto"/>
                    <w:ind w:firstLine="0" w:firstLineChars="0"/>
                    <w:rPr>
                      <w:b/>
                      <w:bCs/>
                      <w:kern w:val="2"/>
                      <w:sz w:val="21"/>
                      <w:szCs w:val="21"/>
                    </w:rPr>
                  </w:pPr>
                  <w:r>
                    <w:rPr>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restart"/>
                  <w:noWrap w:val="0"/>
                  <w:vAlign w:val="center"/>
                </w:tcPr>
                <w:p>
                  <w:pPr>
                    <w:adjustRightInd w:val="0"/>
                    <w:snapToGrid w:val="0"/>
                    <w:jc w:val="center"/>
                    <w:rPr>
                      <w:szCs w:val="21"/>
                    </w:rPr>
                  </w:pPr>
                  <w:r>
                    <w:rPr>
                      <w:szCs w:val="21"/>
                    </w:rPr>
                    <w:t>总体生态环境管控要求</w:t>
                  </w:r>
                </w:p>
              </w:tc>
              <w:tc>
                <w:tcPr>
                  <w:tcW w:w="372" w:type="pct"/>
                  <w:noWrap w:val="0"/>
                  <w:vAlign w:val="center"/>
                </w:tcPr>
                <w:p>
                  <w:pPr>
                    <w:adjustRightInd w:val="0"/>
                    <w:snapToGrid w:val="0"/>
                    <w:jc w:val="center"/>
                    <w:rPr>
                      <w:szCs w:val="21"/>
                    </w:rPr>
                  </w:pPr>
                  <w:r>
                    <w:rPr>
                      <w:rFonts w:hint="eastAsia"/>
                      <w:szCs w:val="21"/>
                    </w:rPr>
                    <w:t>达州市</w:t>
                  </w:r>
                </w:p>
              </w:tc>
              <w:tc>
                <w:tcPr>
                  <w:tcW w:w="2456" w:type="pct"/>
                  <w:noWrap w:val="0"/>
                  <w:vAlign w:val="center"/>
                </w:tcPr>
                <w:p>
                  <w:pPr>
                    <w:pStyle w:val="69"/>
                    <w:spacing w:line="240" w:lineRule="auto"/>
                    <w:ind w:firstLine="0" w:firstLineChars="0"/>
                    <w:rPr>
                      <w:kern w:val="2"/>
                      <w:sz w:val="21"/>
                      <w:szCs w:val="21"/>
                    </w:rPr>
                  </w:pPr>
                  <w:r>
                    <w:rPr>
                      <w:kern w:val="2"/>
                      <w:sz w:val="21"/>
                      <w:szCs w:val="21"/>
                    </w:rPr>
                    <w:t>1</w:t>
                  </w:r>
                  <w:r>
                    <w:rPr>
                      <w:rFonts w:hint="eastAsia"/>
                      <w:kern w:val="2"/>
                      <w:sz w:val="21"/>
                      <w:szCs w:val="21"/>
                    </w:rPr>
                    <w:t>．对钢铁行业提出严格资源环境绩效水平要求；</w:t>
                  </w:r>
                </w:p>
                <w:p>
                  <w:pPr>
                    <w:pStyle w:val="69"/>
                    <w:spacing w:line="240" w:lineRule="auto"/>
                    <w:ind w:firstLine="0" w:firstLineChars="0"/>
                    <w:rPr>
                      <w:rFonts w:hint="eastAsia"/>
                      <w:kern w:val="2"/>
                      <w:sz w:val="21"/>
                      <w:szCs w:val="21"/>
                    </w:rPr>
                  </w:pPr>
                  <w:r>
                    <w:rPr>
                      <w:kern w:val="2"/>
                      <w:sz w:val="21"/>
                      <w:szCs w:val="21"/>
                    </w:rPr>
                    <w:t>2</w:t>
                  </w:r>
                  <w:r>
                    <w:rPr>
                      <w:rFonts w:hint="eastAsia"/>
                      <w:kern w:val="2"/>
                      <w:sz w:val="21"/>
                      <w:szCs w:val="21"/>
                    </w:rPr>
                    <w:t>．高污染企业限期退城入园；</w:t>
                  </w:r>
                </w:p>
                <w:p>
                  <w:pPr>
                    <w:pStyle w:val="69"/>
                    <w:spacing w:line="240" w:lineRule="auto"/>
                    <w:ind w:firstLine="0" w:firstLineChars="0"/>
                    <w:rPr>
                      <w:rFonts w:hint="eastAsia"/>
                      <w:kern w:val="2"/>
                      <w:sz w:val="21"/>
                      <w:szCs w:val="21"/>
                    </w:rPr>
                  </w:pPr>
                  <w:r>
                    <w:rPr>
                      <w:kern w:val="2"/>
                      <w:sz w:val="21"/>
                      <w:szCs w:val="21"/>
                    </w:rPr>
                    <w:t>3</w:t>
                  </w:r>
                  <w:r>
                    <w:rPr>
                      <w:rFonts w:hint="eastAsia"/>
                      <w:kern w:val="2"/>
                      <w:sz w:val="21"/>
                      <w:szCs w:val="21"/>
                    </w:rPr>
                    <w:t>．普光气田开发污染防治和环境管理等方面要达到国内先进水平；</w:t>
                  </w:r>
                </w:p>
                <w:p>
                  <w:pPr>
                    <w:pStyle w:val="69"/>
                    <w:spacing w:line="240" w:lineRule="auto"/>
                    <w:ind w:firstLine="0" w:firstLineChars="0"/>
                    <w:rPr>
                      <w:rFonts w:hint="eastAsia"/>
                      <w:kern w:val="2"/>
                      <w:sz w:val="21"/>
                      <w:szCs w:val="21"/>
                    </w:rPr>
                  </w:pPr>
                  <w:r>
                    <w:rPr>
                      <w:kern w:val="2"/>
                      <w:sz w:val="21"/>
                      <w:szCs w:val="21"/>
                    </w:rPr>
                    <w:t>4</w:t>
                  </w:r>
                  <w:r>
                    <w:rPr>
                      <w:rFonts w:hint="eastAsia"/>
                      <w:kern w:val="2"/>
                      <w:sz w:val="21"/>
                      <w:szCs w:val="21"/>
                    </w:rPr>
                    <w:t>．引进项目应符合园区规划环评和区域产业准入清单要求；</w:t>
                  </w:r>
                </w:p>
                <w:p>
                  <w:pPr>
                    <w:pStyle w:val="69"/>
                    <w:spacing w:line="240" w:lineRule="auto"/>
                    <w:ind w:firstLine="0" w:firstLineChars="0"/>
                    <w:rPr>
                      <w:rFonts w:hint="eastAsia"/>
                      <w:kern w:val="2"/>
                      <w:sz w:val="21"/>
                      <w:szCs w:val="21"/>
                    </w:rPr>
                  </w:pPr>
                  <w:r>
                    <w:rPr>
                      <w:kern w:val="2"/>
                      <w:sz w:val="21"/>
                      <w:szCs w:val="21"/>
                    </w:rPr>
                    <w:t>5</w:t>
                  </w:r>
                  <w:r>
                    <w:rPr>
                      <w:rFonts w:hint="eastAsia"/>
                      <w:kern w:val="2"/>
                      <w:sz w:val="21"/>
                      <w:szCs w:val="21"/>
                    </w:rPr>
                    <w:t>．长江干支流岸线</w:t>
                  </w:r>
                  <w:r>
                    <w:rPr>
                      <w:kern w:val="2"/>
                      <w:sz w:val="21"/>
                      <w:szCs w:val="21"/>
                    </w:rPr>
                    <w:t>1km</w:t>
                  </w:r>
                  <w:r>
                    <w:rPr>
                      <w:rFonts w:hint="eastAsia"/>
                      <w:kern w:val="2"/>
                      <w:sz w:val="21"/>
                      <w:szCs w:val="21"/>
                    </w:rPr>
                    <w:t>范围内，不得新建、扩建化工园区和化工项目；</w:t>
                  </w:r>
                </w:p>
                <w:p>
                  <w:pPr>
                    <w:pStyle w:val="69"/>
                    <w:spacing w:line="240" w:lineRule="auto"/>
                    <w:ind w:firstLine="0" w:firstLineChars="0"/>
                    <w:rPr>
                      <w:rFonts w:hint="eastAsia"/>
                      <w:kern w:val="2"/>
                      <w:sz w:val="21"/>
                      <w:szCs w:val="21"/>
                    </w:rPr>
                  </w:pPr>
                  <w:r>
                    <w:rPr>
                      <w:kern w:val="2"/>
                      <w:sz w:val="21"/>
                      <w:szCs w:val="21"/>
                    </w:rPr>
                    <w:t>6</w:t>
                  </w:r>
                  <w:r>
                    <w:rPr>
                      <w:rFonts w:hint="eastAsia"/>
                      <w:kern w:val="2"/>
                      <w:sz w:val="21"/>
                      <w:szCs w:val="21"/>
                    </w:rPr>
                    <w:t>．严控产业转移环境准入；</w:t>
                  </w:r>
                </w:p>
                <w:p>
                  <w:pPr>
                    <w:pStyle w:val="69"/>
                    <w:spacing w:line="240" w:lineRule="auto"/>
                    <w:ind w:firstLine="0" w:firstLineChars="0"/>
                    <w:rPr>
                      <w:kern w:val="2"/>
                      <w:sz w:val="21"/>
                      <w:szCs w:val="21"/>
                    </w:rPr>
                  </w:pPr>
                  <w:r>
                    <w:rPr>
                      <w:kern w:val="2"/>
                      <w:sz w:val="21"/>
                      <w:szCs w:val="21"/>
                    </w:rPr>
                    <w:t>7</w:t>
                  </w:r>
                  <w:r>
                    <w:rPr>
                      <w:rFonts w:hint="eastAsia"/>
                      <w:kern w:val="2"/>
                      <w:sz w:val="21"/>
                      <w:szCs w:val="21"/>
                    </w:rPr>
                    <w:t>．造纸等产业污染治理和环境管理应达到国内先进水平。优化制浆造纸产业布局，提升行业清洁生产水平，推动制浆造纸工业向节能、环保、绿色方向发展。</w:t>
                  </w:r>
                </w:p>
              </w:tc>
              <w:tc>
                <w:tcPr>
                  <w:tcW w:w="1272" w:type="pct"/>
                  <w:vMerge w:val="restart"/>
                  <w:noWrap w:val="0"/>
                  <w:vAlign w:val="center"/>
                </w:tcPr>
                <w:p>
                  <w:pPr>
                    <w:pStyle w:val="69"/>
                    <w:spacing w:line="240" w:lineRule="auto"/>
                    <w:ind w:firstLine="0" w:firstLineChars="0"/>
                    <w:rPr>
                      <w:b/>
                      <w:bCs/>
                      <w:kern w:val="2"/>
                      <w:sz w:val="21"/>
                      <w:szCs w:val="21"/>
                    </w:rPr>
                  </w:pPr>
                  <w:r>
                    <w:rPr>
                      <w:kern w:val="2"/>
                      <w:sz w:val="21"/>
                      <w:szCs w:val="21"/>
                    </w:rPr>
                    <w:t>本项目不属于</w:t>
                  </w:r>
                  <w:r>
                    <w:rPr>
                      <w:rFonts w:hint="eastAsia"/>
                      <w:kern w:val="2"/>
                      <w:sz w:val="21"/>
                      <w:szCs w:val="21"/>
                    </w:rPr>
                    <w:t>钢铁、气田开发、化工、造纸等该污染项目，项目属于加油加气站项目，项目废水经预处理后通过市政污水管网进入污水胡处理厂处理达标后排放；卸油、储存、加油过程中挥发的有机废气通过油气回收装置进行回收，LNG储罐放散天然气，经EAG加热气化后经站内10</w:t>
                  </w:r>
                  <w:r>
                    <w:rPr>
                      <w:kern w:val="2"/>
                      <w:sz w:val="21"/>
                      <w:szCs w:val="21"/>
                    </w:rPr>
                    <w:t>m</w:t>
                  </w:r>
                  <w:r>
                    <w:rPr>
                      <w:rFonts w:hint="eastAsia"/>
                      <w:kern w:val="2"/>
                      <w:sz w:val="21"/>
                      <w:szCs w:val="21"/>
                    </w:rPr>
                    <w:t>高放散管有组织排放，</w:t>
                  </w:r>
                  <w:r>
                    <w:rPr>
                      <w:kern w:val="2"/>
                      <w:sz w:val="21"/>
                      <w:szCs w:val="21"/>
                    </w:rPr>
                    <w:t xml:space="preserve">满足《液化天然气 (LNG) 汽车加气站设计与施工规范》 (NB/ 1001- 2011)  </w:t>
                  </w:r>
                  <w:r>
                    <w:rPr>
                      <w:rFonts w:hint="eastAsia"/>
                      <w:kern w:val="2"/>
                      <w:sz w:val="21"/>
                      <w:szCs w:val="21"/>
                    </w:rPr>
                    <w:t>的</w:t>
                  </w:r>
                  <w:r>
                    <w:rPr>
                      <w:kern w:val="2"/>
                      <w:sz w:val="21"/>
                      <w:szCs w:val="21"/>
                    </w:rPr>
                    <w:t>规定</w:t>
                  </w:r>
                  <w:r>
                    <w:rPr>
                      <w:rFonts w:hint="eastAsia"/>
                      <w:kern w:val="2"/>
                      <w:sz w:val="21"/>
                      <w:szCs w:val="21"/>
                    </w:rPr>
                    <w:t>。</w:t>
                  </w:r>
                </w:p>
              </w:tc>
              <w:tc>
                <w:tcPr>
                  <w:tcW w:w="425" w:type="pct"/>
                  <w:vMerge w:val="restart"/>
                  <w:noWrap w:val="0"/>
                  <w:vAlign w:val="center"/>
                </w:tcPr>
                <w:p>
                  <w:pPr>
                    <w:pStyle w:val="69"/>
                    <w:spacing w:line="240" w:lineRule="auto"/>
                    <w:ind w:firstLine="0" w:firstLineChars="0"/>
                    <w:rPr>
                      <w:sz w:val="21"/>
                      <w:szCs w:val="21"/>
                    </w:rPr>
                  </w:pPr>
                  <w:r>
                    <w:rPr>
                      <w:kern w:val="2"/>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noWrap w:val="0"/>
                  <w:vAlign w:val="center"/>
                </w:tcPr>
                <w:p>
                  <w:pPr>
                    <w:adjustRightInd w:val="0"/>
                    <w:snapToGrid w:val="0"/>
                    <w:jc w:val="center"/>
                    <w:rPr>
                      <w:szCs w:val="21"/>
                    </w:rPr>
                  </w:pPr>
                </w:p>
              </w:tc>
              <w:tc>
                <w:tcPr>
                  <w:tcW w:w="372" w:type="pct"/>
                  <w:noWrap w:val="0"/>
                  <w:vAlign w:val="center"/>
                </w:tcPr>
                <w:p>
                  <w:pPr>
                    <w:adjustRightInd w:val="0"/>
                    <w:snapToGrid w:val="0"/>
                    <w:jc w:val="center"/>
                    <w:rPr>
                      <w:szCs w:val="21"/>
                    </w:rPr>
                  </w:pPr>
                  <w:r>
                    <w:rPr>
                      <w:rFonts w:hint="eastAsia"/>
                      <w:szCs w:val="21"/>
                    </w:rPr>
                    <w:t>通川区</w:t>
                  </w:r>
                </w:p>
              </w:tc>
              <w:tc>
                <w:tcPr>
                  <w:tcW w:w="2456" w:type="pct"/>
                  <w:noWrap w:val="0"/>
                  <w:vAlign w:val="center"/>
                </w:tcPr>
                <w:p>
                  <w:pPr>
                    <w:pStyle w:val="69"/>
                    <w:spacing w:line="240" w:lineRule="auto"/>
                    <w:ind w:firstLine="0" w:firstLineChars="0"/>
                    <w:rPr>
                      <w:kern w:val="2"/>
                      <w:sz w:val="21"/>
                      <w:szCs w:val="21"/>
                    </w:rPr>
                  </w:pPr>
                  <w:r>
                    <w:rPr>
                      <w:kern w:val="2"/>
                      <w:sz w:val="21"/>
                      <w:szCs w:val="21"/>
                    </w:rPr>
                    <w:t>1</w:t>
                  </w:r>
                  <w:r>
                    <w:rPr>
                      <w:rFonts w:hint="eastAsia"/>
                      <w:kern w:val="2"/>
                      <w:sz w:val="21"/>
                      <w:szCs w:val="21"/>
                    </w:rPr>
                    <w:t>．调</w:t>
                  </w:r>
                  <w:r>
                    <w:rPr>
                      <w:kern w:val="2"/>
                      <w:sz w:val="21"/>
                      <w:szCs w:val="21"/>
                    </w:rPr>
                    <w:t>整农作物种植结构，加强农业氨污染控制，大力发展节水农业；</w:t>
                  </w:r>
                </w:p>
                <w:p>
                  <w:pPr>
                    <w:pStyle w:val="69"/>
                    <w:spacing w:line="240" w:lineRule="auto"/>
                    <w:ind w:firstLine="0" w:firstLineChars="0"/>
                    <w:rPr>
                      <w:rFonts w:hint="eastAsia"/>
                      <w:kern w:val="2"/>
                      <w:sz w:val="21"/>
                      <w:szCs w:val="21"/>
                    </w:rPr>
                  </w:pPr>
                  <w:r>
                    <w:rPr>
                      <w:kern w:val="2"/>
                      <w:sz w:val="21"/>
                      <w:szCs w:val="21"/>
                    </w:rPr>
                    <w:t>2</w:t>
                  </w:r>
                  <w:r>
                    <w:rPr>
                      <w:rFonts w:hint="eastAsia"/>
                      <w:kern w:val="2"/>
                      <w:sz w:val="21"/>
                      <w:szCs w:val="21"/>
                    </w:rPr>
                    <w:t>．加强建筑工程日常监管，对重点环节采取遮盖、洒水、封闭等措施控制扬尘排放。提高道路硬化率，减少道路起尘源。推动非道路移动机械达标排放示范企业建设；</w:t>
                  </w:r>
                </w:p>
                <w:p>
                  <w:pPr>
                    <w:pStyle w:val="69"/>
                    <w:spacing w:line="240" w:lineRule="auto"/>
                    <w:ind w:firstLine="0" w:firstLineChars="0"/>
                    <w:rPr>
                      <w:rFonts w:hint="eastAsia"/>
                      <w:kern w:val="2"/>
                      <w:sz w:val="21"/>
                      <w:szCs w:val="21"/>
                    </w:rPr>
                  </w:pPr>
                  <w:r>
                    <w:rPr>
                      <w:kern w:val="2"/>
                      <w:sz w:val="21"/>
                      <w:szCs w:val="21"/>
                    </w:rPr>
                    <w:t>3</w:t>
                  </w:r>
                  <w:r>
                    <w:rPr>
                      <w:rFonts w:hint="eastAsia"/>
                      <w:kern w:val="2"/>
                      <w:sz w:val="21"/>
                      <w:szCs w:val="21"/>
                    </w:rPr>
                    <w:t>．优化调整产业布局，以</w:t>
                  </w:r>
                  <w:r>
                    <w:rPr>
                      <w:kern w:val="2"/>
                      <w:sz w:val="21"/>
                      <w:szCs w:val="21"/>
                    </w:rPr>
                    <w:t>PM</w:t>
                  </w:r>
                  <w:r>
                    <w:rPr>
                      <w:kern w:val="2"/>
                      <w:sz w:val="21"/>
                      <w:szCs w:val="21"/>
                      <w:vertAlign w:val="subscript"/>
                    </w:rPr>
                    <w:t>2.5</w:t>
                  </w:r>
                  <w:r>
                    <w:rPr>
                      <w:kern w:val="2"/>
                      <w:sz w:val="21"/>
                      <w:szCs w:val="21"/>
                    </w:rPr>
                    <w:t>和臭氧污染协同控制为重点，全面开展VOCs</w:t>
                  </w:r>
                  <w:r>
                    <w:rPr>
                      <w:rFonts w:hint="eastAsia"/>
                      <w:kern w:val="2"/>
                      <w:sz w:val="21"/>
                      <w:szCs w:val="21"/>
                    </w:rPr>
                    <w:t>治理，实施移动源整治，持续推进空气质量精细化管理；</w:t>
                  </w:r>
                </w:p>
                <w:p>
                  <w:pPr>
                    <w:pStyle w:val="69"/>
                    <w:spacing w:line="240" w:lineRule="auto"/>
                    <w:ind w:firstLine="0" w:firstLineChars="0"/>
                    <w:rPr>
                      <w:kern w:val="2"/>
                      <w:sz w:val="21"/>
                      <w:szCs w:val="21"/>
                    </w:rPr>
                  </w:pPr>
                  <w:r>
                    <w:rPr>
                      <w:kern w:val="2"/>
                      <w:sz w:val="21"/>
                      <w:szCs w:val="21"/>
                    </w:rPr>
                    <w:t>4</w:t>
                  </w:r>
                  <w:r>
                    <w:rPr>
                      <w:rFonts w:hint="eastAsia"/>
                      <w:kern w:val="2"/>
                      <w:sz w:val="21"/>
                      <w:szCs w:val="21"/>
                    </w:rPr>
                    <w:t>．建立健全农业节水体系，推广使用节水灌溉技术，探索乡镇、农村生活污染水资源化还田利用。</w:t>
                  </w:r>
                  <w:r>
                    <w:rPr>
                      <w:kern w:val="2"/>
                      <w:sz w:val="21"/>
                      <w:szCs w:val="21"/>
                    </w:rPr>
                    <w:t>大力整治沿河畜禽养殖污染整治，实现畜禽粪污减量化排放、无害化处理和资源化利用。</w:t>
                  </w:r>
                </w:p>
              </w:tc>
              <w:tc>
                <w:tcPr>
                  <w:tcW w:w="1272" w:type="pct"/>
                  <w:vMerge w:val="continue"/>
                  <w:noWrap w:val="0"/>
                  <w:vAlign w:val="center"/>
                </w:tcPr>
                <w:p>
                  <w:pPr>
                    <w:pStyle w:val="69"/>
                    <w:spacing w:line="240" w:lineRule="auto"/>
                    <w:ind w:firstLine="398"/>
                    <w:jc w:val="center"/>
                    <w:rPr>
                      <w:b/>
                      <w:bCs/>
                      <w:kern w:val="2"/>
                      <w:sz w:val="21"/>
                      <w:szCs w:val="21"/>
                    </w:rPr>
                  </w:pPr>
                </w:p>
              </w:tc>
              <w:tc>
                <w:tcPr>
                  <w:tcW w:w="425" w:type="pct"/>
                  <w:vMerge w:val="continue"/>
                  <w:noWrap w:val="0"/>
                  <w:vAlign w:val="center"/>
                </w:tcPr>
                <w:p>
                  <w:pPr>
                    <w:pStyle w:val="69"/>
                    <w:spacing w:line="240" w:lineRule="auto"/>
                    <w:ind w:firstLine="396"/>
                    <w:jc w:val="center"/>
                    <w:rPr>
                      <w:sz w:val="21"/>
                      <w:szCs w:val="21"/>
                    </w:rPr>
                  </w:pPr>
                </w:p>
              </w:tc>
            </w:tr>
          </w:tbl>
          <w:p>
            <w:pPr>
              <w:spacing w:line="360" w:lineRule="auto"/>
              <w:ind w:firstLine="482" w:firstLineChars="200"/>
              <w:rPr>
                <w:rFonts w:hint="eastAsia"/>
                <w:b/>
                <w:bCs/>
                <w:sz w:val="24"/>
              </w:rPr>
            </w:pPr>
            <w:r>
              <w:rPr>
                <w:rFonts w:hint="eastAsia"/>
                <w:b/>
                <w:bCs/>
                <w:sz w:val="24"/>
              </w:rPr>
              <w:t>2）与四川省生态环境厅办公室关于印发《产业园区规划环评“三线一单”符合性分析技术要点（试行）》和《项目环评“三线一单”符合性分析技术要点（试行）》的通知（川环办函〔2021〕469号）符合性分析</w:t>
            </w:r>
          </w:p>
          <w:p>
            <w:pPr>
              <w:spacing w:line="360" w:lineRule="auto"/>
              <w:ind w:firstLine="480" w:firstLineChars="200"/>
              <w:rPr>
                <w:rFonts w:hint="eastAsia"/>
                <w:sz w:val="24"/>
              </w:rPr>
            </w:pPr>
            <w:r>
              <w:rPr>
                <w:rFonts w:hint="eastAsia"/>
                <w:sz w:val="24"/>
              </w:rPr>
              <w:t>根据四川政务服务网查询结果，本项目涉及到5个环境管控单元，涉及的管控单元详见下表：</w:t>
            </w: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rFonts w:hint="eastAsia"/>
                <w:b/>
                <w:bCs/>
                <w:szCs w:val="21"/>
              </w:rPr>
            </w:pPr>
            <w:r>
              <w:rPr>
                <w:rFonts w:hint="eastAsia"/>
                <w:b/>
                <w:bCs/>
                <w:szCs w:val="21"/>
              </w:rPr>
              <w:t>表1-5 项目涉及环境管控单元一览表</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1702"/>
              <w:gridCol w:w="875"/>
              <w:gridCol w:w="613"/>
              <w:gridCol w:w="1069"/>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blHeader/>
                <w:jc w:val="center"/>
              </w:trPr>
              <w:tc>
                <w:tcPr>
                  <w:tcW w:w="1229" w:type="pct"/>
                  <w:noWrap w:val="0"/>
                  <w:vAlign w:val="center"/>
                </w:tcPr>
                <w:p>
                  <w:pPr>
                    <w:widowControl/>
                    <w:jc w:val="center"/>
                    <w:rPr>
                      <w:b/>
                      <w:bCs/>
                      <w:kern w:val="0"/>
                      <w:szCs w:val="21"/>
                    </w:rPr>
                  </w:pPr>
                  <w:r>
                    <w:rPr>
                      <w:b/>
                      <w:bCs/>
                      <w:kern w:val="0"/>
                      <w:szCs w:val="21"/>
                    </w:rPr>
                    <w:t>环境管控单元编码</w:t>
                  </w:r>
                </w:p>
              </w:tc>
              <w:tc>
                <w:tcPr>
                  <w:tcW w:w="1114" w:type="pct"/>
                  <w:noWrap w:val="0"/>
                  <w:vAlign w:val="center"/>
                </w:tcPr>
                <w:p>
                  <w:pPr>
                    <w:widowControl/>
                    <w:jc w:val="center"/>
                    <w:rPr>
                      <w:b/>
                      <w:bCs/>
                      <w:kern w:val="0"/>
                      <w:szCs w:val="21"/>
                    </w:rPr>
                  </w:pPr>
                  <w:r>
                    <w:rPr>
                      <w:b/>
                      <w:bCs/>
                      <w:kern w:val="0"/>
                      <w:szCs w:val="21"/>
                    </w:rPr>
                    <w:t>环境管控单元名称</w:t>
                  </w:r>
                </w:p>
              </w:tc>
              <w:tc>
                <w:tcPr>
                  <w:tcW w:w="573" w:type="pct"/>
                  <w:noWrap w:val="0"/>
                  <w:vAlign w:val="center"/>
                </w:tcPr>
                <w:p>
                  <w:pPr>
                    <w:widowControl/>
                    <w:jc w:val="center"/>
                    <w:rPr>
                      <w:rFonts w:hint="eastAsia"/>
                      <w:b/>
                      <w:bCs/>
                      <w:kern w:val="0"/>
                      <w:szCs w:val="21"/>
                    </w:rPr>
                  </w:pPr>
                  <w:r>
                    <w:rPr>
                      <w:b/>
                      <w:bCs/>
                      <w:kern w:val="0"/>
                      <w:szCs w:val="21"/>
                    </w:rPr>
                    <w:t>所属</w:t>
                  </w:r>
                  <w:r>
                    <w:rPr>
                      <w:rFonts w:hint="eastAsia"/>
                      <w:b/>
                      <w:bCs/>
                      <w:kern w:val="0"/>
                      <w:szCs w:val="21"/>
                    </w:rPr>
                    <w:t>市（州）</w:t>
                  </w:r>
                </w:p>
              </w:tc>
              <w:tc>
                <w:tcPr>
                  <w:tcW w:w="401" w:type="pct"/>
                  <w:noWrap w:val="0"/>
                  <w:vAlign w:val="center"/>
                </w:tcPr>
                <w:p>
                  <w:pPr>
                    <w:widowControl/>
                    <w:jc w:val="center"/>
                    <w:rPr>
                      <w:b/>
                      <w:bCs/>
                      <w:kern w:val="0"/>
                      <w:szCs w:val="21"/>
                    </w:rPr>
                  </w:pPr>
                  <w:r>
                    <w:rPr>
                      <w:b/>
                      <w:bCs/>
                      <w:kern w:val="0"/>
                      <w:szCs w:val="21"/>
                    </w:rPr>
                    <w:t>所属区县</w:t>
                  </w:r>
                </w:p>
              </w:tc>
              <w:tc>
                <w:tcPr>
                  <w:tcW w:w="700" w:type="pct"/>
                  <w:noWrap w:val="0"/>
                  <w:vAlign w:val="center"/>
                </w:tcPr>
                <w:p>
                  <w:pPr>
                    <w:widowControl/>
                    <w:jc w:val="center"/>
                    <w:rPr>
                      <w:b/>
                      <w:bCs/>
                      <w:kern w:val="0"/>
                      <w:szCs w:val="21"/>
                    </w:rPr>
                  </w:pPr>
                  <w:r>
                    <w:rPr>
                      <w:b/>
                      <w:bCs/>
                      <w:kern w:val="0"/>
                      <w:szCs w:val="21"/>
                    </w:rPr>
                    <w:t>准入清单类型</w:t>
                  </w:r>
                </w:p>
              </w:tc>
              <w:tc>
                <w:tcPr>
                  <w:tcW w:w="984" w:type="pct"/>
                  <w:noWrap w:val="0"/>
                  <w:vAlign w:val="center"/>
                </w:tcPr>
                <w:p>
                  <w:pPr>
                    <w:widowControl/>
                    <w:jc w:val="center"/>
                    <w:rPr>
                      <w:b/>
                      <w:bCs/>
                      <w:kern w:val="0"/>
                      <w:szCs w:val="21"/>
                    </w:rPr>
                  </w:pPr>
                  <w:r>
                    <w:rPr>
                      <w:b/>
                      <w:bCs/>
                      <w:kern w:val="0"/>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blHeader/>
                <w:jc w:val="center"/>
              </w:trPr>
              <w:tc>
                <w:tcPr>
                  <w:tcW w:w="1229" w:type="pct"/>
                  <w:noWrap w:val="0"/>
                  <w:vAlign w:val="center"/>
                </w:tcPr>
                <w:p>
                  <w:pPr>
                    <w:pStyle w:val="882"/>
                    <w:widowControl/>
                    <w:spacing w:line="240" w:lineRule="auto"/>
                    <w:ind w:firstLine="0" w:firstLineChars="0"/>
                    <w:jc w:val="center"/>
                    <w:rPr>
                      <w:rFonts w:eastAsia="宋体"/>
                      <w:sz w:val="21"/>
                    </w:rPr>
                  </w:pPr>
                  <w:r>
                    <w:rPr>
                      <w:rFonts w:eastAsia="宋体"/>
                      <w:sz w:val="21"/>
                    </w:rPr>
                    <w:t>ZH51170220001</w:t>
                  </w:r>
                </w:p>
              </w:tc>
              <w:tc>
                <w:tcPr>
                  <w:tcW w:w="1114" w:type="pct"/>
                  <w:noWrap w:val="0"/>
                  <w:vAlign w:val="center"/>
                </w:tcPr>
                <w:p>
                  <w:pPr>
                    <w:pStyle w:val="882"/>
                    <w:widowControl/>
                    <w:spacing w:line="240" w:lineRule="auto"/>
                    <w:ind w:firstLine="0" w:firstLineChars="0"/>
                    <w:jc w:val="center"/>
                    <w:rPr>
                      <w:rFonts w:eastAsia="宋体"/>
                      <w:sz w:val="21"/>
                    </w:rPr>
                  </w:pPr>
                  <w:r>
                    <w:rPr>
                      <w:rFonts w:eastAsia="宋体"/>
                      <w:sz w:val="21"/>
                    </w:rPr>
                    <w:t>通川区中心城区</w:t>
                  </w:r>
                </w:p>
              </w:tc>
              <w:tc>
                <w:tcPr>
                  <w:tcW w:w="573" w:type="pct"/>
                  <w:noWrap w:val="0"/>
                  <w:vAlign w:val="center"/>
                </w:tcPr>
                <w:p>
                  <w:pPr>
                    <w:pStyle w:val="882"/>
                    <w:widowControl/>
                    <w:spacing w:line="240" w:lineRule="auto"/>
                    <w:ind w:firstLine="0" w:firstLineChars="0"/>
                    <w:jc w:val="center"/>
                    <w:rPr>
                      <w:rFonts w:eastAsia="宋体"/>
                      <w:sz w:val="21"/>
                    </w:rPr>
                  </w:pPr>
                  <w:r>
                    <w:rPr>
                      <w:rFonts w:eastAsia="宋体"/>
                      <w:sz w:val="21"/>
                    </w:rPr>
                    <w:t>达州市</w:t>
                  </w:r>
                </w:p>
              </w:tc>
              <w:tc>
                <w:tcPr>
                  <w:tcW w:w="401" w:type="pct"/>
                  <w:noWrap w:val="0"/>
                  <w:vAlign w:val="center"/>
                </w:tcPr>
                <w:p>
                  <w:pPr>
                    <w:pStyle w:val="882"/>
                    <w:widowControl/>
                    <w:spacing w:line="240" w:lineRule="auto"/>
                    <w:ind w:firstLine="0" w:firstLineChars="0"/>
                    <w:jc w:val="center"/>
                    <w:rPr>
                      <w:rFonts w:eastAsia="宋体"/>
                      <w:sz w:val="21"/>
                    </w:rPr>
                  </w:pPr>
                  <w:r>
                    <w:rPr>
                      <w:rFonts w:eastAsia="宋体"/>
                      <w:sz w:val="21"/>
                    </w:rPr>
                    <w:t>通川区</w:t>
                  </w:r>
                </w:p>
              </w:tc>
              <w:tc>
                <w:tcPr>
                  <w:tcW w:w="700" w:type="pct"/>
                  <w:noWrap w:val="0"/>
                  <w:vAlign w:val="center"/>
                </w:tcPr>
                <w:p>
                  <w:pPr>
                    <w:pStyle w:val="882"/>
                    <w:widowControl/>
                    <w:spacing w:line="240" w:lineRule="auto"/>
                    <w:ind w:firstLine="0" w:firstLineChars="0"/>
                    <w:jc w:val="center"/>
                    <w:rPr>
                      <w:rFonts w:eastAsia="宋体"/>
                      <w:sz w:val="21"/>
                    </w:rPr>
                  </w:pPr>
                  <w:r>
                    <w:rPr>
                      <w:rFonts w:eastAsia="宋体"/>
                      <w:sz w:val="21"/>
                    </w:rPr>
                    <w:t>环境管控单元</w:t>
                  </w:r>
                </w:p>
              </w:tc>
              <w:tc>
                <w:tcPr>
                  <w:tcW w:w="984" w:type="pct"/>
                  <w:noWrap w:val="0"/>
                  <w:vAlign w:val="center"/>
                </w:tcPr>
                <w:p>
                  <w:pPr>
                    <w:pStyle w:val="882"/>
                    <w:widowControl/>
                    <w:spacing w:line="240" w:lineRule="auto"/>
                    <w:ind w:firstLine="0" w:firstLineChars="0"/>
                    <w:jc w:val="center"/>
                    <w:rPr>
                      <w:rFonts w:eastAsia="宋体"/>
                      <w:sz w:val="21"/>
                    </w:rPr>
                  </w:pPr>
                  <w:r>
                    <w:rPr>
                      <w:rFonts w:eastAsia="宋体"/>
                      <w:sz w:val="21"/>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blHeader/>
                <w:jc w:val="center"/>
              </w:trPr>
              <w:tc>
                <w:tcPr>
                  <w:tcW w:w="1229" w:type="pct"/>
                  <w:noWrap w:val="0"/>
                  <w:vAlign w:val="center"/>
                </w:tcPr>
                <w:p>
                  <w:pPr>
                    <w:pStyle w:val="882"/>
                    <w:widowControl/>
                    <w:spacing w:line="240" w:lineRule="auto"/>
                    <w:ind w:firstLine="0" w:firstLineChars="0"/>
                    <w:jc w:val="center"/>
                    <w:rPr>
                      <w:rFonts w:eastAsia="宋体"/>
                      <w:sz w:val="21"/>
                    </w:rPr>
                  </w:pPr>
                  <w:r>
                    <w:rPr>
                      <w:rFonts w:eastAsia="宋体"/>
                      <w:sz w:val="21"/>
                    </w:rPr>
                    <w:t>YS5117022220001</w:t>
                  </w:r>
                </w:p>
              </w:tc>
              <w:tc>
                <w:tcPr>
                  <w:tcW w:w="1114" w:type="pct"/>
                  <w:noWrap w:val="0"/>
                  <w:vAlign w:val="center"/>
                </w:tcPr>
                <w:p>
                  <w:pPr>
                    <w:pStyle w:val="882"/>
                    <w:widowControl/>
                    <w:spacing w:line="240" w:lineRule="auto"/>
                    <w:ind w:firstLine="0" w:firstLineChars="0"/>
                    <w:jc w:val="center"/>
                    <w:rPr>
                      <w:rFonts w:eastAsia="宋体"/>
                      <w:sz w:val="21"/>
                    </w:rPr>
                  </w:pPr>
                  <w:r>
                    <w:rPr>
                      <w:rFonts w:eastAsia="宋体"/>
                      <w:sz w:val="21"/>
                    </w:rPr>
                    <w:t>州河通川区车家河控制单元</w:t>
                  </w:r>
                </w:p>
              </w:tc>
              <w:tc>
                <w:tcPr>
                  <w:tcW w:w="573" w:type="pct"/>
                  <w:noWrap w:val="0"/>
                  <w:vAlign w:val="center"/>
                </w:tcPr>
                <w:p>
                  <w:pPr>
                    <w:pStyle w:val="882"/>
                    <w:widowControl/>
                    <w:spacing w:line="240" w:lineRule="auto"/>
                    <w:ind w:firstLine="0" w:firstLineChars="0"/>
                    <w:jc w:val="center"/>
                    <w:rPr>
                      <w:rFonts w:eastAsia="宋体"/>
                      <w:sz w:val="21"/>
                    </w:rPr>
                  </w:pPr>
                  <w:r>
                    <w:rPr>
                      <w:rFonts w:eastAsia="宋体"/>
                      <w:sz w:val="21"/>
                    </w:rPr>
                    <w:t>达州市</w:t>
                  </w:r>
                </w:p>
              </w:tc>
              <w:tc>
                <w:tcPr>
                  <w:tcW w:w="401" w:type="pct"/>
                  <w:noWrap w:val="0"/>
                  <w:vAlign w:val="center"/>
                </w:tcPr>
                <w:p>
                  <w:pPr>
                    <w:pStyle w:val="882"/>
                    <w:widowControl/>
                    <w:spacing w:line="240" w:lineRule="auto"/>
                    <w:ind w:firstLine="0" w:firstLineChars="0"/>
                    <w:jc w:val="center"/>
                    <w:rPr>
                      <w:rFonts w:eastAsia="宋体"/>
                      <w:sz w:val="21"/>
                    </w:rPr>
                  </w:pPr>
                  <w:r>
                    <w:rPr>
                      <w:rFonts w:eastAsia="宋体"/>
                      <w:sz w:val="21"/>
                    </w:rPr>
                    <w:t>通川区</w:t>
                  </w:r>
                </w:p>
              </w:tc>
              <w:tc>
                <w:tcPr>
                  <w:tcW w:w="700" w:type="pct"/>
                  <w:noWrap w:val="0"/>
                  <w:vAlign w:val="center"/>
                </w:tcPr>
                <w:p>
                  <w:pPr>
                    <w:pStyle w:val="882"/>
                    <w:widowControl/>
                    <w:spacing w:line="240" w:lineRule="auto"/>
                    <w:ind w:firstLine="0" w:firstLineChars="0"/>
                    <w:jc w:val="center"/>
                    <w:rPr>
                      <w:rFonts w:eastAsia="宋体"/>
                      <w:sz w:val="21"/>
                    </w:rPr>
                  </w:pPr>
                  <w:r>
                    <w:rPr>
                      <w:rFonts w:eastAsia="宋体"/>
                      <w:sz w:val="21"/>
                    </w:rPr>
                    <w:t>水环境管控分区</w:t>
                  </w:r>
                </w:p>
              </w:tc>
              <w:tc>
                <w:tcPr>
                  <w:tcW w:w="984" w:type="pct"/>
                  <w:noWrap w:val="0"/>
                  <w:vAlign w:val="center"/>
                </w:tcPr>
                <w:p>
                  <w:pPr>
                    <w:pStyle w:val="882"/>
                    <w:widowControl/>
                    <w:spacing w:line="240" w:lineRule="auto"/>
                    <w:ind w:firstLine="0" w:firstLineChars="0"/>
                    <w:jc w:val="center"/>
                    <w:rPr>
                      <w:rFonts w:eastAsia="宋体"/>
                      <w:sz w:val="21"/>
                    </w:rPr>
                  </w:pPr>
                  <w:r>
                    <w:rPr>
                      <w:rFonts w:eastAsia="宋体"/>
                      <w:sz w:val="21"/>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blHeader/>
                <w:jc w:val="center"/>
              </w:trPr>
              <w:tc>
                <w:tcPr>
                  <w:tcW w:w="1229" w:type="pct"/>
                  <w:noWrap w:val="0"/>
                  <w:vAlign w:val="center"/>
                </w:tcPr>
                <w:p>
                  <w:pPr>
                    <w:pStyle w:val="882"/>
                    <w:widowControl/>
                    <w:spacing w:line="240" w:lineRule="auto"/>
                    <w:ind w:firstLine="0" w:firstLineChars="0"/>
                    <w:jc w:val="center"/>
                    <w:rPr>
                      <w:rFonts w:eastAsia="宋体"/>
                      <w:sz w:val="21"/>
                    </w:rPr>
                  </w:pPr>
                  <w:r>
                    <w:rPr>
                      <w:rFonts w:eastAsia="宋体"/>
                      <w:sz w:val="21"/>
                    </w:rPr>
                    <w:t>YS5117022340005</w:t>
                  </w:r>
                </w:p>
              </w:tc>
              <w:tc>
                <w:tcPr>
                  <w:tcW w:w="1114" w:type="pct"/>
                  <w:noWrap w:val="0"/>
                  <w:vAlign w:val="center"/>
                </w:tcPr>
                <w:p>
                  <w:pPr>
                    <w:pStyle w:val="882"/>
                    <w:widowControl/>
                    <w:spacing w:line="240" w:lineRule="auto"/>
                    <w:ind w:firstLine="0" w:firstLineChars="0"/>
                    <w:jc w:val="center"/>
                    <w:rPr>
                      <w:rFonts w:eastAsia="宋体"/>
                      <w:sz w:val="21"/>
                    </w:rPr>
                  </w:pPr>
                  <w:r>
                    <w:rPr>
                      <w:rFonts w:eastAsia="宋体"/>
                      <w:sz w:val="21"/>
                    </w:rPr>
                    <w:t>通川区中心城区</w:t>
                  </w:r>
                </w:p>
              </w:tc>
              <w:tc>
                <w:tcPr>
                  <w:tcW w:w="573" w:type="pct"/>
                  <w:noWrap w:val="0"/>
                  <w:vAlign w:val="center"/>
                </w:tcPr>
                <w:p>
                  <w:pPr>
                    <w:pStyle w:val="882"/>
                    <w:widowControl/>
                    <w:spacing w:line="240" w:lineRule="auto"/>
                    <w:ind w:firstLine="0" w:firstLineChars="0"/>
                    <w:jc w:val="center"/>
                    <w:rPr>
                      <w:rFonts w:eastAsia="宋体"/>
                      <w:sz w:val="21"/>
                    </w:rPr>
                  </w:pPr>
                  <w:r>
                    <w:rPr>
                      <w:rFonts w:eastAsia="宋体"/>
                      <w:sz w:val="21"/>
                    </w:rPr>
                    <w:t>达州市</w:t>
                  </w:r>
                </w:p>
              </w:tc>
              <w:tc>
                <w:tcPr>
                  <w:tcW w:w="401" w:type="pct"/>
                  <w:noWrap w:val="0"/>
                  <w:vAlign w:val="center"/>
                </w:tcPr>
                <w:p>
                  <w:pPr>
                    <w:pStyle w:val="882"/>
                    <w:widowControl/>
                    <w:spacing w:line="240" w:lineRule="auto"/>
                    <w:ind w:firstLine="0" w:firstLineChars="0"/>
                    <w:jc w:val="center"/>
                    <w:rPr>
                      <w:rFonts w:eastAsia="宋体"/>
                      <w:sz w:val="21"/>
                    </w:rPr>
                  </w:pPr>
                  <w:r>
                    <w:rPr>
                      <w:rFonts w:eastAsia="宋体"/>
                      <w:sz w:val="21"/>
                    </w:rPr>
                    <w:t>通川区</w:t>
                  </w:r>
                </w:p>
              </w:tc>
              <w:tc>
                <w:tcPr>
                  <w:tcW w:w="700" w:type="pct"/>
                  <w:noWrap w:val="0"/>
                  <w:vAlign w:val="center"/>
                </w:tcPr>
                <w:p>
                  <w:pPr>
                    <w:pStyle w:val="882"/>
                    <w:widowControl/>
                    <w:spacing w:line="240" w:lineRule="auto"/>
                    <w:ind w:firstLine="0" w:firstLineChars="0"/>
                    <w:jc w:val="center"/>
                    <w:rPr>
                      <w:rFonts w:eastAsia="宋体"/>
                      <w:sz w:val="21"/>
                    </w:rPr>
                  </w:pPr>
                  <w:r>
                    <w:rPr>
                      <w:rFonts w:eastAsia="宋体"/>
                      <w:sz w:val="21"/>
                    </w:rPr>
                    <w:t>大气环境管控分区</w:t>
                  </w:r>
                </w:p>
              </w:tc>
              <w:tc>
                <w:tcPr>
                  <w:tcW w:w="984" w:type="pct"/>
                  <w:noWrap w:val="0"/>
                  <w:vAlign w:val="center"/>
                </w:tcPr>
                <w:p>
                  <w:pPr>
                    <w:pStyle w:val="882"/>
                    <w:widowControl/>
                    <w:spacing w:line="240" w:lineRule="auto"/>
                    <w:ind w:firstLine="0" w:firstLineChars="0"/>
                    <w:jc w:val="center"/>
                    <w:rPr>
                      <w:rFonts w:eastAsia="宋体"/>
                      <w:sz w:val="21"/>
                    </w:rPr>
                  </w:pPr>
                  <w:r>
                    <w:rPr>
                      <w:rFonts w:eastAsia="宋体"/>
                      <w:sz w:val="21"/>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blHeader/>
                <w:jc w:val="center"/>
              </w:trPr>
              <w:tc>
                <w:tcPr>
                  <w:tcW w:w="1229" w:type="pct"/>
                  <w:noWrap w:val="0"/>
                  <w:vAlign w:val="center"/>
                </w:tcPr>
                <w:p>
                  <w:pPr>
                    <w:pStyle w:val="882"/>
                    <w:widowControl/>
                    <w:spacing w:line="240" w:lineRule="auto"/>
                    <w:ind w:firstLine="0" w:firstLineChars="0"/>
                    <w:jc w:val="center"/>
                    <w:rPr>
                      <w:rFonts w:eastAsia="宋体"/>
                      <w:sz w:val="21"/>
                    </w:rPr>
                  </w:pPr>
                  <w:r>
                    <w:rPr>
                      <w:rFonts w:eastAsia="宋体"/>
                      <w:sz w:val="21"/>
                    </w:rPr>
                    <w:t>YS5117022540001</w:t>
                  </w:r>
                </w:p>
              </w:tc>
              <w:tc>
                <w:tcPr>
                  <w:tcW w:w="1114" w:type="pct"/>
                  <w:noWrap w:val="0"/>
                  <w:vAlign w:val="center"/>
                </w:tcPr>
                <w:p>
                  <w:pPr>
                    <w:pStyle w:val="882"/>
                    <w:widowControl/>
                    <w:spacing w:line="240" w:lineRule="auto"/>
                    <w:ind w:firstLine="0" w:firstLineChars="0"/>
                    <w:jc w:val="center"/>
                    <w:rPr>
                      <w:rFonts w:eastAsia="宋体"/>
                      <w:sz w:val="21"/>
                    </w:rPr>
                  </w:pPr>
                  <w:r>
                    <w:rPr>
                      <w:rFonts w:eastAsia="宋体"/>
                      <w:sz w:val="21"/>
                    </w:rPr>
                    <w:t>通川区禁燃区</w:t>
                  </w:r>
                </w:p>
              </w:tc>
              <w:tc>
                <w:tcPr>
                  <w:tcW w:w="573" w:type="pct"/>
                  <w:noWrap w:val="0"/>
                  <w:vAlign w:val="center"/>
                </w:tcPr>
                <w:p>
                  <w:pPr>
                    <w:pStyle w:val="882"/>
                    <w:widowControl/>
                    <w:spacing w:line="240" w:lineRule="auto"/>
                    <w:ind w:firstLine="0" w:firstLineChars="0"/>
                    <w:jc w:val="center"/>
                    <w:rPr>
                      <w:rFonts w:eastAsia="宋体"/>
                      <w:sz w:val="21"/>
                    </w:rPr>
                  </w:pPr>
                  <w:r>
                    <w:rPr>
                      <w:rFonts w:eastAsia="宋体"/>
                      <w:sz w:val="21"/>
                    </w:rPr>
                    <w:t>达州市</w:t>
                  </w:r>
                </w:p>
              </w:tc>
              <w:tc>
                <w:tcPr>
                  <w:tcW w:w="401" w:type="pct"/>
                  <w:noWrap w:val="0"/>
                  <w:vAlign w:val="center"/>
                </w:tcPr>
                <w:p>
                  <w:pPr>
                    <w:pStyle w:val="882"/>
                    <w:widowControl/>
                    <w:spacing w:line="240" w:lineRule="auto"/>
                    <w:ind w:firstLine="0" w:firstLineChars="0"/>
                    <w:jc w:val="center"/>
                    <w:rPr>
                      <w:rFonts w:eastAsia="宋体"/>
                      <w:sz w:val="21"/>
                    </w:rPr>
                  </w:pPr>
                  <w:r>
                    <w:rPr>
                      <w:rFonts w:eastAsia="宋体"/>
                      <w:sz w:val="21"/>
                    </w:rPr>
                    <w:t>通川区</w:t>
                  </w:r>
                </w:p>
              </w:tc>
              <w:tc>
                <w:tcPr>
                  <w:tcW w:w="700" w:type="pct"/>
                  <w:noWrap w:val="0"/>
                  <w:vAlign w:val="center"/>
                </w:tcPr>
                <w:p>
                  <w:pPr>
                    <w:pStyle w:val="882"/>
                    <w:widowControl/>
                    <w:spacing w:line="240" w:lineRule="auto"/>
                    <w:ind w:firstLine="0" w:firstLineChars="0"/>
                    <w:jc w:val="center"/>
                    <w:rPr>
                      <w:rFonts w:eastAsia="宋体"/>
                      <w:sz w:val="21"/>
                    </w:rPr>
                  </w:pPr>
                  <w:r>
                    <w:rPr>
                      <w:rFonts w:eastAsia="宋体"/>
                      <w:sz w:val="21"/>
                    </w:rPr>
                    <w:t>自然资源管控分区</w:t>
                  </w:r>
                </w:p>
              </w:tc>
              <w:tc>
                <w:tcPr>
                  <w:tcW w:w="984" w:type="pct"/>
                  <w:noWrap w:val="0"/>
                  <w:vAlign w:val="center"/>
                </w:tcPr>
                <w:p>
                  <w:pPr>
                    <w:pStyle w:val="882"/>
                    <w:widowControl/>
                    <w:spacing w:line="240" w:lineRule="auto"/>
                    <w:ind w:firstLine="0" w:firstLineChars="0"/>
                    <w:jc w:val="center"/>
                    <w:rPr>
                      <w:rFonts w:eastAsia="宋体"/>
                      <w:sz w:val="21"/>
                    </w:rPr>
                  </w:pPr>
                  <w:r>
                    <w:rPr>
                      <w:rFonts w:eastAsia="宋体"/>
                      <w:sz w:val="21"/>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blHeader/>
                <w:jc w:val="center"/>
              </w:trPr>
              <w:tc>
                <w:tcPr>
                  <w:tcW w:w="1229" w:type="pct"/>
                  <w:noWrap w:val="0"/>
                  <w:vAlign w:val="center"/>
                </w:tcPr>
                <w:p>
                  <w:pPr>
                    <w:pStyle w:val="882"/>
                    <w:widowControl/>
                    <w:spacing w:line="240" w:lineRule="auto"/>
                    <w:ind w:firstLine="0" w:firstLineChars="0"/>
                    <w:jc w:val="center"/>
                    <w:rPr>
                      <w:rFonts w:eastAsia="宋体"/>
                      <w:sz w:val="21"/>
                    </w:rPr>
                  </w:pPr>
                  <w:r>
                    <w:rPr>
                      <w:rFonts w:eastAsia="宋体"/>
                      <w:sz w:val="21"/>
                    </w:rPr>
                    <w:t>YS5117022550001</w:t>
                  </w:r>
                </w:p>
              </w:tc>
              <w:tc>
                <w:tcPr>
                  <w:tcW w:w="1114" w:type="pct"/>
                  <w:noWrap w:val="0"/>
                  <w:vAlign w:val="center"/>
                </w:tcPr>
                <w:p>
                  <w:pPr>
                    <w:pStyle w:val="882"/>
                    <w:widowControl/>
                    <w:spacing w:line="240" w:lineRule="auto"/>
                    <w:ind w:firstLine="0" w:firstLineChars="0"/>
                    <w:jc w:val="center"/>
                    <w:rPr>
                      <w:rFonts w:eastAsia="宋体"/>
                      <w:sz w:val="21"/>
                    </w:rPr>
                  </w:pPr>
                  <w:r>
                    <w:rPr>
                      <w:rFonts w:eastAsia="宋体"/>
                      <w:sz w:val="21"/>
                    </w:rPr>
                    <w:t>通川区自然资源重点管控区</w:t>
                  </w:r>
                </w:p>
              </w:tc>
              <w:tc>
                <w:tcPr>
                  <w:tcW w:w="573" w:type="pct"/>
                  <w:noWrap w:val="0"/>
                  <w:vAlign w:val="center"/>
                </w:tcPr>
                <w:p>
                  <w:pPr>
                    <w:pStyle w:val="882"/>
                    <w:widowControl/>
                    <w:spacing w:line="240" w:lineRule="auto"/>
                    <w:ind w:firstLine="0" w:firstLineChars="0"/>
                    <w:jc w:val="center"/>
                    <w:rPr>
                      <w:rFonts w:eastAsia="宋体"/>
                      <w:sz w:val="21"/>
                    </w:rPr>
                  </w:pPr>
                  <w:r>
                    <w:rPr>
                      <w:rFonts w:eastAsia="宋体"/>
                      <w:sz w:val="21"/>
                    </w:rPr>
                    <w:t>达州市</w:t>
                  </w:r>
                </w:p>
              </w:tc>
              <w:tc>
                <w:tcPr>
                  <w:tcW w:w="401" w:type="pct"/>
                  <w:noWrap w:val="0"/>
                  <w:vAlign w:val="center"/>
                </w:tcPr>
                <w:p>
                  <w:pPr>
                    <w:pStyle w:val="882"/>
                    <w:widowControl/>
                    <w:spacing w:line="240" w:lineRule="auto"/>
                    <w:ind w:firstLine="0" w:firstLineChars="0"/>
                    <w:jc w:val="center"/>
                    <w:rPr>
                      <w:rFonts w:eastAsia="宋体"/>
                      <w:sz w:val="21"/>
                    </w:rPr>
                  </w:pPr>
                  <w:r>
                    <w:rPr>
                      <w:rFonts w:eastAsia="宋体"/>
                      <w:sz w:val="21"/>
                    </w:rPr>
                    <w:t>通川区</w:t>
                  </w:r>
                </w:p>
              </w:tc>
              <w:tc>
                <w:tcPr>
                  <w:tcW w:w="700" w:type="pct"/>
                  <w:noWrap w:val="0"/>
                  <w:vAlign w:val="center"/>
                </w:tcPr>
                <w:p>
                  <w:pPr>
                    <w:pStyle w:val="882"/>
                    <w:widowControl/>
                    <w:spacing w:line="240" w:lineRule="auto"/>
                    <w:ind w:firstLine="0" w:firstLineChars="0"/>
                    <w:jc w:val="center"/>
                    <w:rPr>
                      <w:rFonts w:eastAsia="宋体"/>
                      <w:sz w:val="21"/>
                    </w:rPr>
                  </w:pPr>
                  <w:r>
                    <w:rPr>
                      <w:rFonts w:eastAsia="宋体"/>
                      <w:sz w:val="21"/>
                    </w:rPr>
                    <w:t>自然资源管控分区</w:t>
                  </w:r>
                </w:p>
              </w:tc>
              <w:tc>
                <w:tcPr>
                  <w:tcW w:w="984" w:type="pct"/>
                  <w:noWrap w:val="0"/>
                  <w:vAlign w:val="center"/>
                </w:tcPr>
                <w:p>
                  <w:pPr>
                    <w:pStyle w:val="882"/>
                    <w:widowControl/>
                    <w:spacing w:line="240" w:lineRule="auto"/>
                    <w:ind w:firstLine="0" w:firstLineChars="0"/>
                    <w:jc w:val="center"/>
                    <w:rPr>
                      <w:rFonts w:eastAsia="宋体"/>
                      <w:sz w:val="21"/>
                    </w:rPr>
                  </w:pPr>
                  <w:r>
                    <w:rPr>
                      <w:rFonts w:eastAsia="宋体"/>
                      <w:sz w:val="21"/>
                    </w:rPr>
                    <w:t>自然资源重点管控区</w:t>
                  </w:r>
                </w:p>
              </w:tc>
            </w:tr>
          </w:tbl>
          <w:p>
            <w:pPr>
              <w:pStyle w:val="69"/>
              <w:ind w:firstLine="0" w:firstLineChars="0"/>
              <w:rPr>
                <w:rFonts w:ascii="Helvetica" w:hAnsi="Helvetica" w:cs="Helvetica"/>
                <w:szCs w:val="28"/>
              </w:rPr>
            </w:pPr>
            <w:r>
              <w:drawing>
                <wp:inline distT="0" distB="0" distL="114300" distR="114300">
                  <wp:extent cx="4856480" cy="2903220"/>
                  <wp:effectExtent l="0" t="0" r="1270"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4856480" cy="2903220"/>
                          </a:xfrm>
                          <a:prstGeom prst="rect">
                            <a:avLst/>
                          </a:prstGeom>
                          <a:noFill/>
                          <a:ln>
                            <a:noFill/>
                          </a:ln>
                        </pic:spPr>
                      </pic:pic>
                    </a:graphicData>
                  </a:graphic>
                </wp:inline>
              </w:drawing>
            </w:r>
          </w:p>
          <w:p>
            <w:pPr>
              <w:spacing w:line="360" w:lineRule="auto"/>
              <w:jc w:val="left"/>
              <w:rPr>
                <w:b/>
                <w:bCs/>
                <w:szCs w:val="21"/>
              </w:rPr>
            </w:pPr>
            <w:r>
              <w:rPr>
                <w:rFonts w:hint="eastAsia"/>
                <w:b/>
                <w:bCs/>
                <w:szCs w:val="21"/>
              </w:rPr>
              <w:t>注：</w:t>
            </w:r>
            <w:r>
              <w:rPr>
                <w:b/>
                <w:bCs/>
                <w:szCs w:val="21"/>
              </w:rPr>
              <w:t>项目与管控单元相对位置如下图所示：（图中▼表示项目位置）</w:t>
            </w:r>
          </w:p>
          <w:p>
            <w:pPr>
              <w:pStyle w:val="69"/>
              <w:ind w:firstLine="398"/>
              <w:jc w:val="center"/>
              <w:rPr>
                <w:b/>
                <w:bCs/>
                <w:sz w:val="21"/>
                <w:szCs w:val="21"/>
              </w:rPr>
            </w:pPr>
            <w:r>
              <w:rPr>
                <w:b/>
                <w:bCs/>
                <w:sz w:val="21"/>
                <w:szCs w:val="21"/>
              </w:rPr>
              <w:t>图1-4   项目与环境综合管控单元的位置关系图</w:t>
            </w:r>
          </w:p>
          <w:p>
            <w:pPr>
              <w:pStyle w:val="69"/>
              <w:ind w:firstLine="0" w:firstLineChars="0"/>
              <w:jc w:val="center"/>
            </w:pPr>
            <w:r>
              <w:drawing>
                <wp:inline distT="0" distB="0" distL="114300" distR="114300">
                  <wp:extent cx="4855210" cy="3717925"/>
                  <wp:effectExtent l="0" t="0" r="254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4855210" cy="3717925"/>
                          </a:xfrm>
                          <a:prstGeom prst="rect">
                            <a:avLst/>
                          </a:prstGeom>
                          <a:noFill/>
                          <a:ln>
                            <a:noFill/>
                          </a:ln>
                        </pic:spPr>
                      </pic:pic>
                    </a:graphicData>
                  </a:graphic>
                </wp:inline>
              </w:drawing>
            </w:r>
          </w:p>
          <w:p>
            <w:pPr>
              <w:pStyle w:val="69"/>
              <w:ind w:firstLine="398"/>
              <w:jc w:val="center"/>
              <w:rPr>
                <w:b/>
                <w:bCs/>
                <w:sz w:val="21"/>
                <w:szCs w:val="21"/>
              </w:rPr>
            </w:pPr>
            <w:r>
              <w:rPr>
                <w:b/>
                <w:bCs/>
                <w:sz w:val="21"/>
                <w:szCs w:val="21"/>
              </w:rPr>
              <w:t>图1-</w:t>
            </w:r>
            <w:r>
              <w:rPr>
                <w:rFonts w:hint="eastAsia"/>
                <w:b/>
                <w:bCs/>
                <w:sz w:val="21"/>
                <w:szCs w:val="21"/>
              </w:rPr>
              <w:t>5</w:t>
            </w:r>
            <w:r>
              <w:rPr>
                <w:b/>
                <w:bCs/>
                <w:sz w:val="21"/>
                <w:szCs w:val="21"/>
              </w:rPr>
              <w:t xml:space="preserve"> 项目三线一单符合性分析查询结果</w:t>
            </w:r>
          </w:p>
          <w:p>
            <w:pPr>
              <w:spacing w:line="360" w:lineRule="auto"/>
              <w:ind w:firstLine="480" w:firstLineChars="200"/>
              <w:rPr>
                <w:rFonts w:hint="eastAsia"/>
              </w:rPr>
            </w:pPr>
            <w:r>
              <w:rPr>
                <w:rFonts w:hint="eastAsia"/>
                <w:sz w:val="24"/>
              </w:rPr>
              <w:t>根据查询四川省“三线一单”数据分析系统，本项目共涉及“通川区中心城区、州河通川区车家河控制单元、通川区中心城区（大气）、通川区禁燃区、通川区自然资源重点管控区”5个管控单元。</w:t>
            </w:r>
            <w:r>
              <w:rPr>
                <w:sz w:val="24"/>
              </w:rPr>
              <w:t>项目与</w:t>
            </w:r>
            <w:r>
              <w:rPr>
                <w:rFonts w:hint="eastAsia"/>
                <w:sz w:val="24"/>
              </w:rPr>
              <w:t>生态环境准入清单</w:t>
            </w:r>
            <w:r>
              <w:rPr>
                <w:sz w:val="24"/>
              </w:rPr>
              <w:t>的符合性分析见表1-</w:t>
            </w:r>
            <w:r>
              <w:rPr>
                <w:rFonts w:hint="eastAsia"/>
                <w:sz w:val="24"/>
              </w:rPr>
              <w:t>6</w:t>
            </w:r>
            <w:r>
              <w:rPr>
                <w:sz w:val="24"/>
              </w:rPr>
              <w:t>。</w:t>
            </w:r>
          </w:p>
        </w:tc>
      </w:tr>
    </w:tbl>
    <w:p>
      <w:pPr>
        <w:spacing w:line="360" w:lineRule="auto"/>
        <w:outlineLvl w:val="0"/>
        <w:rPr>
          <w:sz w:val="30"/>
        </w:rPr>
        <w:sectPr>
          <w:footerReference r:id="rId5" w:type="default"/>
          <w:pgSz w:w="11906" w:h="16838"/>
          <w:pgMar w:top="1701" w:right="1531" w:bottom="1701" w:left="1531" w:header="851" w:footer="1077" w:gutter="0"/>
          <w:pgNumType w:start="1"/>
          <w:cols w:space="720" w:num="1"/>
          <w:docGrid w:linePitch="312" w:charSpace="0"/>
        </w:sectPr>
      </w:pP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4" w:hRule="atLeast"/>
        </w:trPr>
        <w:tc>
          <w:tcPr>
            <w:tcW w:w="675" w:type="dxa"/>
            <w:noWrap w:val="0"/>
            <w:vAlign w:val="top"/>
          </w:tcPr>
          <w:p>
            <w:pPr>
              <w:pStyle w:val="69"/>
              <w:ind w:firstLine="0" w:firstLineChars="0"/>
              <w:jc w:val="center"/>
              <w:rPr>
                <w:rFonts w:hint="eastAsia"/>
                <w:b/>
                <w:bCs/>
                <w:snapToGrid w:val="0"/>
                <w:sz w:val="30"/>
                <w:szCs w:val="30"/>
              </w:rPr>
            </w:pPr>
            <w:r>
              <w:t>其他符合性分析</w:t>
            </w:r>
          </w:p>
        </w:tc>
        <w:tc>
          <w:tcPr>
            <w:tcW w:w="12977" w:type="dxa"/>
            <w:noWrap w:val="0"/>
            <w:vAlign w:val="top"/>
          </w:tcPr>
          <w:p>
            <w:pPr>
              <w:pStyle w:val="65"/>
              <w:spacing w:before="0" w:beforeAutospacing="0" w:after="0" w:afterAutospacing="0"/>
              <w:jc w:val="center"/>
              <w:outlineLvl w:val="0"/>
              <w:rPr>
                <w:rFonts w:ascii="Times New Roman" w:hAnsi="Times New Roman"/>
                <w:b/>
                <w:bCs/>
                <w:snapToGrid w:val="0"/>
                <w:sz w:val="21"/>
                <w:szCs w:val="21"/>
              </w:rPr>
            </w:pPr>
            <w:r>
              <w:rPr>
                <w:rFonts w:hint="eastAsia" w:ascii="Times New Roman" w:hAnsi="Times New Roman"/>
                <w:b/>
                <w:bCs/>
                <w:snapToGrid w:val="0"/>
                <w:sz w:val="21"/>
                <w:szCs w:val="21"/>
              </w:rPr>
              <w:t>表1-6</w:t>
            </w:r>
            <w:r>
              <w:rPr>
                <w:rFonts w:ascii="Times New Roman" w:hAnsi="Times New Roman"/>
                <w:b/>
                <w:bCs/>
                <w:snapToGrid w:val="0"/>
                <w:sz w:val="21"/>
                <w:szCs w:val="21"/>
              </w:rPr>
              <w:t xml:space="preserve"> </w:t>
            </w:r>
            <w:r>
              <w:rPr>
                <w:rFonts w:hint="eastAsia" w:ascii="Times New Roman" w:hAnsi="Times New Roman"/>
                <w:b/>
                <w:bCs/>
                <w:snapToGrid w:val="0"/>
                <w:sz w:val="21"/>
                <w:szCs w:val="21"/>
              </w:rPr>
              <w:t>项目与生态环境准入清单符合性分析表</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223"/>
              <w:gridCol w:w="5067"/>
              <w:gridCol w:w="800"/>
              <w:gridCol w:w="3124"/>
              <w:gridCol w:w="1056"/>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z w:val="21"/>
                      <w:szCs w:val="21"/>
                    </w:rPr>
                    <w:t>环境管控单元编码</w:t>
                  </w:r>
                </w:p>
              </w:tc>
              <w:tc>
                <w:tcPr>
                  <w:tcW w:w="1223"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z w:val="21"/>
                      <w:szCs w:val="21"/>
                    </w:rPr>
                    <w:t>环境管控单元名称</w:t>
                  </w:r>
                </w:p>
              </w:tc>
              <w:tc>
                <w:tcPr>
                  <w:tcW w:w="5067"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z w:val="21"/>
                      <w:szCs w:val="21"/>
                    </w:rPr>
                    <w:t>达州市普适性清单</w:t>
                  </w:r>
                </w:p>
              </w:tc>
              <w:tc>
                <w:tcPr>
                  <w:tcW w:w="800"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z w:val="21"/>
                      <w:szCs w:val="21"/>
                    </w:rPr>
                    <w:t>管控类别</w:t>
                  </w:r>
                </w:p>
              </w:tc>
              <w:tc>
                <w:tcPr>
                  <w:tcW w:w="3124"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z w:val="21"/>
                      <w:szCs w:val="21"/>
                    </w:rPr>
                    <w:t>单元特性管控要求</w:t>
                  </w:r>
                </w:p>
              </w:tc>
              <w:tc>
                <w:tcPr>
                  <w:tcW w:w="1056"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napToGrid w:val="0"/>
                      <w:sz w:val="21"/>
                      <w:szCs w:val="21"/>
                    </w:rPr>
                    <w:t>本项目情况</w:t>
                  </w:r>
                </w:p>
              </w:tc>
              <w:tc>
                <w:tcPr>
                  <w:tcW w:w="530" w:type="dxa"/>
                  <w:noWrap w:val="0"/>
                  <w:vAlign w:val="center"/>
                </w:tcPr>
                <w:p>
                  <w:pPr>
                    <w:pStyle w:val="65"/>
                    <w:jc w:val="center"/>
                    <w:outlineLvl w:val="0"/>
                    <w:rPr>
                      <w:rFonts w:ascii="Times New Roman" w:hAnsi="Times New Roman"/>
                      <w:b/>
                      <w:bCs/>
                      <w:snapToGrid w:val="0"/>
                      <w:sz w:val="21"/>
                      <w:szCs w:val="21"/>
                    </w:rPr>
                  </w:pPr>
                  <w:r>
                    <w:rPr>
                      <w:rFonts w:ascii="Times New Roman" w:hAnsi="Times New Roman"/>
                      <w:b/>
                      <w:bCs/>
                      <w:snapToGrid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880"/>
                    <w:spacing w:line="240" w:lineRule="auto"/>
                    <w:ind w:firstLine="0" w:firstLineChars="0"/>
                    <w:rPr>
                      <w:snapToGrid w:val="0"/>
                      <w:sz w:val="21"/>
                    </w:rPr>
                  </w:pPr>
                  <w:r>
                    <w:rPr>
                      <w:rFonts w:hint="eastAsia" w:eastAsia="宋体"/>
                      <w:kern w:val="0"/>
                      <w:sz w:val="21"/>
                    </w:rPr>
                    <w:t>ZH51170220001</w:t>
                  </w:r>
                </w:p>
              </w:tc>
              <w:tc>
                <w:tcPr>
                  <w:tcW w:w="1223" w:type="dxa"/>
                  <w:vMerge w:val="restart"/>
                  <w:noWrap w:val="0"/>
                  <w:vAlign w:val="center"/>
                </w:tcPr>
                <w:p>
                  <w:pPr>
                    <w:pStyle w:val="880"/>
                    <w:spacing w:line="240" w:lineRule="auto"/>
                    <w:ind w:firstLine="0" w:firstLineChars="0"/>
                    <w:jc w:val="center"/>
                    <w:rPr>
                      <w:snapToGrid w:val="0"/>
                      <w:sz w:val="21"/>
                    </w:rPr>
                  </w:pPr>
                  <w:r>
                    <w:rPr>
                      <w:rFonts w:hint="eastAsia" w:eastAsia="宋体"/>
                      <w:kern w:val="0"/>
                      <w:sz w:val="21"/>
                    </w:rPr>
                    <w:t>通川区中心城区</w:t>
                  </w:r>
                </w:p>
              </w:tc>
              <w:tc>
                <w:tcPr>
                  <w:tcW w:w="5067" w:type="dxa"/>
                  <w:vMerge w:val="restart"/>
                  <w:noWrap w:val="0"/>
                  <w:vAlign w:val="center"/>
                </w:tcPr>
                <w:p>
                  <w:pPr>
                    <w:pStyle w:val="880"/>
                    <w:spacing w:line="240" w:lineRule="auto"/>
                    <w:ind w:firstLine="0" w:firstLineChars="0"/>
                    <w:rPr>
                      <w:rFonts w:eastAsia="宋体"/>
                      <w:kern w:val="0"/>
                      <w:sz w:val="21"/>
                    </w:rPr>
                  </w:pPr>
                  <w:r>
                    <w:rPr>
                      <w:rFonts w:eastAsia="宋体"/>
                      <w:kern w:val="0"/>
                      <w:sz w:val="21"/>
                    </w:rPr>
                    <w:t>空间布局约束：</w:t>
                  </w:r>
                </w:p>
                <w:p>
                  <w:pPr>
                    <w:pStyle w:val="880"/>
                    <w:spacing w:line="240" w:lineRule="auto"/>
                    <w:ind w:firstLine="0" w:firstLineChars="0"/>
                    <w:rPr>
                      <w:rFonts w:hint="eastAsia" w:eastAsia="宋体"/>
                      <w:kern w:val="0"/>
                      <w:sz w:val="21"/>
                    </w:rPr>
                  </w:pPr>
                  <w:r>
                    <w:rPr>
                      <w:rFonts w:hint="eastAsia" w:eastAsia="宋体"/>
                      <w:kern w:val="0"/>
                      <w:sz w:val="21"/>
                    </w:rPr>
                    <w:t>禁止开发建设活动的要求</w:t>
                  </w:r>
                </w:p>
                <w:p>
                  <w:pPr>
                    <w:pStyle w:val="880"/>
                    <w:spacing w:line="240" w:lineRule="auto"/>
                    <w:ind w:firstLine="0" w:firstLineChars="0"/>
                    <w:rPr>
                      <w:rFonts w:hint="eastAsia" w:eastAsia="宋体"/>
                      <w:kern w:val="0"/>
                      <w:sz w:val="21"/>
                    </w:rPr>
                  </w:pPr>
                  <w:r>
                    <w:rPr>
                      <w:rFonts w:hint="eastAsia" w:eastAsia="宋体"/>
                      <w:kern w:val="0"/>
                      <w:sz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880"/>
                    <w:spacing w:line="240" w:lineRule="auto"/>
                    <w:ind w:firstLine="0" w:firstLineChars="0"/>
                    <w:rPr>
                      <w:rFonts w:hint="eastAsia" w:eastAsia="宋体"/>
                      <w:kern w:val="0"/>
                      <w:sz w:val="21"/>
                    </w:rPr>
                  </w:pPr>
                  <w:r>
                    <w:rPr>
                      <w:rFonts w:hint="eastAsia" w:eastAsia="宋体"/>
                      <w:kern w:val="0"/>
                      <w:sz w:val="21"/>
                    </w:rPr>
                    <w:t>-原则上禁止新建工业企业（新建工业企业原则上都应在工业园区内建设）。</w:t>
                  </w:r>
                </w:p>
                <w:p>
                  <w:pPr>
                    <w:pStyle w:val="880"/>
                    <w:spacing w:line="240" w:lineRule="auto"/>
                    <w:ind w:firstLine="0" w:firstLineChars="0"/>
                    <w:rPr>
                      <w:rFonts w:hint="eastAsia" w:eastAsia="宋体"/>
                      <w:kern w:val="0"/>
                      <w:sz w:val="21"/>
                    </w:rPr>
                  </w:pPr>
                  <w:r>
                    <w:rPr>
                      <w:rFonts w:hint="eastAsia" w:eastAsia="宋体"/>
                      <w:kern w:val="0"/>
                      <w:sz w:val="21"/>
                    </w:rPr>
                    <w:t>-禁止在居民区、学校、医疗和养老机构等周边新建有色金属冶炼、焦化、化工、铅蓄电池制造等行业企业，有序搬迁或依法关闭对土壤造成严重污染的现有企业。</w:t>
                  </w:r>
                </w:p>
                <w:p>
                  <w:pPr>
                    <w:pStyle w:val="880"/>
                    <w:spacing w:line="240" w:lineRule="auto"/>
                    <w:ind w:firstLine="0" w:firstLineChars="0"/>
                    <w:rPr>
                      <w:rFonts w:hint="eastAsia" w:eastAsia="宋体"/>
                      <w:kern w:val="0"/>
                      <w:sz w:val="21"/>
                    </w:rPr>
                  </w:pPr>
                  <w:r>
                    <w:rPr>
                      <w:rFonts w:hint="eastAsia" w:eastAsia="宋体"/>
                      <w:kern w:val="0"/>
                      <w:sz w:val="21"/>
                    </w:rPr>
                    <w:t>-禁止在长江流域河湖管理范围内倾倒、填埋、堆放、弃置、处理固体废物。</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限制开发建设活动的要求</w:t>
                  </w:r>
                </w:p>
                <w:p>
                  <w:pPr>
                    <w:pStyle w:val="880"/>
                    <w:spacing w:line="240" w:lineRule="auto"/>
                    <w:ind w:firstLine="0" w:firstLineChars="0"/>
                    <w:rPr>
                      <w:rFonts w:hint="eastAsia" w:eastAsia="宋体"/>
                      <w:kern w:val="0"/>
                      <w:sz w:val="21"/>
                    </w:rPr>
                  </w:pPr>
                  <w:r>
                    <w:rPr>
                      <w:rFonts w:hint="eastAsia" w:eastAsia="宋体"/>
                      <w:kern w:val="0"/>
                      <w:sz w:val="21"/>
                    </w:rPr>
                    <w:t>-现有工业企业不得新增污染物排放。</w:t>
                  </w:r>
                </w:p>
                <w:p>
                  <w:pPr>
                    <w:pStyle w:val="880"/>
                    <w:spacing w:line="240" w:lineRule="auto"/>
                    <w:ind w:firstLine="0" w:firstLineChars="0"/>
                    <w:rPr>
                      <w:rFonts w:hint="eastAsia" w:eastAsia="宋体"/>
                      <w:kern w:val="0"/>
                      <w:sz w:val="21"/>
                    </w:rPr>
                  </w:pPr>
                  <w:r>
                    <w:rPr>
                      <w:rFonts w:hint="eastAsia" w:eastAsia="宋体"/>
                      <w:kern w:val="0"/>
                      <w:sz w:val="21"/>
                    </w:rPr>
                    <w:t>-允许企业以提升安全、生态环境保护水平为目的的改建，引导企业结合推进新型城镇化、产业结构调整和化解过剩产能等，退城入园，有序搬迁。</w:t>
                  </w:r>
                </w:p>
                <w:p>
                  <w:pPr>
                    <w:pStyle w:val="880"/>
                    <w:spacing w:line="240" w:lineRule="auto"/>
                    <w:ind w:firstLine="0" w:firstLineChars="0"/>
                    <w:rPr>
                      <w:rFonts w:hint="eastAsia" w:eastAsia="宋体"/>
                      <w:kern w:val="0"/>
                      <w:sz w:val="21"/>
                    </w:rPr>
                  </w:pPr>
                  <w:r>
                    <w:rPr>
                      <w:rFonts w:hint="eastAsia" w:eastAsia="宋体"/>
                      <w:kern w:val="0"/>
                      <w:sz w:val="21"/>
                    </w:rPr>
                    <w:t>-严格控制在城镇空间范围内新布设工业园区。若新布局工业园区，应符合达州市国土空间规划，并结合区域环境特点、三线成果、园区产业类别，充分论证选址的环境合理性。</w:t>
                  </w:r>
                </w:p>
                <w:p>
                  <w:pPr>
                    <w:pStyle w:val="880"/>
                    <w:spacing w:line="240" w:lineRule="auto"/>
                    <w:ind w:firstLine="0" w:firstLineChars="0"/>
                    <w:rPr>
                      <w:rFonts w:hint="eastAsia" w:eastAsia="宋体"/>
                      <w:kern w:val="0"/>
                      <w:sz w:val="21"/>
                    </w:rPr>
                  </w:pPr>
                  <w:r>
                    <w:rPr>
                      <w:rFonts w:hint="eastAsia" w:eastAsia="宋体"/>
                      <w:kern w:val="0"/>
                      <w:sz w:val="21"/>
                    </w:rPr>
                    <w:t>-严格控制新增建设用地规模，法定城乡规划除外</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不符合空间布局要求活动的退出要求</w:t>
                  </w:r>
                </w:p>
                <w:p>
                  <w:pPr>
                    <w:pStyle w:val="880"/>
                    <w:spacing w:line="240" w:lineRule="auto"/>
                    <w:ind w:firstLine="0" w:firstLineChars="0"/>
                    <w:rPr>
                      <w:rFonts w:hint="eastAsia" w:eastAsia="宋体"/>
                      <w:kern w:val="0"/>
                      <w:sz w:val="21"/>
                    </w:rPr>
                  </w:pPr>
                  <w:r>
                    <w:rPr>
                      <w:rFonts w:hint="eastAsia" w:eastAsia="宋体"/>
                      <w:kern w:val="0"/>
                      <w:sz w:val="21"/>
                    </w:rPr>
                    <w:t>-现有工业企业适时进行有序退出。</w:t>
                  </w:r>
                </w:p>
                <w:p>
                  <w:pPr>
                    <w:pStyle w:val="880"/>
                    <w:spacing w:line="240" w:lineRule="auto"/>
                    <w:ind w:firstLine="0" w:firstLineChars="0"/>
                    <w:rPr>
                      <w:rFonts w:hint="eastAsia" w:eastAsia="宋体"/>
                      <w:kern w:val="0"/>
                      <w:sz w:val="21"/>
                    </w:rPr>
                  </w:pPr>
                  <w:r>
                    <w:rPr>
                      <w:rFonts w:hint="eastAsia" w:eastAsia="宋体"/>
                      <w:kern w:val="0"/>
                      <w:sz w:val="21"/>
                    </w:rPr>
                    <w:t>-按照相关规划和要求，清理整顿非法采砂、非法码头，全面清除不合规码头。</w:t>
                  </w:r>
                </w:p>
                <w:p>
                  <w:pPr>
                    <w:pStyle w:val="880"/>
                    <w:spacing w:line="240" w:lineRule="auto"/>
                    <w:ind w:firstLine="0" w:firstLineChars="0"/>
                    <w:rPr>
                      <w:rFonts w:hint="eastAsia" w:eastAsia="宋体"/>
                      <w:kern w:val="0"/>
                      <w:sz w:val="21"/>
                    </w:rPr>
                  </w:pPr>
                  <w:r>
                    <w:rPr>
                      <w:rFonts w:hint="eastAsia" w:eastAsia="宋体"/>
                      <w:kern w:val="0"/>
                      <w:sz w:val="21"/>
                    </w:rPr>
                    <w:t>-在全市范围深入开展集中整治“散乱污”工业企业，对不符合产业政策和规划布局的，一律责令停产、限期搬迁或关停；</w:t>
                  </w:r>
                </w:p>
                <w:p>
                  <w:pPr>
                    <w:pStyle w:val="880"/>
                    <w:spacing w:line="240" w:lineRule="auto"/>
                    <w:ind w:firstLine="0" w:firstLineChars="0"/>
                    <w:rPr>
                      <w:rFonts w:hint="eastAsia" w:eastAsia="宋体"/>
                      <w:kern w:val="0"/>
                      <w:sz w:val="21"/>
                    </w:rPr>
                  </w:pPr>
                  <w:r>
                    <w:rPr>
                      <w:rFonts w:hint="eastAsia" w:eastAsia="宋体"/>
                      <w:kern w:val="0"/>
                      <w:sz w:val="21"/>
                    </w:rPr>
                    <w:t>-有序搬迁或依法关闭对土壤造成严重污染的现有企业。</w:t>
                  </w:r>
                </w:p>
                <w:p>
                  <w:pPr>
                    <w:pStyle w:val="880"/>
                    <w:spacing w:line="240" w:lineRule="auto"/>
                    <w:ind w:firstLine="0" w:firstLineChars="0"/>
                    <w:rPr>
                      <w:rFonts w:hint="eastAsia" w:eastAsia="宋体"/>
                      <w:kern w:val="0"/>
                      <w:sz w:val="21"/>
                    </w:rPr>
                  </w:pPr>
                  <w:r>
                    <w:rPr>
                      <w:rFonts w:hint="eastAsia" w:eastAsia="宋体"/>
                      <w:kern w:val="0"/>
                      <w:sz w:val="21"/>
                    </w:rPr>
                    <w:t>-到2025年，城镇人口密集区现有不符合安全和卫生防护距离要求的危险化学品生产企业搬迁进入规范化工园区或关闭退出。</w:t>
                  </w:r>
                </w:p>
                <w:p>
                  <w:pPr>
                    <w:pStyle w:val="880"/>
                    <w:spacing w:line="240" w:lineRule="auto"/>
                    <w:ind w:firstLine="0" w:firstLineChars="0"/>
                    <w:rPr>
                      <w:rFonts w:hint="eastAsia" w:eastAsia="宋体"/>
                      <w:kern w:val="0"/>
                      <w:sz w:val="21"/>
                    </w:rPr>
                  </w:pPr>
                  <w:r>
                    <w:rPr>
                      <w:rFonts w:hint="eastAsia" w:eastAsia="宋体"/>
                      <w:kern w:val="0"/>
                      <w:sz w:val="21"/>
                    </w:rPr>
                    <w:t>-不断优化长江经济带化工行业空间布局，有效控制化工污染。推进化工企业搬迁入园，加强化工园区基础设施建设。</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其他空间布局约束要求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污染物排放管控：</w:t>
                  </w:r>
                </w:p>
                <w:p>
                  <w:pPr>
                    <w:pStyle w:val="880"/>
                    <w:spacing w:line="240" w:lineRule="auto"/>
                    <w:ind w:firstLine="0" w:firstLineChars="0"/>
                    <w:rPr>
                      <w:rFonts w:hint="eastAsia" w:eastAsia="宋体"/>
                      <w:kern w:val="0"/>
                      <w:sz w:val="21"/>
                    </w:rPr>
                  </w:pPr>
                  <w:r>
                    <w:rPr>
                      <w:rFonts w:hint="eastAsia" w:eastAsia="宋体"/>
                      <w:kern w:val="0"/>
                      <w:sz w:val="21"/>
                    </w:rPr>
                    <w:t>允许排放量要求</w:t>
                  </w:r>
                </w:p>
                <w:p>
                  <w:pPr>
                    <w:pStyle w:val="880"/>
                    <w:spacing w:line="240" w:lineRule="auto"/>
                    <w:ind w:firstLine="0" w:firstLineChars="0"/>
                    <w:rPr>
                      <w:rFonts w:hint="eastAsia" w:eastAsia="宋体"/>
                      <w:kern w:val="0"/>
                      <w:sz w:val="21"/>
                    </w:rPr>
                  </w:pPr>
                  <w:r>
                    <w:rPr>
                      <w:rFonts w:hint="eastAsia" w:eastAsia="宋体"/>
                      <w:kern w:val="0"/>
                      <w:sz w:val="21"/>
                    </w:rPr>
                    <w:t>达州市2025年水污染物允许排放量COD33136.93t，氨氮2055.16t，TP252.53t；</w:t>
                  </w:r>
                </w:p>
                <w:p>
                  <w:pPr>
                    <w:pStyle w:val="880"/>
                    <w:spacing w:line="240" w:lineRule="auto"/>
                    <w:ind w:firstLine="0" w:firstLineChars="0"/>
                    <w:rPr>
                      <w:rFonts w:hint="eastAsia" w:eastAsia="宋体"/>
                      <w:kern w:val="0"/>
                      <w:sz w:val="21"/>
                    </w:rPr>
                  </w:pPr>
                  <w:r>
                    <w:rPr>
                      <w:rFonts w:hint="eastAsia" w:eastAsia="宋体"/>
                      <w:kern w:val="0"/>
                      <w:sz w:val="21"/>
                    </w:rPr>
                    <w:t>现有源提标升级改造</w:t>
                  </w:r>
                </w:p>
                <w:p>
                  <w:pPr>
                    <w:pStyle w:val="880"/>
                    <w:spacing w:line="240" w:lineRule="auto"/>
                    <w:ind w:firstLine="0" w:firstLineChars="0"/>
                    <w:rPr>
                      <w:rFonts w:hint="eastAsia" w:eastAsia="宋体"/>
                      <w:kern w:val="0"/>
                      <w:sz w:val="21"/>
                    </w:rPr>
                  </w:pPr>
                  <w:r>
                    <w:rPr>
                      <w:rFonts w:hint="eastAsia" w:eastAsia="宋体"/>
                      <w:kern w:val="0"/>
                      <w:sz w:val="21"/>
                    </w:rPr>
                    <w:t>-到2025年，水环境敏感地区污水处理基本达到一级A排放标准。</w:t>
                  </w:r>
                </w:p>
                <w:p>
                  <w:pPr>
                    <w:pStyle w:val="880"/>
                    <w:spacing w:line="240" w:lineRule="auto"/>
                    <w:ind w:firstLine="0" w:firstLineChars="0"/>
                    <w:rPr>
                      <w:rFonts w:hint="eastAsia" w:eastAsia="宋体"/>
                      <w:kern w:val="0"/>
                      <w:sz w:val="21"/>
                    </w:rPr>
                  </w:pPr>
                  <w:r>
                    <w:rPr>
                      <w:rFonts w:hint="eastAsia" w:eastAsia="宋体"/>
                      <w:kern w:val="0"/>
                      <w:sz w:val="21"/>
                    </w:rPr>
                    <w:t>-燃气锅炉升级改造，达到特别排放限值。</w:t>
                  </w:r>
                </w:p>
                <w:p>
                  <w:pPr>
                    <w:pStyle w:val="880"/>
                    <w:spacing w:line="240" w:lineRule="auto"/>
                    <w:ind w:firstLine="0" w:firstLineChars="0"/>
                    <w:rPr>
                      <w:rFonts w:hint="eastAsia" w:eastAsia="宋体"/>
                      <w:kern w:val="0"/>
                      <w:sz w:val="21"/>
                    </w:rPr>
                  </w:pPr>
                  <w:r>
                    <w:rPr>
                      <w:rFonts w:hint="eastAsia" w:eastAsia="宋体"/>
                      <w:kern w:val="0"/>
                      <w:sz w:val="21"/>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其他污染物排放管控要求</w:t>
                  </w:r>
                </w:p>
                <w:p>
                  <w:pPr>
                    <w:pStyle w:val="880"/>
                    <w:spacing w:line="240" w:lineRule="auto"/>
                    <w:ind w:firstLine="0" w:firstLineChars="0"/>
                    <w:rPr>
                      <w:rFonts w:hint="eastAsia" w:eastAsia="宋体"/>
                      <w:kern w:val="0"/>
                      <w:sz w:val="21"/>
                    </w:rPr>
                  </w:pPr>
                  <w:r>
                    <w:rPr>
                      <w:rFonts w:hint="eastAsia" w:eastAsia="宋体"/>
                      <w:kern w:val="0"/>
                      <w:sz w:val="21"/>
                    </w:rPr>
                    <w:t>新增源等量或倍量替代:-上一年度水环境质量未完成目标的，新建排放水污染的建设项目按照总量管控要求进行倍量削减替代。</w:t>
                  </w:r>
                </w:p>
                <w:p>
                  <w:pPr>
                    <w:pStyle w:val="880"/>
                    <w:spacing w:line="240" w:lineRule="auto"/>
                    <w:ind w:firstLine="0" w:firstLineChars="0"/>
                    <w:rPr>
                      <w:rFonts w:hint="eastAsia" w:eastAsia="宋体"/>
                      <w:kern w:val="0"/>
                      <w:sz w:val="21"/>
                    </w:rPr>
                  </w:pPr>
                  <w:r>
                    <w:rPr>
                      <w:rFonts w:hint="eastAsia" w:eastAsia="宋体"/>
                      <w:kern w:val="0"/>
                      <w:sz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880"/>
                    <w:spacing w:line="240" w:lineRule="auto"/>
                    <w:ind w:firstLine="0" w:firstLineChars="0"/>
                    <w:rPr>
                      <w:rFonts w:hint="eastAsia" w:eastAsia="宋体"/>
                      <w:kern w:val="0"/>
                      <w:sz w:val="21"/>
                    </w:rPr>
                  </w:pPr>
                  <w:r>
                    <w:rPr>
                      <w:rFonts w:hint="eastAsia" w:eastAsia="宋体"/>
                      <w:kern w:val="0"/>
                      <w:sz w:val="21"/>
                    </w:rPr>
                    <w:t>污染物排放绩效水平准入要求:严格落实建设工地管理要求，做好扬尘污染管控工作。</w:t>
                  </w:r>
                </w:p>
                <w:p>
                  <w:pPr>
                    <w:pStyle w:val="880"/>
                    <w:spacing w:line="240" w:lineRule="auto"/>
                    <w:ind w:firstLine="0" w:firstLineChars="0"/>
                    <w:rPr>
                      <w:rFonts w:hint="eastAsia" w:eastAsia="宋体"/>
                      <w:kern w:val="0"/>
                      <w:sz w:val="21"/>
                    </w:rPr>
                  </w:pPr>
                  <w:r>
                    <w:rPr>
                      <w:rFonts w:hint="eastAsia" w:eastAsia="宋体"/>
                      <w:kern w:val="0"/>
                      <w:sz w:val="21"/>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880"/>
                    <w:spacing w:line="240" w:lineRule="auto"/>
                    <w:ind w:firstLine="0" w:firstLineChars="0"/>
                    <w:rPr>
                      <w:rFonts w:hint="eastAsia" w:eastAsia="宋体"/>
                      <w:kern w:val="0"/>
                      <w:sz w:val="21"/>
                    </w:rPr>
                  </w:pPr>
                  <w:r>
                    <w:rPr>
                      <w:rFonts w:hint="eastAsia" w:eastAsia="宋体"/>
                      <w:kern w:val="0"/>
                      <w:sz w:val="21"/>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880"/>
                    <w:spacing w:line="240" w:lineRule="auto"/>
                    <w:ind w:firstLine="0" w:firstLineChars="0"/>
                    <w:rPr>
                      <w:rFonts w:hint="eastAsia" w:eastAsia="宋体"/>
                      <w:kern w:val="0"/>
                      <w:sz w:val="21"/>
                    </w:rPr>
                  </w:pPr>
                  <w:r>
                    <w:rPr>
                      <w:rFonts w:hint="eastAsia" w:eastAsia="宋体"/>
                      <w:kern w:val="0"/>
                      <w:sz w:val="21"/>
                    </w:rPr>
                    <w:t>-实施密闭化收运，推广干湿分类收运。强化垃圾渗滤液、焚烧飞灰安全处置，城市生活垃圾无害化处理率保持100%。</w:t>
                  </w:r>
                </w:p>
                <w:p>
                  <w:pPr>
                    <w:pStyle w:val="880"/>
                    <w:spacing w:line="240" w:lineRule="auto"/>
                    <w:ind w:firstLine="0" w:firstLineChars="0"/>
                    <w:rPr>
                      <w:rFonts w:hint="eastAsia" w:eastAsia="宋体"/>
                      <w:kern w:val="0"/>
                      <w:sz w:val="21"/>
                    </w:rPr>
                  </w:pPr>
                  <w:r>
                    <w:rPr>
                      <w:rFonts w:hint="eastAsia" w:eastAsia="宋体"/>
                      <w:kern w:val="0"/>
                      <w:sz w:val="21"/>
                    </w:rPr>
                    <w:t>-到2023年，力争全省生活垃圾焚烧处理能力占比达60%以上，地级以上城市具备厨余垃圾集中处理能力；县城生活垃圾无害化处理率保持95%以上，乡镇及行政</w:t>
                  </w:r>
                  <w:r>
                    <w:rPr>
                      <w:rFonts w:hint="eastAsia" w:eastAsia="宋体"/>
                      <w:kern w:val="0"/>
                      <w:sz w:val="21"/>
                      <w:lang w:val="en-US" w:eastAsia="zh-CN"/>
                    </w:rPr>
                    <w:t>治</w:t>
                  </w:r>
                  <w:r>
                    <w:rPr>
                      <w:rFonts w:hint="eastAsia" w:eastAsia="宋体"/>
                      <w:kern w:val="0"/>
                      <w:sz w:val="21"/>
                    </w:rPr>
                    <w:t>生活垃圾收转运处置体系基本实现全覆盖；</w:t>
                  </w:r>
                </w:p>
                <w:p>
                  <w:pPr>
                    <w:pStyle w:val="880"/>
                    <w:spacing w:line="240" w:lineRule="auto"/>
                    <w:ind w:firstLine="0" w:firstLineChars="0"/>
                    <w:rPr>
                      <w:rFonts w:hint="eastAsia" w:eastAsia="宋体"/>
                      <w:kern w:val="0"/>
                      <w:sz w:val="21"/>
                    </w:rPr>
                  </w:pPr>
                  <w:r>
                    <w:rPr>
                      <w:rFonts w:hint="eastAsia" w:eastAsia="宋体"/>
                      <w:kern w:val="0"/>
                      <w:sz w:val="21"/>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环境风险防控：</w:t>
                  </w:r>
                </w:p>
                <w:p>
                  <w:pPr>
                    <w:pStyle w:val="880"/>
                    <w:spacing w:line="240" w:lineRule="auto"/>
                    <w:ind w:firstLine="0" w:firstLineChars="0"/>
                    <w:rPr>
                      <w:rFonts w:hint="eastAsia" w:eastAsia="宋体"/>
                      <w:kern w:val="0"/>
                      <w:sz w:val="21"/>
                    </w:rPr>
                  </w:pPr>
                  <w:r>
                    <w:rPr>
                      <w:rFonts w:hint="eastAsia" w:eastAsia="宋体"/>
                      <w:kern w:val="0"/>
                      <w:sz w:val="21"/>
                    </w:rPr>
                    <w:t>联防联控要求</w:t>
                  </w:r>
                </w:p>
                <w:p>
                  <w:pPr>
                    <w:pStyle w:val="880"/>
                    <w:spacing w:line="240" w:lineRule="auto"/>
                    <w:ind w:firstLine="0" w:firstLineChars="0"/>
                    <w:rPr>
                      <w:rFonts w:hint="eastAsia" w:eastAsia="宋体"/>
                      <w:kern w:val="0"/>
                      <w:sz w:val="21"/>
                    </w:rPr>
                  </w:pPr>
                  <w:r>
                    <w:rPr>
                      <w:rFonts w:hint="eastAsia"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80"/>
                    <w:spacing w:line="240" w:lineRule="auto"/>
                    <w:ind w:firstLine="0" w:firstLineChars="0"/>
                    <w:rPr>
                      <w:rFonts w:hint="eastAsia" w:eastAsia="宋体"/>
                      <w:kern w:val="0"/>
                      <w:sz w:val="21"/>
                    </w:rPr>
                  </w:pPr>
                  <w:r>
                    <w:rPr>
                      <w:rFonts w:hint="eastAsia" w:eastAsia="宋体"/>
                      <w:kern w:val="0"/>
                      <w:sz w:val="21"/>
                    </w:rPr>
                    <w:t>其他环境风险防控要求</w:t>
                  </w:r>
                </w:p>
                <w:p>
                  <w:pPr>
                    <w:pStyle w:val="880"/>
                    <w:spacing w:line="240" w:lineRule="auto"/>
                    <w:ind w:firstLine="0" w:firstLineChars="0"/>
                    <w:rPr>
                      <w:rFonts w:eastAsia="宋体"/>
                      <w:kern w:val="0"/>
                      <w:sz w:val="21"/>
                    </w:rPr>
                  </w:pPr>
                  <w:r>
                    <w:rPr>
                      <w:rFonts w:hint="eastAsia" w:eastAsia="宋体"/>
                      <w:kern w:val="0"/>
                      <w:sz w:val="21"/>
                    </w:rPr>
                    <w:t>企业环境风险防控要求:现有涉及的企业，不得新增污染物排放，限期退城入园或关停。用地环境风险防控要求:工业企业退出用地，须经评估、修复满足相应用地功能后，方可改变用途。</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资源开发利用效率要求：</w:t>
                  </w:r>
                </w:p>
                <w:p>
                  <w:pPr>
                    <w:pStyle w:val="880"/>
                    <w:spacing w:line="240" w:lineRule="auto"/>
                    <w:ind w:firstLine="0" w:firstLineChars="0"/>
                    <w:rPr>
                      <w:rFonts w:hint="eastAsia" w:eastAsia="宋体"/>
                      <w:kern w:val="0"/>
                      <w:sz w:val="21"/>
                    </w:rPr>
                  </w:pPr>
                  <w:r>
                    <w:rPr>
                      <w:rFonts w:hint="eastAsia" w:eastAsia="宋体"/>
                      <w:kern w:val="0"/>
                      <w:sz w:val="21"/>
                    </w:rPr>
                    <w:t>水资源利用总量要求</w:t>
                  </w:r>
                </w:p>
                <w:p>
                  <w:pPr>
                    <w:pStyle w:val="880"/>
                    <w:spacing w:line="240" w:lineRule="auto"/>
                    <w:ind w:firstLine="0" w:firstLineChars="0"/>
                    <w:rPr>
                      <w:rFonts w:hint="eastAsia" w:eastAsia="宋体"/>
                      <w:kern w:val="0"/>
                      <w:sz w:val="21"/>
                    </w:rPr>
                  </w:pPr>
                  <w:r>
                    <w:rPr>
                      <w:rFonts w:hint="eastAsia" w:eastAsia="宋体"/>
                      <w:kern w:val="0"/>
                      <w:sz w:val="21"/>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880"/>
                    <w:spacing w:line="240" w:lineRule="auto"/>
                    <w:ind w:firstLine="0" w:firstLineChars="0"/>
                    <w:rPr>
                      <w:rFonts w:hint="eastAsia" w:eastAsia="宋体"/>
                      <w:kern w:val="0"/>
                      <w:sz w:val="21"/>
                    </w:rPr>
                  </w:pPr>
                  <w:r>
                    <w:rPr>
                      <w:rFonts w:hint="eastAsia" w:eastAsia="宋体"/>
                      <w:kern w:val="0"/>
                      <w:sz w:val="21"/>
                    </w:rPr>
                    <w:t>地下水开采要求</w:t>
                  </w:r>
                </w:p>
                <w:p>
                  <w:pPr>
                    <w:pStyle w:val="880"/>
                    <w:spacing w:line="240" w:lineRule="auto"/>
                    <w:ind w:firstLine="0" w:firstLineChars="0"/>
                    <w:rPr>
                      <w:rFonts w:hint="eastAsia" w:eastAsia="宋体"/>
                      <w:kern w:val="0"/>
                      <w:sz w:val="21"/>
                    </w:rPr>
                  </w:pPr>
                  <w:r>
                    <w:rPr>
                      <w:rFonts w:hint="eastAsia" w:eastAsia="宋体"/>
                      <w:kern w:val="0"/>
                      <w:sz w:val="21"/>
                    </w:rPr>
                    <w:t>以省市下发指标为准</w:t>
                  </w:r>
                </w:p>
                <w:p>
                  <w:pPr>
                    <w:pStyle w:val="880"/>
                    <w:spacing w:line="240" w:lineRule="auto"/>
                    <w:ind w:firstLine="0" w:firstLineChars="0"/>
                    <w:rPr>
                      <w:rFonts w:hint="eastAsia" w:eastAsia="宋体"/>
                      <w:kern w:val="0"/>
                      <w:sz w:val="21"/>
                    </w:rPr>
                  </w:pPr>
                  <w:r>
                    <w:rPr>
                      <w:rFonts w:hint="eastAsia" w:eastAsia="宋体"/>
                      <w:kern w:val="0"/>
                      <w:sz w:val="21"/>
                    </w:rPr>
                    <w:t>能源利用总量及效率要求</w:t>
                  </w:r>
                </w:p>
                <w:p>
                  <w:pPr>
                    <w:pStyle w:val="880"/>
                    <w:spacing w:line="240" w:lineRule="auto"/>
                    <w:ind w:firstLine="0" w:firstLineChars="0"/>
                    <w:rPr>
                      <w:rFonts w:hint="eastAsia" w:eastAsia="宋体"/>
                      <w:kern w:val="0"/>
                      <w:sz w:val="21"/>
                    </w:rPr>
                  </w:pPr>
                  <w:r>
                    <w:rPr>
                      <w:rFonts w:hint="eastAsia" w:eastAsia="宋体"/>
                      <w:kern w:val="0"/>
                      <w:sz w:val="21"/>
                    </w:rPr>
                    <w:t>-严控使用燃煤等高污染燃料，禁止焚烧垃圾。</w:t>
                  </w:r>
                </w:p>
                <w:p>
                  <w:pPr>
                    <w:pStyle w:val="880"/>
                    <w:spacing w:line="240" w:lineRule="auto"/>
                    <w:ind w:firstLine="0" w:firstLineChars="0"/>
                    <w:rPr>
                      <w:rFonts w:hint="eastAsia" w:eastAsia="宋体"/>
                      <w:kern w:val="0"/>
                      <w:sz w:val="21"/>
                    </w:rPr>
                  </w:pPr>
                  <w:r>
                    <w:rPr>
                      <w:rFonts w:hint="eastAsia" w:eastAsia="宋体"/>
                      <w:kern w:val="0"/>
                      <w:sz w:val="21"/>
                    </w:rPr>
                    <w:t>-全面淘汰每小时10蒸吨以下的燃煤锅炉；在供气管网覆盖不到的其他地区，改用电、新能源或洁净煤。</w:t>
                  </w:r>
                </w:p>
                <w:p>
                  <w:pPr>
                    <w:pStyle w:val="880"/>
                    <w:spacing w:line="240" w:lineRule="auto"/>
                    <w:ind w:firstLine="0" w:firstLineChars="0"/>
                    <w:rPr>
                      <w:rFonts w:hint="eastAsia" w:eastAsia="宋体"/>
                      <w:kern w:val="0"/>
                      <w:sz w:val="21"/>
                    </w:rPr>
                  </w:pPr>
                  <w:r>
                    <w:rPr>
                      <w:rFonts w:hint="eastAsia" w:eastAsia="宋体"/>
                      <w:kern w:val="0"/>
                      <w:sz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禁燃区要求</w:t>
                  </w:r>
                </w:p>
                <w:p>
                  <w:pPr>
                    <w:pStyle w:val="880"/>
                    <w:spacing w:line="240" w:lineRule="auto"/>
                    <w:ind w:firstLine="0" w:firstLineChars="0"/>
                    <w:rPr>
                      <w:rFonts w:hint="eastAsia" w:eastAsia="宋体"/>
                      <w:kern w:val="0"/>
                      <w:sz w:val="21"/>
                    </w:rPr>
                  </w:pPr>
                  <w:r>
                    <w:rPr>
                      <w:rFonts w:hint="eastAsia" w:eastAsia="宋体"/>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880"/>
                    <w:spacing w:line="240" w:lineRule="auto"/>
                    <w:ind w:firstLine="0" w:firstLineChars="0"/>
                    <w:rPr>
                      <w:rFonts w:hint="eastAsia" w:eastAsia="宋体"/>
                      <w:kern w:val="0"/>
                      <w:sz w:val="21"/>
                    </w:rPr>
                  </w:pPr>
                  <w:r>
                    <w:rPr>
                      <w:rFonts w:hint="eastAsia" w:eastAsia="宋体"/>
                      <w:kern w:val="0"/>
                      <w:sz w:val="21"/>
                    </w:rPr>
                    <w:t>-禁燃区内禁止销售、燃用高污染燃料；禁止新建、改建、扩建燃用高污染燃料的设施和设备。</w:t>
                  </w:r>
                </w:p>
                <w:p>
                  <w:pPr>
                    <w:pStyle w:val="880"/>
                    <w:spacing w:line="240" w:lineRule="auto"/>
                    <w:ind w:firstLine="0" w:firstLineChars="0"/>
                    <w:rPr>
                      <w:rFonts w:hint="eastAsia" w:eastAsia="宋体"/>
                      <w:kern w:val="0"/>
                      <w:sz w:val="21"/>
                    </w:rPr>
                  </w:pPr>
                  <w:r>
                    <w:rPr>
                      <w:rFonts w:hint="eastAsia" w:eastAsia="宋体"/>
                      <w:kern w:val="0"/>
                      <w:sz w:val="21"/>
                    </w:rPr>
                    <w:t>-禁燃区内已建成的高污染燃料燃用设施由辖区人民政府制定限期改造计划，改用天然气、页岩气、液化石油气、电或其他清洁能源。</w:t>
                  </w:r>
                </w:p>
                <w:p>
                  <w:pPr>
                    <w:pStyle w:val="880"/>
                    <w:spacing w:line="240" w:lineRule="auto"/>
                    <w:ind w:firstLine="0" w:firstLineChars="0"/>
                    <w:rPr>
                      <w:rFonts w:hint="eastAsia" w:eastAsia="宋体"/>
                      <w:kern w:val="0"/>
                      <w:sz w:val="21"/>
                    </w:rPr>
                  </w:pPr>
                </w:p>
                <w:p>
                  <w:pPr>
                    <w:pStyle w:val="880"/>
                    <w:spacing w:line="240" w:lineRule="auto"/>
                    <w:ind w:firstLine="0" w:firstLineChars="0"/>
                    <w:rPr>
                      <w:rFonts w:hint="eastAsia" w:eastAsia="宋体"/>
                      <w:kern w:val="0"/>
                      <w:sz w:val="21"/>
                    </w:rPr>
                  </w:pPr>
                  <w:r>
                    <w:rPr>
                      <w:rFonts w:hint="eastAsia" w:eastAsia="宋体"/>
                      <w:kern w:val="0"/>
                      <w:sz w:val="21"/>
                    </w:rPr>
                    <w:t>其他资源利用效率要求</w:t>
                  </w:r>
                </w:p>
                <w:p>
                  <w:pPr>
                    <w:pStyle w:val="880"/>
                    <w:spacing w:line="240" w:lineRule="auto"/>
                    <w:ind w:firstLine="0" w:firstLineChars="0"/>
                    <w:rPr>
                      <w:rFonts w:eastAsia="宋体"/>
                      <w:snapToGrid w:val="0"/>
                      <w:sz w:val="21"/>
                    </w:rPr>
                  </w:pPr>
                  <w:r>
                    <w:rPr>
                      <w:rFonts w:hint="eastAsia" w:eastAsia="宋体"/>
                      <w:kern w:val="0"/>
                      <w:sz w:val="21"/>
                    </w:rPr>
                    <w:t>暂无</w:t>
                  </w: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空间布局约束</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禁止开发建设活动的要求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城市发展遵循“北控、西扩、南拓、东进、中优”的布局战略其他同达州市城镇重点总体管控要求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其他空间布局约束要求</w:t>
                  </w:r>
                </w:p>
              </w:tc>
              <w:tc>
                <w:tcPr>
                  <w:tcW w:w="1056"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本项目</w:t>
                  </w:r>
                  <w:r>
                    <w:rPr>
                      <w:rFonts w:hint="eastAsia" w:ascii="Times New Roman" w:hAnsi="Times New Roman"/>
                      <w:kern w:val="2"/>
                      <w:sz w:val="21"/>
                      <w:szCs w:val="21"/>
                    </w:rPr>
                    <w:t>加加油加气站项目，属于机动车燃油、燃气零售服务业，不属于工业企业项目，项目位于规划的加油加气站用地内，符合空间布局约束要求</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污染物排放管控</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现有源提标升级改造</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通川区全域属于四川省大气污染防治重点区域，执行大气污染物特别排放限值。</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新增源等量或倍量替代</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新增源排放标准限值</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通川区全域属于四川省大气污染防治重点区域，执行大气污染物特别排放限值。其他同达州市城镇重点总体准入要求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污染物排放绩效水平准入要求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其他污染物排放管控要求</w:t>
                  </w:r>
                </w:p>
              </w:tc>
              <w:tc>
                <w:tcPr>
                  <w:tcW w:w="1056" w:type="dxa"/>
                  <w:noWrap w:val="0"/>
                  <w:vAlign w:val="center"/>
                </w:tcPr>
                <w:p>
                  <w:pPr>
                    <w:pStyle w:val="880"/>
                    <w:widowControl/>
                    <w:shd w:val="clear" w:color="auto" w:fill="FFFFFF"/>
                    <w:spacing w:line="240" w:lineRule="auto"/>
                    <w:ind w:firstLine="0" w:firstLineChars="0"/>
                    <w:jc w:val="left"/>
                    <w:rPr>
                      <w:rFonts w:eastAsia="宋体"/>
                      <w:snapToGrid w:val="0"/>
                      <w:sz w:val="21"/>
                    </w:rPr>
                  </w:pPr>
                  <w:r>
                    <w:rPr>
                      <w:rFonts w:eastAsia="宋体"/>
                      <w:sz w:val="21"/>
                    </w:rPr>
                    <w:t>项目为</w:t>
                  </w:r>
                  <w:r>
                    <w:rPr>
                      <w:rFonts w:hint="eastAsia" w:eastAsia="宋体"/>
                      <w:sz w:val="21"/>
                    </w:rPr>
                    <w:t>加油加气站项目，项目卸油、储油、加油过程中挥发的有机废气经油气回收装置回收；LNG发散废气经10m放散管有组织排放；项目废水经预处理后通过市政污水管网进入污水处理厂处理达标后排放；固废进行分类收集，生活垃圾委托环卫部门处理，危险废物交由有处理资质的单位处理。</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环境风险防控</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严格管控类农用地管控要求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安全利用类农用地管控要求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有一定危险性仓库用地远离市区，按有关规范选址和建设，留够防护距离，原则上安排在铁山山谷。其他同达州市城镇重点总体准入要求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污染地块管控要求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园区环境风险防控要求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企业环境风险防控要求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其他环境风险防控要求</w:t>
                  </w:r>
                </w:p>
              </w:tc>
              <w:tc>
                <w:tcPr>
                  <w:tcW w:w="1056" w:type="dxa"/>
                  <w:noWrap w:val="0"/>
                  <w:vAlign w:val="center"/>
                </w:tcPr>
                <w:p>
                  <w:pPr>
                    <w:pStyle w:val="880"/>
                    <w:widowControl/>
                    <w:shd w:val="clear" w:color="auto" w:fill="FFFFFF"/>
                    <w:spacing w:line="240" w:lineRule="auto"/>
                    <w:ind w:firstLine="0" w:firstLineChars="0"/>
                    <w:jc w:val="left"/>
                    <w:rPr>
                      <w:rFonts w:eastAsia="宋体"/>
                      <w:snapToGrid w:val="0"/>
                      <w:sz w:val="21"/>
                    </w:rPr>
                  </w:pPr>
                  <w:r>
                    <w:rPr>
                      <w:rFonts w:eastAsia="宋体"/>
                      <w:sz w:val="21"/>
                    </w:rPr>
                    <w:t>项目为</w:t>
                  </w:r>
                  <w:r>
                    <w:rPr>
                      <w:rFonts w:hint="eastAsia" w:eastAsia="宋体"/>
                      <w:sz w:val="21"/>
                    </w:rPr>
                    <w:t>加油加气站项目，选址位于规划的</w:t>
                  </w:r>
                  <w:r>
                    <w:rPr>
                      <w:rFonts w:hint="eastAsia" w:ascii="宋体" w:hAnsi="宋体" w:eastAsia="宋体"/>
                      <w:sz w:val="21"/>
                    </w:rPr>
                    <w:t>加油加气站用地，项目</w:t>
                  </w:r>
                  <w:r>
                    <w:rPr>
                      <w:rFonts w:ascii="宋体" w:hAnsi="宋体" w:eastAsia="宋体"/>
                      <w:sz w:val="21"/>
                    </w:rPr>
                    <w:t>不涉及五类重金属  排放，建成后，将编制《突发环境 事件应急预案》，对可能发生的环境事件采取相应的防治措施。</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资源开发效率要求</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水资源利用效率要求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地下水开采要求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能源利用效率要求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执行达州市城镇重点管控单元总体要求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其他资源利用效率要求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禁燃区要求：同达州市城镇重点总体准入要求</w:t>
                  </w:r>
                </w:p>
              </w:tc>
              <w:tc>
                <w:tcPr>
                  <w:tcW w:w="1056" w:type="dxa"/>
                  <w:noWrap w:val="0"/>
                  <w:vAlign w:val="center"/>
                </w:tcPr>
                <w:p>
                  <w:pPr>
                    <w:pStyle w:val="880"/>
                    <w:widowControl/>
                    <w:shd w:val="clear" w:color="auto" w:fill="FFFFFF"/>
                    <w:spacing w:line="240" w:lineRule="auto"/>
                    <w:ind w:firstLine="0" w:firstLineChars="0"/>
                    <w:jc w:val="left"/>
                    <w:rPr>
                      <w:snapToGrid w:val="0"/>
                      <w:sz w:val="21"/>
                    </w:rPr>
                  </w:pPr>
                  <w:r>
                    <w:rPr>
                      <w:rFonts w:ascii="宋体" w:hAnsi="宋体" w:eastAsia="宋体"/>
                      <w:sz w:val="21"/>
                    </w:rPr>
                    <w:t>项目用水来源为市政管网；不涉及地 下水开采；能源主要为电  能，不涉及使用煤、油等能源。</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880"/>
                    <w:spacing w:line="240" w:lineRule="auto"/>
                    <w:ind w:firstLine="0" w:firstLineChars="0"/>
                    <w:rPr>
                      <w:rFonts w:eastAsia="宋体"/>
                      <w:kern w:val="0"/>
                      <w:sz w:val="21"/>
                    </w:rPr>
                  </w:pPr>
                  <w:r>
                    <w:rPr>
                      <w:rFonts w:hint="eastAsia" w:eastAsia="宋体"/>
                      <w:kern w:val="0"/>
                      <w:sz w:val="21"/>
                    </w:rPr>
                    <w:t>YS5117022220001</w:t>
                  </w:r>
                </w:p>
              </w:tc>
              <w:tc>
                <w:tcPr>
                  <w:tcW w:w="1223" w:type="dxa"/>
                  <w:vMerge w:val="restart"/>
                  <w:noWrap w:val="0"/>
                  <w:vAlign w:val="center"/>
                </w:tcPr>
                <w:p>
                  <w:pPr>
                    <w:pStyle w:val="880"/>
                    <w:spacing w:line="240" w:lineRule="auto"/>
                    <w:ind w:firstLine="0" w:firstLineChars="0"/>
                    <w:jc w:val="center"/>
                    <w:rPr>
                      <w:rFonts w:eastAsia="宋体"/>
                      <w:kern w:val="0"/>
                      <w:sz w:val="21"/>
                    </w:rPr>
                  </w:pPr>
                  <w:r>
                    <w:rPr>
                      <w:rFonts w:hint="eastAsia" w:eastAsia="宋体"/>
                      <w:kern w:val="0"/>
                      <w:sz w:val="21"/>
                    </w:rPr>
                    <w:t>州河通川区车家河控制单元</w:t>
                  </w:r>
                </w:p>
              </w:tc>
              <w:tc>
                <w:tcPr>
                  <w:tcW w:w="5067" w:type="dxa"/>
                  <w:vMerge w:val="restart"/>
                  <w:noWrap w:val="0"/>
                  <w:vAlign w:val="center"/>
                </w:tcPr>
                <w:p>
                  <w:pPr>
                    <w:pStyle w:val="880"/>
                    <w:spacing w:line="240" w:lineRule="auto"/>
                    <w:ind w:firstLine="0" w:firstLineChars="0"/>
                    <w:rPr>
                      <w:rFonts w:eastAsia="宋体"/>
                      <w:kern w:val="0"/>
                      <w:sz w:val="21"/>
                    </w:rPr>
                  </w:pPr>
                  <w:r>
                    <w:rPr>
                      <w:rFonts w:hint="eastAsia" w:eastAsia="宋体"/>
                      <w:kern w:val="0"/>
                      <w:sz w:val="21"/>
                    </w:rPr>
                    <w:t>空间布局约束：</w:t>
                  </w:r>
                </w:p>
                <w:p>
                  <w:pPr>
                    <w:pStyle w:val="880"/>
                    <w:spacing w:line="240" w:lineRule="auto"/>
                    <w:ind w:firstLine="0" w:firstLineChars="0"/>
                    <w:rPr>
                      <w:rFonts w:hint="eastAsia" w:eastAsia="宋体"/>
                      <w:kern w:val="0"/>
                      <w:sz w:val="21"/>
                    </w:rPr>
                  </w:pPr>
                  <w:r>
                    <w:rPr>
                      <w:rFonts w:hint="eastAsia" w:eastAsia="宋体"/>
                      <w:kern w:val="0"/>
                      <w:sz w:val="21"/>
                    </w:rPr>
                    <w:t>禁止开发建设活动的要求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限制开发建设活动的要求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不符合空间布局要求活动的退出要求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其他空间布局约束要求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污染物排放管控：</w:t>
                  </w:r>
                </w:p>
                <w:p>
                  <w:pPr>
                    <w:pStyle w:val="880"/>
                    <w:spacing w:line="240" w:lineRule="auto"/>
                    <w:ind w:firstLine="0" w:firstLineChars="0"/>
                    <w:rPr>
                      <w:rFonts w:hint="eastAsia" w:eastAsia="宋体"/>
                      <w:kern w:val="0"/>
                      <w:sz w:val="21"/>
                    </w:rPr>
                  </w:pPr>
                  <w:r>
                    <w:rPr>
                      <w:rFonts w:hint="eastAsia" w:eastAsia="宋体"/>
                      <w:kern w:val="0"/>
                      <w:sz w:val="21"/>
                    </w:rPr>
                    <w:t>允许排放量要求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现有源提标升级改造</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其他污染物排放管控要求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环境风险防控：</w:t>
                  </w:r>
                </w:p>
                <w:p>
                  <w:pPr>
                    <w:pStyle w:val="880"/>
                    <w:spacing w:line="240" w:lineRule="auto"/>
                    <w:ind w:firstLine="0" w:firstLineChars="0"/>
                    <w:rPr>
                      <w:rFonts w:hint="eastAsia" w:eastAsia="宋体"/>
                      <w:kern w:val="0"/>
                      <w:sz w:val="21"/>
                    </w:rPr>
                  </w:pPr>
                  <w:r>
                    <w:rPr>
                      <w:rFonts w:hint="eastAsia" w:eastAsia="宋体"/>
                      <w:kern w:val="0"/>
                      <w:sz w:val="21"/>
                    </w:rPr>
                    <w:t>联防联控要求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其他环境风险防控要求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资源开发利用效率要求：</w:t>
                  </w:r>
                </w:p>
                <w:p>
                  <w:pPr>
                    <w:pStyle w:val="880"/>
                    <w:spacing w:line="240" w:lineRule="auto"/>
                    <w:ind w:firstLine="0" w:firstLineChars="0"/>
                    <w:rPr>
                      <w:rFonts w:hint="eastAsia" w:eastAsia="宋体"/>
                      <w:kern w:val="0"/>
                      <w:sz w:val="21"/>
                    </w:rPr>
                  </w:pPr>
                  <w:r>
                    <w:rPr>
                      <w:rFonts w:hint="eastAsia" w:eastAsia="宋体"/>
                      <w:kern w:val="0"/>
                      <w:sz w:val="21"/>
                    </w:rPr>
                    <w:t>水资源利用总量要求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地下水开采要求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能源利用总量及效率要求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禁燃区要求</w:t>
                  </w:r>
                </w:p>
                <w:p>
                  <w:pPr>
                    <w:pStyle w:val="880"/>
                    <w:spacing w:line="240" w:lineRule="auto"/>
                    <w:ind w:firstLine="0" w:firstLineChars="0"/>
                    <w:rPr>
                      <w:rFonts w:hint="eastAsia" w:eastAsia="宋体"/>
                      <w:kern w:val="0"/>
                      <w:sz w:val="21"/>
                    </w:rPr>
                  </w:pPr>
                  <w:r>
                    <w:rPr>
                      <w:rFonts w:hint="eastAsia" w:eastAsia="宋体"/>
                      <w:kern w:val="0"/>
                      <w:sz w:val="21"/>
                    </w:rPr>
                    <w:t>暂无</w:t>
                  </w:r>
                </w:p>
                <w:p>
                  <w:pPr>
                    <w:pStyle w:val="880"/>
                    <w:spacing w:line="240" w:lineRule="auto"/>
                    <w:ind w:firstLine="0" w:firstLineChars="0"/>
                    <w:rPr>
                      <w:rFonts w:hint="eastAsia" w:eastAsia="宋体"/>
                      <w:kern w:val="0"/>
                      <w:sz w:val="21"/>
                    </w:rPr>
                  </w:pPr>
                  <w:r>
                    <w:rPr>
                      <w:rFonts w:hint="eastAsia" w:eastAsia="宋体"/>
                      <w:kern w:val="0"/>
                      <w:sz w:val="21"/>
                    </w:rPr>
                    <w:t>其他资源利用效率要求</w:t>
                  </w:r>
                </w:p>
                <w:p>
                  <w:pPr>
                    <w:pStyle w:val="880"/>
                    <w:spacing w:line="240" w:lineRule="auto"/>
                    <w:ind w:firstLine="0" w:firstLineChars="0"/>
                    <w:rPr>
                      <w:rFonts w:eastAsia="宋体"/>
                      <w:snapToGrid w:val="0"/>
                      <w:sz w:val="21"/>
                    </w:rPr>
                  </w:pPr>
                  <w:r>
                    <w:rPr>
                      <w:rFonts w:hint="eastAsia" w:eastAsia="宋体"/>
                      <w:kern w:val="0"/>
                      <w:sz w:val="21"/>
                    </w:rPr>
                    <w:t>暂无</w:t>
                  </w: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空间布局约束</w:t>
                  </w:r>
                </w:p>
              </w:tc>
              <w:tc>
                <w:tcPr>
                  <w:tcW w:w="3124" w:type="dxa"/>
                  <w:noWrap w:val="0"/>
                  <w:vAlign w:val="center"/>
                </w:tcPr>
                <w:p>
                  <w:pPr>
                    <w:pStyle w:val="880"/>
                    <w:spacing w:line="240" w:lineRule="auto"/>
                    <w:ind w:firstLine="0" w:firstLineChars="0"/>
                    <w:rPr>
                      <w:rFonts w:eastAsia="宋体"/>
                      <w:kern w:val="0"/>
                      <w:sz w:val="21"/>
                    </w:rPr>
                  </w:pPr>
                  <w:r>
                    <w:rPr>
                      <w:rFonts w:hint="eastAsia" w:eastAsia="宋体"/>
                      <w:kern w:val="0"/>
                      <w:sz w:val="21"/>
                    </w:rPr>
                    <w:t>禁止开发建设活动的要求</w:t>
                  </w:r>
                </w:p>
                <w:p>
                  <w:pPr>
                    <w:pStyle w:val="880"/>
                    <w:spacing w:line="240" w:lineRule="auto"/>
                    <w:ind w:firstLine="0" w:firstLineChars="0"/>
                    <w:rPr>
                      <w:rFonts w:hint="eastAsia" w:eastAsia="宋体"/>
                      <w:kern w:val="0"/>
                      <w:sz w:val="21"/>
                    </w:rPr>
                  </w:pPr>
                  <w:r>
                    <w:rPr>
                      <w:rFonts w:hint="eastAsia" w:eastAsia="宋体"/>
                      <w:kern w:val="0"/>
                      <w:sz w:val="21"/>
                    </w:rPr>
                    <w:t>限制开发建设活动的要求</w:t>
                  </w:r>
                </w:p>
                <w:p>
                  <w:pPr>
                    <w:pStyle w:val="880"/>
                    <w:spacing w:line="240" w:lineRule="auto"/>
                    <w:ind w:firstLine="0" w:firstLineChars="0"/>
                    <w:rPr>
                      <w:rFonts w:hint="eastAsia" w:eastAsia="宋体"/>
                      <w:kern w:val="0"/>
                      <w:sz w:val="21"/>
                    </w:rPr>
                  </w:pPr>
                  <w:r>
                    <w:rPr>
                      <w:rFonts w:hint="eastAsia" w:eastAsia="宋体"/>
                      <w:kern w:val="0"/>
                      <w:sz w:val="21"/>
                    </w:rPr>
                    <w:t>允许开发建设活动的要求</w:t>
                  </w:r>
                </w:p>
                <w:p>
                  <w:pPr>
                    <w:pStyle w:val="880"/>
                    <w:spacing w:line="240" w:lineRule="auto"/>
                    <w:ind w:firstLine="0" w:firstLineChars="0"/>
                    <w:rPr>
                      <w:rFonts w:hint="eastAsia" w:eastAsia="宋体"/>
                      <w:kern w:val="0"/>
                      <w:sz w:val="21"/>
                    </w:rPr>
                  </w:pPr>
                  <w:r>
                    <w:rPr>
                      <w:rFonts w:hint="eastAsia" w:eastAsia="宋体"/>
                      <w:kern w:val="0"/>
                      <w:sz w:val="21"/>
                    </w:rPr>
                    <w:t>不符合空间布局要求活动的退出要求</w:t>
                  </w:r>
                </w:p>
                <w:p>
                  <w:pPr>
                    <w:pStyle w:val="880"/>
                    <w:spacing w:line="240" w:lineRule="auto"/>
                    <w:ind w:firstLine="0" w:firstLineChars="0"/>
                    <w:rPr>
                      <w:rFonts w:eastAsia="宋体"/>
                      <w:snapToGrid w:val="0"/>
                      <w:sz w:val="21"/>
                    </w:rPr>
                  </w:pPr>
                  <w:r>
                    <w:rPr>
                      <w:rFonts w:hint="eastAsia" w:eastAsia="宋体"/>
                      <w:kern w:val="0"/>
                      <w:sz w:val="21"/>
                    </w:rPr>
                    <w:t>其他空间布局约束要求</w:t>
                  </w:r>
                </w:p>
              </w:tc>
              <w:tc>
                <w:tcPr>
                  <w:tcW w:w="1056"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本项目</w:t>
                  </w:r>
                  <w:r>
                    <w:rPr>
                      <w:rFonts w:hint="eastAsia" w:ascii="Times New Roman" w:hAnsi="Times New Roman"/>
                      <w:snapToGrid w:val="0"/>
                      <w:sz w:val="21"/>
                      <w:szCs w:val="21"/>
                    </w:rPr>
                    <w:t>为加油加气站项目，属于允许开发建设的项目</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污染物排放管控</w:t>
                  </w:r>
                </w:p>
              </w:tc>
              <w:tc>
                <w:tcPr>
                  <w:tcW w:w="3124" w:type="dxa"/>
                  <w:noWrap w:val="0"/>
                  <w:vAlign w:val="center"/>
                </w:tcPr>
                <w:p>
                  <w:pPr>
                    <w:pStyle w:val="880"/>
                    <w:spacing w:line="240" w:lineRule="auto"/>
                    <w:ind w:firstLine="0" w:firstLineChars="0"/>
                    <w:rPr>
                      <w:rFonts w:eastAsia="宋体"/>
                      <w:kern w:val="0"/>
                      <w:sz w:val="21"/>
                    </w:rPr>
                  </w:pPr>
                  <w:r>
                    <w:rPr>
                      <w:rFonts w:hint="eastAsia" w:eastAsia="宋体"/>
                      <w:kern w:val="0"/>
                      <w:sz w:val="21"/>
                    </w:rPr>
                    <w:t>城镇污水污染控制措施要求</w:t>
                  </w:r>
                </w:p>
                <w:p>
                  <w:pPr>
                    <w:pStyle w:val="880"/>
                    <w:spacing w:line="240" w:lineRule="auto"/>
                    <w:ind w:firstLine="0" w:firstLineChars="0"/>
                    <w:rPr>
                      <w:rFonts w:hint="eastAsia" w:eastAsia="宋体"/>
                      <w:kern w:val="0"/>
                      <w:sz w:val="21"/>
                    </w:rPr>
                  </w:pPr>
                  <w:r>
                    <w:rPr>
                      <w:rFonts w:hint="eastAsia" w:eastAsia="宋体"/>
                      <w:kern w:val="0"/>
                      <w:sz w:val="21"/>
                    </w:rPr>
                    <w:t>强化生活污水治理，以尾水排放去向确定排放标准，因地制宜选取治理技术及方法，加快污水处理设施建设运行，城镇生活污水处理厂出水达到《城镇污水处理厂污染物排放标准》（GB18918）要求；鼓励农村生活污水实行资源化利用，排放的尾水达到《农村生活污水处理设施水污染物排放标准》要求。强化生活垃圾收集处理，推广生活垃圾分类收集处理，从源头减少处理处置量。</w:t>
                  </w:r>
                </w:p>
                <w:p>
                  <w:pPr>
                    <w:pStyle w:val="880"/>
                    <w:spacing w:line="240" w:lineRule="auto"/>
                    <w:ind w:firstLine="0" w:firstLineChars="0"/>
                    <w:rPr>
                      <w:rFonts w:hint="eastAsia" w:eastAsia="宋体"/>
                      <w:kern w:val="0"/>
                      <w:sz w:val="21"/>
                    </w:rPr>
                  </w:pPr>
                  <w:r>
                    <w:rPr>
                      <w:rFonts w:hint="eastAsia" w:eastAsia="宋体"/>
                      <w:kern w:val="0"/>
                      <w:sz w:val="21"/>
                    </w:rPr>
                    <w:t>工业废水污染控制措施要求</w:t>
                  </w:r>
                </w:p>
                <w:p>
                  <w:pPr>
                    <w:pStyle w:val="880"/>
                    <w:spacing w:line="240" w:lineRule="auto"/>
                    <w:ind w:firstLine="0" w:firstLineChars="0"/>
                    <w:rPr>
                      <w:rFonts w:hint="eastAsia" w:eastAsia="宋体"/>
                      <w:kern w:val="0"/>
                      <w:sz w:val="21"/>
                    </w:rPr>
                  </w:pPr>
                  <w:r>
                    <w:rPr>
                      <w:rFonts w:hint="eastAsia" w:eastAsia="宋体"/>
                      <w:kern w:val="0"/>
                      <w:sz w:val="21"/>
                    </w:rPr>
                    <w:t>农业面源水污染控制措施要求</w:t>
                  </w:r>
                </w:p>
                <w:p>
                  <w:pPr>
                    <w:pStyle w:val="880"/>
                    <w:spacing w:line="240" w:lineRule="auto"/>
                    <w:ind w:firstLine="0" w:firstLineChars="0"/>
                    <w:rPr>
                      <w:rFonts w:hint="eastAsia" w:eastAsia="宋体"/>
                      <w:kern w:val="0"/>
                      <w:sz w:val="21"/>
                    </w:rPr>
                  </w:pPr>
                  <w:r>
                    <w:rPr>
                      <w:rFonts w:hint="eastAsia" w:eastAsia="宋体"/>
                      <w:kern w:val="0"/>
                      <w:sz w:val="21"/>
                    </w:rPr>
                    <w:t>船舶港口水污染控制措施要求</w:t>
                  </w:r>
                </w:p>
                <w:p>
                  <w:pPr>
                    <w:pStyle w:val="880"/>
                    <w:spacing w:line="240" w:lineRule="auto"/>
                    <w:ind w:firstLine="0" w:firstLineChars="0"/>
                    <w:rPr>
                      <w:snapToGrid w:val="0"/>
                      <w:sz w:val="21"/>
                    </w:rPr>
                  </w:pPr>
                  <w:r>
                    <w:rPr>
                      <w:rFonts w:hint="eastAsia" w:eastAsia="宋体"/>
                      <w:kern w:val="0"/>
                      <w:sz w:val="21"/>
                    </w:rPr>
                    <w:t>饮用水水源和其它特殊水体保护要求</w:t>
                  </w:r>
                </w:p>
              </w:tc>
              <w:tc>
                <w:tcPr>
                  <w:tcW w:w="1056" w:type="dxa"/>
                  <w:noWrap w:val="0"/>
                  <w:vAlign w:val="center"/>
                </w:tcPr>
                <w:p>
                  <w:pPr>
                    <w:pStyle w:val="65"/>
                    <w:jc w:val="center"/>
                    <w:outlineLvl w:val="0"/>
                    <w:rPr>
                      <w:rFonts w:hint="eastAsia" w:ascii="Times New Roman" w:hAnsi="Times New Roman"/>
                      <w:snapToGrid w:val="0"/>
                      <w:sz w:val="21"/>
                      <w:szCs w:val="21"/>
                    </w:rPr>
                  </w:pPr>
                  <w:r>
                    <w:rPr>
                      <w:rFonts w:hint="eastAsia" w:ascii="Times New Roman" w:hAnsi="Times New Roman"/>
                      <w:snapToGrid w:val="0"/>
                      <w:sz w:val="21"/>
                      <w:szCs w:val="21"/>
                    </w:rPr>
                    <w:t>项目不设置废水排口，废水经预处理后通过市政污水管网进入污水处理厂处理达到《城镇污水处理厂污染物排放标准》（GB18918-2002）一级A标准后排放</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环境风险防控</w:t>
                  </w:r>
                </w:p>
              </w:tc>
              <w:tc>
                <w:tcPr>
                  <w:tcW w:w="3124" w:type="dxa"/>
                  <w:noWrap w:val="0"/>
                  <w:vAlign w:val="center"/>
                </w:tcPr>
                <w:p>
                  <w:pPr>
                    <w:pStyle w:val="65"/>
                    <w:jc w:val="center"/>
                    <w:outlineLvl w:val="0"/>
                    <w:rPr>
                      <w:rFonts w:ascii="Times New Roman" w:hAnsi="Times New Roman"/>
                      <w:snapToGrid w:val="0"/>
                      <w:sz w:val="21"/>
                      <w:szCs w:val="21"/>
                    </w:rPr>
                  </w:pPr>
                  <w:r>
                    <w:rPr>
                      <w:rFonts w:hint="eastAsia"/>
                      <w:kern w:val="2"/>
                      <w:sz w:val="21"/>
                      <w:szCs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056"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建设单位将编制《突发环境事件应急预案》并报当地 生态环境主管部门备案，严 格按照要求建设应急设施</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资源开发效率要求</w:t>
                  </w:r>
                </w:p>
              </w:tc>
              <w:tc>
                <w:tcPr>
                  <w:tcW w:w="3124"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c>
                <w:tcPr>
                  <w:tcW w:w="1056"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880"/>
                    <w:spacing w:line="240" w:lineRule="auto"/>
                    <w:ind w:firstLine="0" w:firstLineChars="0"/>
                    <w:rPr>
                      <w:rFonts w:eastAsia="宋体"/>
                      <w:kern w:val="0"/>
                      <w:sz w:val="21"/>
                    </w:rPr>
                  </w:pPr>
                  <w:r>
                    <w:rPr>
                      <w:rFonts w:hint="eastAsia" w:eastAsia="宋体"/>
                      <w:kern w:val="0"/>
                      <w:sz w:val="21"/>
                    </w:rPr>
                    <w:t>YS5117022340005</w:t>
                  </w:r>
                </w:p>
              </w:tc>
              <w:tc>
                <w:tcPr>
                  <w:tcW w:w="1223" w:type="dxa"/>
                  <w:vMerge w:val="restart"/>
                  <w:noWrap w:val="0"/>
                  <w:vAlign w:val="center"/>
                </w:tcPr>
                <w:p>
                  <w:pPr>
                    <w:pStyle w:val="880"/>
                    <w:spacing w:line="240" w:lineRule="auto"/>
                    <w:ind w:firstLine="0" w:firstLineChars="0"/>
                    <w:jc w:val="center"/>
                    <w:rPr>
                      <w:rFonts w:eastAsia="宋体"/>
                      <w:kern w:val="0"/>
                      <w:sz w:val="21"/>
                    </w:rPr>
                  </w:pPr>
                  <w:r>
                    <w:rPr>
                      <w:rFonts w:hint="eastAsia" w:eastAsia="宋体"/>
                      <w:kern w:val="0"/>
                      <w:sz w:val="21"/>
                    </w:rPr>
                    <w:t>通川区中心城区</w:t>
                  </w: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空间布局约束</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禁止开发建设活动的要求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限制开发建设活动的要求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允许开发建设活动的要求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不符合空间布局要求活动的退出要求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其他空间布局约束要求</w:t>
                  </w:r>
                </w:p>
              </w:tc>
              <w:tc>
                <w:tcPr>
                  <w:tcW w:w="1056" w:type="dxa"/>
                  <w:noWrap w:val="0"/>
                  <w:vAlign w:val="center"/>
                </w:tcPr>
                <w:p>
                  <w:pPr>
                    <w:pStyle w:val="880"/>
                    <w:widowControl/>
                    <w:shd w:val="clear" w:color="auto" w:fill="FFFFFF"/>
                    <w:spacing w:line="240" w:lineRule="auto"/>
                    <w:ind w:firstLine="0" w:firstLineChars="0"/>
                    <w:jc w:val="left"/>
                    <w:rPr>
                      <w:rFonts w:eastAsia="宋体"/>
                      <w:snapToGrid w:val="0"/>
                      <w:sz w:val="21"/>
                    </w:rPr>
                  </w:pPr>
                  <w:r>
                    <w:rPr>
                      <w:rFonts w:eastAsia="宋体"/>
                      <w:sz w:val="21"/>
                    </w:rPr>
                    <w:t>项目</w:t>
                  </w:r>
                  <w:r>
                    <w:rPr>
                      <w:rFonts w:hint="eastAsia" w:eastAsia="宋体"/>
                      <w:sz w:val="21"/>
                    </w:rPr>
                    <w:t>属于允许开发建设的项目</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污染物排放管控</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大气环境质量执行标准</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《环境空气质量标准》（GB3095-2012）：二级</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区域大气污染物削减/替代要求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新增大气污染物排放的建设项目实施总量削减替代。</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燃煤和其他能源大气污染控制要求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工业废气污染控制要求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机动车船大气污染控制要求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扬尘污染控制要求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农业生产经营活动大气污染控制要求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重点行业企业专项治理要求</w:t>
                  </w:r>
                </w:p>
                <w:p>
                  <w:pPr>
                    <w:pStyle w:val="880"/>
                    <w:widowControl/>
                    <w:shd w:val="clear" w:color="auto" w:fill="FFFFFF"/>
                    <w:spacing w:line="240" w:lineRule="auto"/>
                    <w:ind w:firstLine="0" w:firstLineChars="0"/>
                    <w:jc w:val="left"/>
                    <w:rPr>
                      <w:rFonts w:eastAsia="宋体"/>
                      <w:snapToGrid w:val="0"/>
                      <w:sz w:val="21"/>
                    </w:rPr>
                  </w:pPr>
                  <w:r>
                    <w:rPr>
                      <w:rFonts w:hint="eastAsia" w:ascii="宋体" w:hAnsi="宋体" w:eastAsia="宋体"/>
                      <w:sz w:val="21"/>
                    </w:rPr>
                    <w:t>其他大气污染物排放管控要求</w:t>
                  </w:r>
                </w:p>
              </w:tc>
              <w:tc>
                <w:tcPr>
                  <w:tcW w:w="1056" w:type="dxa"/>
                  <w:noWrap w:val="0"/>
                  <w:vAlign w:val="center"/>
                </w:tcPr>
                <w:p>
                  <w:pPr>
                    <w:pStyle w:val="880"/>
                    <w:widowControl/>
                    <w:shd w:val="clear" w:color="auto" w:fill="FFFFFF"/>
                    <w:spacing w:line="240" w:lineRule="auto"/>
                    <w:ind w:firstLine="0" w:firstLineChars="0"/>
                    <w:jc w:val="left"/>
                    <w:rPr>
                      <w:rFonts w:eastAsia="宋体"/>
                      <w:snapToGrid w:val="0"/>
                      <w:sz w:val="21"/>
                    </w:rPr>
                  </w:pPr>
                  <w:r>
                    <w:rPr>
                      <w:rFonts w:eastAsia="宋体"/>
                      <w:sz w:val="21"/>
                    </w:rPr>
                    <w:t>项目</w:t>
                  </w:r>
                  <w:r>
                    <w:rPr>
                      <w:rFonts w:hint="eastAsia" w:eastAsia="宋体"/>
                      <w:sz w:val="21"/>
                    </w:rPr>
                    <w:t>区域环境空气质量满足《环境空气质量标准》（GB3095-2012）二级标准要求</w:t>
                  </w:r>
                  <w:r>
                    <w:rPr>
                      <w:rFonts w:hint="eastAsia" w:ascii="宋体" w:hAnsi="宋体" w:eastAsia="宋体"/>
                      <w:sz w:val="21"/>
                    </w:rPr>
                    <w:t>。</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环境风险防控</w:t>
                  </w:r>
                </w:p>
              </w:tc>
              <w:tc>
                <w:tcPr>
                  <w:tcW w:w="3124" w:type="dxa"/>
                  <w:noWrap w:val="0"/>
                  <w:vAlign w:val="center"/>
                </w:tcPr>
                <w:p>
                  <w:pPr>
                    <w:pStyle w:val="65"/>
                    <w:jc w:val="center"/>
                    <w:outlineLvl w:val="0"/>
                    <w:rPr>
                      <w:rFonts w:ascii="Times New Roman" w:hAnsi="Times New Roman"/>
                      <w:snapToGrid w:val="0"/>
                      <w:sz w:val="21"/>
                      <w:szCs w:val="21"/>
                    </w:rPr>
                  </w:pPr>
                  <w:r>
                    <w:rPr>
                      <w:rFonts w:hint="eastAsia"/>
                      <w:kern w:val="2"/>
                      <w:sz w:val="21"/>
                      <w:szCs w:val="21"/>
                    </w:rPr>
                    <w:t>现有涉及五类重金属的企业，不得新增污染物排放，限期退城入园或关停；工业企业退出用地，须经评估、修复满足相应用地功能后，方可改变用途</w:t>
                  </w:r>
                </w:p>
              </w:tc>
              <w:tc>
                <w:tcPr>
                  <w:tcW w:w="1056" w:type="dxa"/>
                  <w:noWrap w:val="0"/>
                  <w:vAlign w:val="center"/>
                </w:tcPr>
                <w:p>
                  <w:pPr>
                    <w:pStyle w:val="880"/>
                    <w:widowControl/>
                    <w:shd w:val="clear" w:color="auto" w:fill="FFFFFF"/>
                    <w:spacing w:line="240" w:lineRule="auto"/>
                    <w:ind w:firstLine="0" w:firstLineChars="0"/>
                    <w:jc w:val="left"/>
                    <w:rPr>
                      <w:rFonts w:eastAsia="宋体"/>
                      <w:snapToGrid w:val="0"/>
                      <w:sz w:val="21"/>
                    </w:rPr>
                  </w:pPr>
                  <w:r>
                    <w:rPr>
                      <w:rFonts w:hint="eastAsia" w:eastAsia="宋体"/>
                      <w:snapToGrid w:val="0"/>
                      <w:sz w:val="21"/>
                    </w:rPr>
                    <w:t>本项目不涉及五类重金属排放</w:t>
                  </w:r>
                </w:p>
              </w:tc>
              <w:tc>
                <w:tcPr>
                  <w:tcW w:w="530" w:type="dxa"/>
                  <w:noWrap w:val="0"/>
                  <w:vAlign w:val="center"/>
                </w:tcPr>
                <w:p>
                  <w:pPr>
                    <w:pStyle w:val="65"/>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资源开发效率要求</w:t>
                  </w:r>
                </w:p>
              </w:tc>
              <w:tc>
                <w:tcPr>
                  <w:tcW w:w="3124" w:type="dxa"/>
                  <w:vMerge w:val="restart"/>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w:t>
                  </w:r>
                </w:p>
              </w:tc>
              <w:tc>
                <w:tcPr>
                  <w:tcW w:w="1056" w:type="dxa"/>
                  <w:vMerge w:val="restart"/>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c>
                <w:tcPr>
                  <w:tcW w:w="530" w:type="dxa"/>
                  <w:vMerge w:val="restart"/>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880"/>
                    <w:spacing w:line="240" w:lineRule="auto"/>
                    <w:ind w:firstLine="0" w:firstLineChars="0"/>
                    <w:rPr>
                      <w:rFonts w:eastAsia="宋体"/>
                      <w:snapToGrid w:val="0"/>
                      <w:sz w:val="21"/>
                    </w:rPr>
                  </w:pPr>
                  <w:r>
                    <w:rPr>
                      <w:rFonts w:hint="eastAsia" w:eastAsia="宋体"/>
                      <w:kern w:val="0"/>
                      <w:sz w:val="21"/>
                    </w:rPr>
                    <w:t>YS5117022540001</w:t>
                  </w:r>
                </w:p>
              </w:tc>
              <w:tc>
                <w:tcPr>
                  <w:tcW w:w="1223" w:type="dxa"/>
                  <w:vMerge w:val="restart"/>
                  <w:noWrap w:val="0"/>
                  <w:vAlign w:val="center"/>
                </w:tcPr>
                <w:p>
                  <w:pPr>
                    <w:pStyle w:val="65"/>
                    <w:jc w:val="center"/>
                    <w:outlineLvl w:val="0"/>
                    <w:rPr>
                      <w:rFonts w:ascii="Times New Roman" w:hAnsi="Times New Roman"/>
                      <w:snapToGrid w:val="0"/>
                      <w:sz w:val="21"/>
                      <w:szCs w:val="21"/>
                    </w:rPr>
                  </w:pPr>
                  <w:r>
                    <w:rPr>
                      <w:rFonts w:hint="eastAsia"/>
                      <w:kern w:val="2"/>
                      <w:sz w:val="21"/>
                      <w:szCs w:val="21"/>
                    </w:rPr>
                    <w:t>通川区禁燃区</w:t>
                  </w: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kern w:val="2"/>
                      <w:sz w:val="21"/>
                      <w:szCs w:val="21"/>
                    </w:rPr>
                  </w:pPr>
                  <w:r>
                    <w:rPr>
                      <w:rFonts w:ascii="Times New Roman" w:hAnsi="Times New Roman"/>
                      <w:kern w:val="2"/>
                      <w:sz w:val="21"/>
                      <w:szCs w:val="21"/>
                    </w:rPr>
                    <w:t>空间布局约束</w:t>
                  </w:r>
                </w:p>
              </w:tc>
              <w:tc>
                <w:tcPr>
                  <w:tcW w:w="3124" w:type="dxa"/>
                  <w:vMerge w:val="continue"/>
                  <w:noWrap w:val="0"/>
                  <w:vAlign w:val="center"/>
                </w:tcPr>
                <w:p>
                  <w:pPr>
                    <w:pStyle w:val="880"/>
                    <w:widowControl/>
                    <w:shd w:val="clear" w:color="auto" w:fill="FFFFFF"/>
                    <w:spacing w:line="240" w:lineRule="auto"/>
                    <w:ind w:firstLine="0" w:firstLineChars="0"/>
                    <w:jc w:val="left"/>
                    <w:rPr>
                      <w:rFonts w:eastAsia="宋体"/>
                      <w:sz w:val="21"/>
                    </w:rPr>
                  </w:pPr>
                </w:p>
              </w:tc>
              <w:tc>
                <w:tcPr>
                  <w:tcW w:w="1056" w:type="dxa"/>
                  <w:vMerge w:val="continue"/>
                  <w:noWrap w:val="0"/>
                  <w:vAlign w:val="center"/>
                </w:tcPr>
                <w:p>
                  <w:pPr>
                    <w:pStyle w:val="880"/>
                    <w:widowControl/>
                    <w:shd w:val="clear" w:color="auto" w:fill="FFFFFF"/>
                    <w:spacing w:line="240" w:lineRule="auto"/>
                    <w:ind w:firstLine="0" w:firstLineChars="0"/>
                    <w:jc w:val="left"/>
                    <w:rPr>
                      <w:rFonts w:eastAsia="宋体"/>
                      <w:sz w:val="21"/>
                    </w:rPr>
                  </w:pPr>
                </w:p>
              </w:tc>
              <w:tc>
                <w:tcPr>
                  <w:tcW w:w="530" w:type="dxa"/>
                  <w:vMerge w:val="continue"/>
                  <w:noWrap w:val="0"/>
                  <w:vAlign w:val="center"/>
                </w:tcPr>
                <w:p>
                  <w:pPr>
                    <w:pStyle w:val="65"/>
                    <w:jc w:val="center"/>
                    <w:outlineLvl w:val="0"/>
                    <w:rPr>
                      <w:rFonts w:ascii="Times New Roman" w:hAnsi="Times New Roman"/>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kern w:val="2"/>
                      <w:sz w:val="21"/>
                      <w:szCs w:val="21"/>
                    </w:rPr>
                  </w:pPr>
                  <w:r>
                    <w:rPr>
                      <w:rFonts w:ascii="Times New Roman" w:hAnsi="Times New Roman"/>
                      <w:kern w:val="2"/>
                      <w:sz w:val="21"/>
                      <w:szCs w:val="21"/>
                    </w:rPr>
                    <w:t>污染物排放管控</w:t>
                  </w:r>
                </w:p>
              </w:tc>
              <w:tc>
                <w:tcPr>
                  <w:tcW w:w="3124" w:type="dxa"/>
                  <w:vMerge w:val="continue"/>
                  <w:noWrap w:val="0"/>
                  <w:vAlign w:val="center"/>
                </w:tcPr>
                <w:p>
                  <w:pPr>
                    <w:pStyle w:val="880"/>
                    <w:widowControl/>
                    <w:shd w:val="clear" w:color="auto" w:fill="FFFFFF"/>
                    <w:spacing w:line="240" w:lineRule="auto"/>
                    <w:ind w:firstLine="0" w:firstLineChars="0"/>
                    <w:jc w:val="left"/>
                    <w:rPr>
                      <w:rFonts w:eastAsia="宋体"/>
                      <w:sz w:val="21"/>
                    </w:rPr>
                  </w:pPr>
                </w:p>
              </w:tc>
              <w:tc>
                <w:tcPr>
                  <w:tcW w:w="1056" w:type="dxa"/>
                  <w:vMerge w:val="continue"/>
                  <w:noWrap w:val="0"/>
                  <w:vAlign w:val="center"/>
                </w:tcPr>
                <w:p>
                  <w:pPr>
                    <w:pStyle w:val="880"/>
                    <w:widowControl/>
                    <w:shd w:val="clear" w:color="auto" w:fill="FFFFFF"/>
                    <w:spacing w:line="240" w:lineRule="auto"/>
                    <w:ind w:firstLine="0" w:firstLineChars="0"/>
                    <w:jc w:val="left"/>
                    <w:rPr>
                      <w:rFonts w:eastAsia="宋体"/>
                      <w:sz w:val="21"/>
                    </w:rPr>
                  </w:pPr>
                </w:p>
              </w:tc>
              <w:tc>
                <w:tcPr>
                  <w:tcW w:w="530" w:type="dxa"/>
                  <w:vMerge w:val="continue"/>
                  <w:noWrap w:val="0"/>
                  <w:vAlign w:val="center"/>
                </w:tcPr>
                <w:p>
                  <w:pPr>
                    <w:pStyle w:val="880"/>
                    <w:widowControl/>
                    <w:shd w:val="clear" w:color="auto" w:fill="FFFFFF"/>
                    <w:spacing w:line="240" w:lineRule="auto"/>
                    <w:ind w:firstLine="0" w:firstLineChars="0"/>
                    <w:jc w:val="center"/>
                    <w:rPr>
                      <w:rFonts w:eastAsia="宋体"/>
                      <w:snapToGrid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kern w:val="2"/>
                      <w:sz w:val="21"/>
                      <w:szCs w:val="21"/>
                    </w:rPr>
                  </w:pPr>
                  <w:r>
                    <w:rPr>
                      <w:rFonts w:ascii="Times New Roman" w:hAnsi="Times New Roman"/>
                      <w:kern w:val="2"/>
                      <w:sz w:val="21"/>
                      <w:szCs w:val="21"/>
                    </w:rPr>
                    <w:t>环境风险防控</w:t>
                  </w:r>
                </w:p>
              </w:tc>
              <w:tc>
                <w:tcPr>
                  <w:tcW w:w="3124" w:type="dxa"/>
                  <w:vMerge w:val="continue"/>
                  <w:noWrap w:val="0"/>
                  <w:vAlign w:val="center"/>
                </w:tcPr>
                <w:p>
                  <w:pPr>
                    <w:pStyle w:val="65"/>
                    <w:jc w:val="center"/>
                    <w:outlineLvl w:val="0"/>
                    <w:rPr>
                      <w:rFonts w:ascii="Times New Roman" w:hAnsi="Times New Roman"/>
                      <w:kern w:val="2"/>
                      <w:sz w:val="21"/>
                      <w:szCs w:val="21"/>
                    </w:rPr>
                  </w:pPr>
                </w:p>
              </w:tc>
              <w:tc>
                <w:tcPr>
                  <w:tcW w:w="1056" w:type="dxa"/>
                  <w:vMerge w:val="continue"/>
                  <w:noWrap w:val="0"/>
                  <w:vAlign w:val="center"/>
                </w:tcPr>
                <w:p>
                  <w:pPr>
                    <w:pStyle w:val="65"/>
                    <w:jc w:val="center"/>
                    <w:outlineLvl w:val="0"/>
                    <w:rPr>
                      <w:rFonts w:ascii="Times New Roman" w:hAnsi="Times New Roman"/>
                      <w:snapToGrid w:val="0"/>
                      <w:sz w:val="21"/>
                      <w:szCs w:val="21"/>
                    </w:rPr>
                  </w:pPr>
                </w:p>
              </w:tc>
              <w:tc>
                <w:tcPr>
                  <w:tcW w:w="530" w:type="dxa"/>
                  <w:vMerge w:val="continue"/>
                  <w:noWrap w:val="0"/>
                  <w:vAlign w:val="center"/>
                </w:tcPr>
                <w:p>
                  <w:pPr>
                    <w:pStyle w:val="65"/>
                    <w:jc w:val="center"/>
                    <w:outlineLvl w:val="0"/>
                    <w:rPr>
                      <w:rFonts w:ascii="Times New Roman" w:hAnsi="Times New Roman"/>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kern w:val="2"/>
                      <w:sz w:val="21"/>
                      <w:szCs w:val="21"/>
                    </w:rPr>
                  </w:pPr>
                  <w:r>
                    <w:rPr>
                      <w:rFonts w:ascii="Times New Roman" w:hAnsi="Times New Roman"/>
                      <w:kern w:val="2"/>
                      <w:sz w:val="21"/>
                      <w:szCs w:val="21"/>
                    </w:rPr>
                    <w:t>资源开发效率要求</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土地资源开发效率要求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能源资源开发效率要求</w:t>
                  </w:r>
                </w:p>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能源消耗、污染物排放不得超过能源利用上线控制性指标</w:t>
                  </w:r>
                </w:p>
                <w:p>
                  <w:pPr>
                    <w:pStyle w:val="880"/>
                    <w:widowControl/>
                    <w:shd w:val="clear" w:color="auto" w:fill="FFFFFF"/>
                    <w:spacing w:line="240" w:lineRule="auto"/>
                    <w:ind w:firstLine="0" w:firstLineChars="0"/>
                    <w:jc w:val="left"/>
                    <w:rPr>
                      <w:sz w:val="21"/>
                    </w:rPr>
                  </w:pPr>
                  <w:r>
                    <w:rPr>
                      <w:rFonts w:hint="eastAsia" w:ascii="宋体" w:hAnsi="宋体" w:eastAsia="宋体"/>
                      <w:sz w:val="21"/>
                    </w:rPr>
                    <w:t>其他资源开发效率要求</w:t>
                  </w:r>
                </w:p>
              </w:tc>
              <w:tc>
                <w:tcPr>
                  <w:tcW w:w="1056" w:type="dxa"/>
                  <w:noWrap w:val="0"/>
                  <w:vAlign w:val="center"/>
                </w:tcPr>
                <w:p>
                  <w:pPr>
                    <w:pStyle w:val="65"/>
                    <w:jc w:val="center"/>
                    <w:outlineLvl w:val="0"/>
                    <w:rPr>
                      <w:rFonts w:hint="eastAsia" w:ascii="Times New Roman" w:hAnsi="Times New Roman"/>
                      <w:snapToGrid w:val="0"/>
                      <w:sz w:val="21"/>
                      <w:szCs w:val="21"/>
                    </w:rPr>
                  </w:pPr>
                  <w:r>
                    <w:rPr>
                      <w:rFonts w:hint="eastAsia" w:ascii="Times New Roman" w:hAnsi="Times New Roman"/>
                      <w:snapToGrid w:val="0"/>
                      <w:sz w:val="21"/>
                      <w:szCs w:val="21"/>
                    </w:rPr>
                    <w:t>本项目位于规划的加油加站用地，符合土地开发要求；项目使用能源为水及电能，分别来自市政供水管网及市政电网，满足能源利用上线要求</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880"/>
                    <w:spacing w:line="240" w:lineRule="auto"/>
                    <w:ind w:firstLine="0" w:firstLineChars="0"/>
                    <w:rPr>
                      <w:snapToGrid w:val="0"/>
                      <w:sz w:val="21"/>
                    </w:rPr>
                  </w:pPr>
                  <w:r>
                    <w:rPr>
                      <w:rFonts w:hint="eastAsia" w:eastAsia="宋体"/>
                      <w:kern w:val="0"/>
                      <w:sz w:val="21"/>
                    </w:rPr>
                    <w:t>YS5117022550001</w:t>
                  </w:r>
                </w:p>
              </w:tc>
              <w:tc>
                <w:tcPr>
                  <w:tcW w:w="1223" w:type="dxa"/>
                  <w:vMerge w:val="restart"/>
                  <w:noWrap w:val="0"/>
                  <w:vAlign w:val="center"/>
                </w:tcPr>
                <w:p>
                  <w:pPr>
                    <w:pStyle w:val="65"/>
                    <w:jc w:val="center"/>
                    <w:outlineLvl w:val="0"/>
                    <w:rPr>
                      <w:rFonts w:ascii="Times New Roman" w:hAnsi="Times New Roman"/>
                      <w:snapToGrid w:val="0"/>
                      <w:sz w:val="21"/>
                      <w:szCs w:val="21"/>
                    </w:rPr>
                  </w:pPr>
                  <w:r>
                    <w:rPr>
                      <w:rFonts w:hint="eastAsia"/>
                      <w:kern w:val="2"/>
                      <w:sz w:val="21"/>
                      <w:szCs w:val="21"/>
                    </w:rPr>
                    <w:t>通川区自然资源重点管控区</w:t>
                  </w: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空间布局约束</w:t>
                  </w:r>
                </w:p>
              </w:tc>
              <w:tc>
                <w:tcPr>
                  <w:tcW w:w="3124" w:type="dxa"/>
                  <w:noWrap w:val="0"/>
                  <w:vAlign w:val="center"/>
                </w:tcPr>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合理开发高效利用水资源，建设节水型社会；优化土地利用布局与结构；优化产业空间布局，构建清洁能源体系</w:t>
                  </w:r>
                </w:p>
              </w:tc>
              <w:tc>
                <w:tcPr>
                  <w:tcW w:w="1056"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项目位于规划的加油加站用地，符合区域土地利用规划</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污染物排放管控</w:t>
                  </w:r>
                </w:p>
              </w:tc>
              <w:tc>
                <w:tcPr>
                  <w:tcW w:w="3124" w:type="dxa"/>
                  <w:vMerge w:val="restart"/>
                  <w:noWrap w:val="0"/>
                  <w:vAlign w:val="center"/>
                </w:tcPr>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w:t>
                  </w:r>
                </w:p>
              </w:tc>
              <w:tc>
                <w:tcPr>
                  <w:tcW w:w="1056" w:type="dxa"/>
                  <w:vMerge w:val="restart"/>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c>
                <w:tcPr>
                  <w:tcW w:w="530" w:type="dxa"/>
                  <w:vMerge w:val="restart"/>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环境风险防控</w:t>
                  </w:r>
                </w:p>
              </w:tc>
              <w:tc>
                <w:tcPr>
                  <w:tcW w:w="3124" w:type="dxa"/>
                  <w:vMerge w:val="continue"/>
                  <w:noWrap w:val="0"/>
                  <w:vAlign w:val="center"/>
                </w:tcPr>
                <w:p>
                  <w:pPr>
                    <w:pStyle w:val="880"/>
                    <w:widowControl/>
                    <w:shd w:val="clear" w:color="auto" w:fill="FFFFFF"/>
                    <w:spacing w:line="240" w:lineRule="auto"/>
                    <w:ind w:firstLine="0" w:firstLineChars="0"/>
                    <w:jc w:val="left"/>
                    <w:rPr>
                      <w:rFonts w:hint="eastAsia" w:ascii="宋体" w:hAnsi="宋体" w:eastAsia="宋体"/>
                      <w:sz w:val="21"/>
                    </w:rPr>
                  </w:pPr>
                </w:p>
              </w:tc>
              <w:tc>
                <w:tcPr>
                  <w:tcW w:w="1056" w:type="dxa"/>
                  <w:vMerge w:val="continue"/>
                  <w:noWrap w:val="0"/>
                  <w:vAlign w:val="center"/>
                </w:tcPr>
                <w:p>
                  <w:pPr>
                    <w:pStyle w:val="65"/>
                    <w:jc w:val="center"/>
                    <w:outlineLvl w:val="0"/>
                    <w:rPr>
                      <w:rFonts w:ascii="Times New Roman" w:hAnsi="Times New Roman"/>
                      <w:snapToGrid w:val="0"/>
                      <w:sz w:val="21"/>
                      <w:szCs w:val="21"/>
                    </w:rPr>
                  </w:pPr>
                </w:p>
              </w:tc>
              <w:tc>
                <w:tcPr>
                  <w:tcW w:w="530" w:type="dxa"/>
                  <w:vMerge w:val="continue"/>
                  <w:noWrap w:val="0"/>
                  <w:vAlign w:val="center"/>
                </w:tcPr>
                <w:p>
                  <w:pPr>
                    <w:pStyle w:val="65"/>
                    <w:jc w:val="center"/>
                    <w:outlineLvl w:val="0"/>
                    <w:rPr>
                      <w:rFonts w:ascii="Times New Roman" w:hAnsi="Times New Roman"/>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65"/>
                    <w:jc w:val="center"/>
                    <w:outlineLvl w:val="0"/>
                    <w:rPr>
                      <w:rFonts w:ascii="Times New Roman" w:hAnsi="Times New Roman"/>
                      <w:snapToGrid w:val="0"/>
                      <w:sz w:val="21"/>
                      <w:szCs w:val="21"/>
                    </w:rPr>
                  </w:pPr>
                </w:p>
              </w:tc>
              <w:tc>
                <w:tcPr>
                  <w:tcW w:w="1223" w:type="dxa"/>
                  <w:vMerge w:val="continue"/>
                  <w:noWrap w:val="0"/>
                  <w:vAlign w:val="center"/>
                </w:tcPr>
                <w:p>
                  <w:pPr>
                    <w:pStyle w:val="65"/>
                    <w:jc w:val="center"/>
                    <w:outlineLvl w:val="0"/>
                    <w:rPr>
                      <w:rFonts w:ascii="Times New Roman" w:hAnsi="Times New Roman"/>
                      <w:snapToGrid w:val="0"/>
                      <w:sz w:val="21"/>
                      <w:szCs w:val="21"/>
                    </w:rPr>
                  </w:pPr>
                </w:p>
              </w:tc>
              <w:tc>
                <w:tcPr>
                  <w:tcW w:w="5067" w:type="dxa"/>
                  <w:vMerge w:val="continue"/>
                  <w:noWrap w:val="0"/>
                  <w:vAlign w:val="center"/>
                </w:tcPr>
                <w:p>
                  <w:pPr>
                    <w:pStyle w:val="65"/>
                    <w:jc w:val="center"/>
                    <w:outlineLvl w:val="0"/>
                    <w:rPr>
                      <w:rFonts w:ascii="Times New Roman" w:hAnsi="Times New Roman"/>
                      <w:snapToGrid w:val="0"/>
                      <w:sz w:val="21"/>
                      <w:szCs w:val="21"/>
                    </w:rPr>
                  </w:pPr>
                </w:p>
              </w:tc>
              <w:tc>
                <w:tcPr>
                  <w:tcW w:w="800" w:type="dxa"/>
                  <w:noWrap w:val="0"/>
                  <w:vAlign w:val="center"/>
                </w:tcPr>
                <w:p>
                  <w:pPr>
                    <w:pStyle w:val="65"/>
                    <w:jc w:val="center"/>
                    <w:outlineLvl w:val="0"/>
                    <w:rPr>
                      <w:rFonts w:ascii="Times New Roman" w:hAnsi="Times New Roman"/>
                      <w:snapToGrid w:val="0"/>
                      <w:sz w:val="21"/>
                      <w:szCs w:val="21"/>
                    </w:rPr>
                  </w:pPr>
                  <w:r>
                    <w:rPr>
                      <w:rFonts w:ascii="Times New Roman" w:hAnsi="Times New Roman"/>
                      <w:kern w:val="2"/>
                      <w:sz w:val="21"/>
                      <w:szCs w:val="21"/>
                    </w:rPr>
                    <w:t>资源开发效率要求</w:t>
                  </w:r>
                </w:p>
              </w:tc>
              <w:tc>
                <w:tcPr>
                  <w:tcW w:w="3124" w:type="dxa"/>
                  <w:noWrap w:val="0"/>
                  <w:vAlign w:val="center"/>
                </w:tcPr>
                <w:p>
                  <w:pPr>
                    <w:pStyle w:val="880"/>
                    <w:widowControl/>
                    <w:shd w:val="clear" w:color="auto" w:fill="FFFFFF"/>
                    <w:spacing w:line="240" w:lineRule="auto"/>
                    <w:ind w:firstLine="0" w:firstLineChars="0"/>
                    <w:jc w:val="left"/>
                    <w:rPr>
                      <w:rFonts w:ascii="宋体" w:hAnsi="宋体" w:eastAsia="宋体"/>
                      <w:sz w:val="21"/>
                    </w:rPr>
                  </w:pPr>
                  <w:r>
                    <w:rPr>
                      <w:rFonts w:hint="eastAsia" w:ascii="宋体" w:hAnsi="宋体" w:eastAsia="宋体"/>
                      <w:sz w:val="21"/>
                    </w:rPr>
                    <w:t>土地资源开发效率要求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能源资源开发效率要求</w:t>
                  </w:r>
                </w:p>
                <w:p>
                  <w:pPr>
                    <w:pStyle w:val="880"/>
                    <w:widowControl/>
                    <w:shd w:val="clear" w:color="auto" w:fill="FFFFFF"/>
                    <w:spacing w:line="240" w:lineRule="auto"/>
                    <w:ind w:firstLine="0" w:firstLineChars="0"/>
                    <w:jc w:val="left"/>
                    <w:rPr>
                      <w:rFonts w:hint="eastAsia" w:ascii="宋体" w:hAnsi="宋体" w:eastAsia="宋体"/>
                      <w:sz w:val="21"/>
                    </w:rPr>
                  </w:pPr>
                  <w:r>
                    <w:rPr>
                      <w:rFonts w:hint="eastAsia" w:ascii="宋体" w:hAnsi="宋体" w:eastAsia="宋体"/>
                      <w:sz w:val="21"/>
                    </w:rPr>
                    <w:t>其他资源开发效率要求</w:t>
                  </w:r>
                </w:p>
              </w:tc>
              <w:tc>
                <w:tcPr>
                  <w:tcW w:w="1056"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项目位于规划的加油加站用地，符合土地开发要求；项目使用能源为水及电能，分别来自市政供水管网及市政电网，满足能源利用上线要求</w:t>
                  </w:r>
                </w:p>
              </w:tc>
              <w:tc>
                <w:tcPr>
                  <w:tcW w:w="530" w:type="dxa"/>
                  <w:noWrap w:val="0"/>
                  <w:vAlign w:val="center"/>
                </w:tcPr>
                <w:p>
                  <w:pPr>
                    <w:pStyle w:val="65"/>
                    <w:jc w:val="center"/>
                    <w:outlineLvl w:val="0"/>
                    <w:rPr>
                      <w:rFonts w:ascii="Times New Roman" w:hAnsi="Times New Roman"/>
                      <w:snapToGrid w:val="0"/>
                      <w:sz w:val="21"/>
                      <w:szCs w:val="21"/>
                    </w:rPr>
                  </w:pPr>
                  <w:r>
                    <w:rPr>
                      <w:rFonts w:hint="eastAsia" w:ascii="Times New Roman" w:hAnsi="Times New Roman"/>
                      <w:snapToGrid w:val="0"/>
                      <w:sz w:val="21"/>
                      <w:szCs w:val="21"/>
                    </w:rPr>
                    <w:t>符合</w:t>
                  </w:r>
                </w:p>
              </w:tc>
            </w:tr>
          </w:tbl>
          <w:p>
            <w:pPr>
              <w:pStyle w:val="775"/>
              <w:adjustRightInd w:val="0"/>
              <w:snapToGrid w:val="0"/>
              <w:ind w:firstLineChars="0"/>
              <w:rPr>
                <w:rFonts w:hint="eastAsia"/>
                <w:b/>
                <w:bCs/>
                <w:snapToGrid w:val="0"/>
                <w:sz w:val="30"/>
                <w:szCs w:val="30"/>
              </w:rPr>
            </w:pPr>
            <w:r>
              <w:rPr>
                <w:rFonts w:hint="eastAsia"/>
                <w:szCs w:val="24"/>
              </w:rPr>
              <w:t>由表1-6</w:t>
            </w:r>
            <w:r>
              <w:rPr>
                <w:szCs w:val="24"/>
              </w:rPr>
              <w:t xml:space="preserve"> </w:t>
            </w:r>
            <w:r>
              <w:rPr>
                <w:rFonts w:hint="eastAsia"/>
                <w:szCs w:val="24"/>
              </w:rPr>
              <w:t>可知，项目符合生态环境准入要求。</w:t>
            </w:r>
          </w:p>
        </w:tc>
      </w:tr>
    </w:tbl>
    <w:p>
      <w:pPr>
        <w:pStyle w:val="65"/>
        <w:spacing w:before="0" w:beforeAutospacing="0" w:after="0" w:afterAutospacing="0" w:line="360" w:lineRule="auto"/>
        <w:jc w:val="center"/>
        <w:outlineLvl w:val="0"/>
        <w:rPr>
          <w:rFonts w:ascii="Times New Roman" w:hAnsi="Times New Roman"/>
          <w:b/>
          <w:bCs/>
          <w:snapToGrid w:val="0"/>
          <w:sz w:val="30"/>
          <w:szCs w:val="30"/>
        </w:rPr>
        <w:sectPr>
          <w:pgSz w:w="16838" w:h="11906" w:orient="landscape"/>
          <w:pgMar w:top="1531" w:right="1701" w:bottom="1531" w:left="1701" w:header="851" w:footer="851" w:gutter="0"/>
          <w:cols w:space="720" w:num="1"/>
          <w:docGrid w:linePitch="312" w:charSpace="0"/>
        </w:sectPr>
      </w:pP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noWrap w:val="0"/>
            <w:vAlign w:val="top"/>
          </w:tcPr>
          <w:p>
            <w:pPr>
              <w:pStyle w:val="44"/>
              <w:spacing w:before="120" w:beforeLines="50" w:line="360" w:lineRule="auto"/>
              <w:ind w:firstLine="458" w:firstLineChars="200"/>
              <w:rPr>
                <w:rFonts w:hint="eastAsia"/>
                <w:b/>
                <w:sz w:val="24"/>
                <w:szCs w:val="24"/>
              </w:rPr>
            </w:pPr>
            <w:r>
              <w:rPr>
                <w:rFonts w:hint="eastAsia"/>
                <w:b/>
                <w:sz w:val="24"/>
                <w:szCs w:val="24"/>
              </w:rPr>
              <w:t>3、与《长江经济带生态环境保护规划》《长江经济带发展负面清单指南（试行，2022年版）》符合性分析</w:t>
            </w:r>
          </w:p>
          <w:p>
            <w:pPr>
              <w:pStyle w:val="44"/>
              <w:ind w:firstLine="0"/>
              <w:jc w:val="center"/>
              <w:rPr>
                <w:b/>
                <w:sz w:val="21"/>
                <w:szCs w:val="21"/>
              </w:rPr>
            </w:pPr>
            <w:r>
              <w:rPr>
                <w:rFonts w:hint="eastAsia"/>
                <w:b/>
                <w:sz w:val="21"/>
                <w:szCs w:val="21"/>
              </w:rPr>
              <w:t>表1-7  与长江经济带政策符合性分析</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721"/>
              <w:gridCol w:w="2848"/>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0" w:type="pct"/>
                  <w:noWrap w:val="0"/>
                  <w:vAlign w:val="center"/>
                </w:tcPr>
                <w:p>
                  <w:pPr>
                    <w:pStyle w:val="44"/>
                    <w:ind w:firstLine="0"/>
                    <w:jc w:val="center"/>
                    <w:rPr>
                      <w:b/>
                      <w:sz w:val="21"/>
                      <w:szCs w:val="21"/>
                    </w:rPr>
                  </w:pPr>
                  <w:r>
                    <w:rPr>
                      <w:b/>
                      <w:sz w:val="21"/>
                      <w:szCs w:val="21"/>
                    </w:rPr>
                    <w:t>名称</w:t>
                  </w:r>
                </w:p>
              </w:tc>
              <w:tc>
                <w:tcPr>
                  <w:tcW w:w="2106" w:type="pct"/>
                  <w:noWrap w:val="0"/>
                  <w:vAlign w:val="center"/>
                </w:tcPr>
                <w:p>
                  <w:pPr>
                    <w:pStyle w:val="44"/>
                    <w:ind w:firstLine="0"/>
                    <w:jc w:val="center"/>
                    <w:rPr>
                      <w:b/>
                      <w:sz w:val="21"/>
                      <w:szCs w:val="21"/>
                    </w:rPr>
                  </w:pPr>
                  <w:r>
                    <w:rPr>
                      <w:b/>
                      <w:sz w:val="21"/>
                      <w:szCs w:val="21"/>
                    </w:rPr>
                    <w:t>规范要求</w:t>
                  </w:r>
                </w:p>
              </w:tc>
              <w:tc>
                <w:tcPr>
                  <w:tcW w:w="1612" w:type="pct"/>
                  <w:noWrap w:val="0"/>
                  <w:vAlign w:val="center"/>
                </w:tcPr>
                <w:p>
                  <w:pPr>
                    <w:pStyle w:val="44"/>
                    <w:ind w:firstLine="0"/>
                    <w:jc w:val="center"/>
                    <w:rPr>
                      <w:b/>
                      <w:sz w:val="21"/>
                      <w:szCs w:val="21"/>
                    </w:rPr>
                  </w:pPr>
                  <w:r>
                    <w:rPr>
                      <w:rFonts w:hint="eastAsia"/>
                      <w:b/>
                      <w:sz w:val="21"/>
                      <w:szCs w:val="21"/>
                    </w:rPr>
                    <w:t>本项目</w:t>
                  </w:r>
                  <w:r>
                    <w:rPr>
                      <w:b/>
                      <w:sz w:val="21"/>
                      <w:szCs w:val="21"/>
                    </w:rPr>
                    <w:t>情况</w:t>
                  </w:r>
                </w:p>
              </w:tc>
              <w:tc>
                <w:tcPr>
                  <w:tcW w:w="592" w:type="pct"/>
                  <w:noWrap w:val="0"/>
                  <w:vAlign w:val="center"/>
                </w:tcPr>
                <w:p>
                  <w:pPr>
                    <w:pStyle w:val="44"/>
                    <w:ind w:firstLine="0"/>
                    <w:jc w:val="center"/>
                    <w:rPr>
                      <w:rFonts w:hint="eastAsia"/>
                      <w:b/>
                      <w:sz w:val="21"/>
                      <w:szCs w:val="21"/>
                    </w:rPr>
                  </w:pPr>
                  <w:r>
                    <w:rPr>
                      <w:rFonts w:hint="eastAsia"/>
                      <w:b/>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90" w:type="pct"/>
                  <w:noWrap w:val="0"/>
                  <w:vAlign w:val="center"/>
                </w:tcPr>
                <w:p>
                  <w:pPr>
                    <w:pStyle w:val="44"/>
                    <w:ind w:firstLine="0"/>
                    <w:jc w:val="center"/>
                    <w:rPr>
                      <w:b/>
                      <w:sz w:val="21"/>
                      <w:szCs w:val="21"/>
                    </w:rPr>
                  </w:pPr>
                  <w:r>
                    <w:rPr>
                      <w:b/>
                      <w:sz w:val="21"/>
                      <w:szCs w:val="21"/>
                    </w:rPr>
                    <w:t>《长江经济带生态环境保护规划》</w:t>
                  </w:r>
                </w:p>
              </w:tc>
              <w:tc>
                <w:tcPr>
                  <w:tcW w:w="2106" w:type="pct"/>
                  <w:noWrap w:val="0"/>
                  <w:vAlign w:val="center"/>
                </w:tcPr>
                <w:p>
                  <w:pPr>
                    <w:widowControl/>
                    <w:jc w:val="left"/>
                    <w:rPr>
                      <w:b/>
                      <w:szCs w:val="21"/>
                    </w:rPr>
                  </w:pPr>
                  <w:r>
                    <w:rPr>
                      <w:kern w:val="0"/>
                      <w:szCs w:val="21"/>
                      <w:lang w:bidi="ar"/>
                    </w:rPr>
                    <w:t>严禁在干流及主要支流岸线1公里范围内布局新建重化工园区，严控在中上游沿岸地区新建石油化工和煤化工项目</w:t>
                  </w:r>
                </w:p>
              </w:tc>
              <w:tc>
                <w:tcPr>
                  <w:tcW w:w="1612" w:type="pct"/>
                  <w:noWrap w:val="0"/>
                  <w:vAlign w:val="center"/>
                </w:tcPr>
                <w:p>
                  <w:pPr>
                    <w:widowControl/>
                    <w:jc w:val="left"/>
                    <w:rPr>
                      <w:b/>
                      <w:szCs w:val="21"/>
                    </w:rPr>
                  </w:pPr>
                  <w:r>
                    <w:rPr>
                      <w:rFonts w:hint="eastAsia"/>
                      <w:kern w:val="0"/>
                      <w:szCs w:val="21"/>
                      <w:lang w:bidi="ar"/>
                    </w:rPr>
                    <w:t>本</w:t>
                  </w:r>
                  <w:r>
                    <w:rPr>
                      <w:kern w:val="0"/>
                      <w:szCs w:val="21"/>
                      <w:lang w:bidi="ar"/>
                    </w:rPr>
                    <w:t>项目不属于重化工园区。项目不属于新建石油化工和煤化工项目</w:t>
                  </w:r>
                </w:p>
              </w:tc>
              <w:tc>
                <w:tcPr>
                  <w:tcW w:w="592" w:type="pct"/>
                  <w:noWrap w:val="0"/>
                  <w:vAlign w:val="center"/>
                </w:tcPr>
                <w:p>
                  <w:pPr>
                    <w:widowControl/>
                    <w:jc w:val="center"/>
                    <w:rPr>
                      <w:rFonts w:hint="eastAsia"/>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690" w:type="pct"/>
                  <w:vMerge w:val="restart"/>
                  <w:noWrap w:val="0"/>
                  <w:vAlign w:val="center"/>
                </w:tcPr>
                <w:p>
                  <w:pPr>
                    <w:pStyle w:val="44"/>
                    <w:ind w:firstLine="0"/>
                    <w:jc w:val="center"/>
                    <w:rPr>
                      <w:sz w:val="21"/>
                      <w:szCs w:val="21"/>
                      <w:lang w:bidi="ar"/>
                    </w:rPr>
                  </w:pPr>
                  <w:r>
                    <w:rPr>
                      <w:b/>
                      <w:bCs/>
                      <w:sz w:val="21"/>
                      <w:szCs w:val="21"/>
                      <w:lang w:bidi="ar"/>
                    </w:rPr>
                    <w:t>《长江经济带发展负面清单指南（试行）》</w:t>
                  </w: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1、禁止建设不符合全国和省级港口布局规划以及港口总体规划的码头项目，禁止建设不符合《长江干线过江通道布局规划》的过长江通道项目。</w:t>
                  </w:r>
                </w:p>
              </w:tc>
              <w:tc>
                <w:tcPr>
                  <w:tcW w:w="1612" w:type="pct"/>
                  <w:noWrap w:val="0"/>
                  <w:vAlign w:val="center"/>
                </w:tcPr>
                <w:p>
                  <w:pPr>
                    <w:widowControl/>
                    <w:jc w:val="left"/>
                    <w:rPr>
                      <w:kern w:val="0"/>
                      <w:szCs w:val="21"/>
                      <w:lang w:bidi="ar"/>
                    </w:rPr>
                  </w:pPr>
                  <w:r>
                    <w:rPr>
                      <w:kern w:val="0"/>
                      <w:szCs w:val="21"/>
                      <w:lang w:bidi="ar"/>
                    </w:rPr>
                    <w:t>本项目不属于码头和过长江通道项目</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690" w:type="pct"/>
                  <w:vMerge w:val="continue"/>
                  <w:noWrap w:val="0"/>
                  <w:vAlign w:val="center"/>
                </w:tcPr>
                <w:p>
                  <w:pPr>
                    <w:pStyle w:val="44"/>
                    <w:ind w:firstLine="0"/>
                    <w:jc w:val="center"/>
                    <w:rPr>
                      <w:b/>
                      <w:bCs/>
                      <w:sz w:val="21"/>
                      <w:szCs w:val="21"/>
                      <w:lang w:bidi="ar"/>
                    </w:rPr>
                  </w:pPr>
                </w:p>
              </w:tc>
              <w:tc>
                <w:tcPr>
                  <w:tcW w:w="2106" w:type="pct"/>
                  <w:noWrap w:val="0"/>
                  <w:vAlign w:val="center"/>
                </w:tcPr>
                <w:p>
                  <w:pPr>
                    <w:widowControl/>
                    <w:jc w:val="left"/>
                    <w:rPr>
                      <w:kern w:val="0"/>
                      <w:szCs w:val="21"/>
                      <w:lang w:bidi="ar"/>
                    </w:rPr>
                  </w:pPr>
                  <w:r>
                    <w:rPr>
                      <w:kern w:val="0"/>
                      <w:szCs w:val="21"/>
                      <w:lang w:bidi="ar"/>
                    </w:rPr>
                    <w:t>2、禁止在自然保护区核心区、缓冲区的岸线和河段范围内投资建设旅游和生产经营项目。禁止在风景名胜区核心景区的岸线和河段范围内投资建设与风景名胜</w:t>
                  </w:r>
                  <w:r>
                    <w:rPr>
                      <w:rFonts w:hint="eastAsia"/>
                      <w:kern w:val="0"/>
                      <w:szCs w:val="21"/>
                      <w:lang w:val="en-US" w:eastAsia="zh-CN" w:bidi="ar"/>
                    </w:rPr>
                    <w:t>区</w:t>
                  </w:r>
                  <w:r>
                    <w:rPr>
                      <w:kern w:val="0"/>
                      <w:szCs w:val="21"/>
                      <w:lang w:bidi="ar"/>
                    </w:rPr>
                    <w:t>源保护无关的项目</w:t>
                  </w:r>
                </w:p>
              </w:tc>
              <w:tc>
                <w:tcPr>
                  <w:tcW w:w="1612" w:type="pct"/>
                  <w:noWrap w:val="0"/>
                  <w:vAlign w:val="center"/>
                </w:tcPr>
                <w:p>
                  <w:pPr>
                    <w:widowControl/>
                    <w:jc w:val="left"/>
                    <w:rPr>
                      <w:kern w:val="0"/>
                      <w:szCs w:val="21"/>
                      <w:lang w:bidi="ar"/>
                    </w:rPr>
                  </w:pPr>
                  <w:r>
                    <w:rPr>
                      <w:kern w:val="0"/>
                      <w:szCs w:val="21"/>
                      <w:lang w:bidi="ar"/>
                    </w:rPr>
                    <w:t>项目位于</w:t>
                  </w:r>
                  <w:r>
                    <w:rPr>
                      <w:rFonts w:hint="eastAsia"/>
                      <w:kern w:val="0"/>
                      <w:szCs w:val="21"/>
                      <w:lang w:bidi="ar"/>
                    </w:rPr>
                    <w:t>达州市通川区北外镇</w:t>
                  </w:r>
                  <w:r>
                    <w:rPr>
                      <w:kern w:val="0"/>
                      <w:szCs w:val="21"/>
                      <w:lang w:bidi="ar"/>
                    </w:rPr>
                    <w:t>，不在自然保护区范围内</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pct"/>
                  <w:vMerge w:val="continue"/>
                  <w:noWrap w:val="0"/>
                  <w:vAlign w:val="center"/>
                </w:tcPr>
                <w:p>
                  <w:pPr>
                    <w:pStyle w:val="44"/>
                    <w:ind w:firstLine="0"/>
                    <w:jc w:val="center"/>
                    <w:rPr>
                      <w:b/>
                      <w:bCs/>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2"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本项目不在饮用水水源一级保护区、二级保护区范围内</w:t>
                  </w:r>
                </w:p>
              </w:tc>
              <w:tc>
                <w:tcPr>
                  <w:tcW w:w="592" w:type="pct"/>
                  <w:noWrap w:val="0"/>
                  <w:vAlign w:val="center"/>
                </w:tcPr>
                <w:p>
                  <w:pPr>
                    <w:pStyle w:val="65"/>
                    <w:spacing w:before="0" w:beforeAutospacing="0" w:after="0" w:afterAutospacing="0"/>
                    <w:jc w:val="center"/>
                    <w:rPr>
                      <w:rFonts w:ascii="Times New Roman" w:hAnsi="Times New Roman"/>
                      <w:sz w:val="21"/>
                      <w:szCs w:val="21"/>
                      <w:lang w:bidi="ar"/>
                    </w:rPr>
                  </w:pPr>
                  <w:r>
                    <w:rPr>
                      <w:rFonts w:hint="eastAsia"/>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pct"/>
                  <w:vMerge w:val="continue"/>
                  <w:noWrap w:val="0"/>
                  <w:vAlign w:val="center"/>
                </w:tcPr>
                <w:p>
                  <w:pPr>
                    <w:pStyle w:val="44"/>
                    <w:ind w:firstLine="0"/>
                    <w:jc w:val="center"/>
                    <w:rPr>
                      <w:b/>
                      <w:bCs/>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2"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本项目</w:t>
                  </w:r>
                  <w:r>
                    <w:rPr>
                      <w:rFonts w:hint="eastAsia" w:ascii="Times New Roman" w:hAnsi="Times New Roman"/>
                      <w:sz w:val="21"/>
                      <w:szCs w:val="21"/>
                      <w:lang w:bidi="ar"/>
                    </w:rPr>
                    <w:t>为加油加气站项目，不涉及</w:t>
                  </w:r>
                  <w:r>
                    <w:rPr>
                      <w:rFonts w:ascii="Times New Roman" w:hAnsi="Times New Roman"/>
                      <w:sz w:val="21"/>
                      <w:szCs w:val="21"/>
                      <w:lang w:bidi="ar"/>
                    </w:rPr>
                    <w:t>围湖造田、围海造地或围填海</w:t>
                  </w:r>
                  <w:r>
                    <w:rPr>
                      <w:rFonts w:hint="eastAsia" w:ascii="Times New Roman" w:hAnsi="Times New Roman"/>
                      <w:sz w:val="21"/>
                      <w:szCs w:val="21"/>
                      <w:lang w:bidi="ar"/>
                    </w:rPr>
                    <w:t>、</w:t>
                  </w:r>
                  <w:r>
                    <w:rPr>
                      <w:rFonts w:ascii="Times New Roman" w:hAnsi="Times New Roman"/>
                      <w:sz w:val="21"/>
                      <w:szCs w:val="21"/>
                      <w:lang w:bidi="ar"/>
                    </w:rPr>
                    <w:t>挖沙、采矿</w:t>
                  </w:r>
                  <w:r>
                    <w:rPr>
                      <w:rFonts w:hint="eastAsia" w:ascii="Times New Roman" w:hAnsi="Times New Roman"/>
                      <w:sz w:val="21"/>
                      <w:szCs w:val="21"/>
                      <w:lang w:bidi="ar"/>
                    </w:rPr>
                    <w:t>等建设行为</w:t>
                  </w:r>
                </w:p>
              </w:tc>
              <w:tc>
                <w:tcPr>
                  <w:tcW w:w="592" w:type="pct"/>
                  <w:noWrap w:val="0"/>
                  <w:vAlign w:val="center"/>
                </w:tcPr>
                <w:p>
                  <w:pPr>
                    <w:pStyle w:val="65"/>
                    <w:spacing w:before="0" w:beforeAutospacing="0" w:after="0" w:afterAutospacing="0"/>
                    <w:jc w:val="center"/>
                    <w:rPr>
                      <w:rFonts w:ascii="Times New Roman" w:hAnsi="Times New Roman"/>
                      <w:sz w:val="21"/>
                      <w:szCs w:val="21"/>
                      <w:lang w:bidi="ar"/>
                    </w:rPr>
                  </w:pPr>
                  <w:r>
                    <w:rPr>
                      <w:rFonts w:hint="eastAsia"/>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widowControl/>
                    <w:jc w:val="left"/>
                    <w:rPr>
                      <w:kern w:val="0"/>
                      <w:szCs w:val="21"/>
                      <w:lang w:bidi="ar"/>
                    </w:rPr>
                  </w:pPr>
                  <w:r>
                    <w:rPr>
                      <w:kern w:val="0"/>
                      <w:szCs w:val="21"/>
                      <w:lang w:bidi="ar"/>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2" w:type="pct"/>
                  <w:noWrap w:val="0"/>
                  <w:vAlign w:val="center"/>
                </w:tcPr>
                <w:p>
                  <w:pPr>
                    <w:widowControl/>
                    <w:jc w:val="left"/>
                    <w:rPr>
                      <w:kern w:val="0"/>
                      <w:szCs w:val="21"/>
                      <w:lang w:bidi="ar"/>
                    </w:rPr>
                  </w:pPr>
                  <w:r>
                    <w:rPr>
                      <w:kern w:val="0"/>
                      <w:szCs w:val="21"/>
                      <w:lang w:bidi="ar"/>
                    </w:rPr>
                    <w:t>项目不在《长江岸线保护和开发利用总体规划》划定的岸线保护区内和保留区内，也不在《全国重要江河湖泊水功能区划》划定的河段及湖泊保护区、保留区内</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widowControl/>
                    <w:jc w:val="left"/>
                    <w:rPr>
                      <w:kern w:val="0"/>
                      <w:szCs w:val="21"/>
                      <w:lang w:bidi="ar"/>
                    </w:rPr>
                  </w:pPr>
                  <w:r>
                    <w:rPr>
                      <w:kern w:val="0"/>
                      <w:szCs w:val="21"/>
                      <w:lang w:bidi="ar"/>
                    </w:rPr>
                    <w:t>6、禁止未经许可在长江干支流及湖泊新设、改设或扩大排污口</w:t>
                  </w:r>
                </w:p>
              </w:tc>
              <w:tc>
                <w:tcPr>
                  <w:tcW w:w="1612" w:type="pct"/>
                  <w:noWrap w:val="0"/>
                  <w:vAlign w:val="center"/>
                </w:tcPr>
                <w:p>
                  <w:pPr>
                    <w:widowControl/>
                    <w:jc w:val="left"/>
                    <w:rPr>
                      <w:kern w:val="0"/>
                      <w:szCs w:val="21"/>
                      <w:lang w:bidi="ar"/>
                    </w:rPr>
                  </w:pPr>
                  <w:r>
                    <w:rPr>
                      <w:kern w:val="0"/>
                      <w:szCs w:val="21"/>
                      <w:lang w:bidi="ar"/>
                    </w:rPr>
                    <w:t>项目</w:t>
                  </w:r>
                  <w:r>
                    <w:rPr>
                      <w:rFonts w:hint="eastAsia"/>
                      <w:kern w:val="0"/>
                      <w:szCs w:val="21"/>
                      <w:lang w:bidi="ar"/>
                    </w:rPr>
                    <w:t>为废水经预处理后同时市政污水管网进入污水处理厂处理，不涉及新设、改设或扩大排污口。</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widowControl/>
                    <w:jc w:val="left"/>
                    <w:rPr>
                      <w:kern w:val="0"/>
                      <w:szCs w:val="21"/>
                      <w:lang w:bidi="ar"/>
                    </w:rPr>
                  </w:pPr>
                  <w:r>
                    <w:rPr>
                      <w:kern w:val="0"/>
                      <w:szCs w:val="21"/>
                      <w:lang w:bidi="ar"/>
                    </w:rPr>
                    <w:t>7、禁止在"一江一口两湖七河"和332个水生生物保护区开展生产性捕捞</w:t>
                  </w:r>
                </w:p>
              </w:tc>
              <w:tc>
                <w:tcPr>
                  <w:tcW w:w="1612" w:type="pct"/>
                  <w:noWrap w:val="0"/>
                  <w:vAlign w:val="center"/>
                </w:tcPr>
                <w:p>
                  <w:pPr>
                    <w:widowControl/>
                    <w:jc w:val="left"/>
                    <w:rPr>
                      <w:kern w:val="0"/>
                      <w:szCs w:val="21"/>
                      <w:lang w:bidi="ar"/>
                    </w:rPr>
                  </w:pPr>
                  <w:r>
                    <w:rPr>
                      <w:kern w:val="0"/>
                      <w:szCs w:val="21"/>
                      <w:lang w:bidi="ar"/>
                    </w:rPr>
                    <w:t>本项目不涉及</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2" w:type="pct"/>
                  <w:noWrap w:val="0"/>
                  <w:vAlign w:val="center"/>
                </w:tcPr>
                <w:p>
                  <w:pPr>
                    <w:widowControl/>
                    <w:jc w:val="left"/>
                    <w:rPr>
                      <w:kern w:val="0"/>
                      <w:szCs w:val="21"/>
                      <w:lang w:bidi="ar"/>
                    </w:rPr>
                  </w:pPr>
                  <w:r>
                    <w:rPr>
                      <w:kern w:val="0"/>
                      <w:szCs w:val="21"/>
                      <w:lang w:bidi="ar"/>
                    </w:rPr>
                    <w:t>本项目不属于禁止建设项目</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9、禁止在合规园区外新建、扩建钢铁、石化、化工、焦化、建材、有色、制浆造纸等高污染项目</w:t>
                  </w:r>
                </w:p>
              </w:tc>
              <w:tc>
                <w:tcPr>
                  <w:tcW w:w="1612" w:type="pct"/>
                  <w:noWrap w:val="0"/>
                  <w:vAlign w:val="center"/>
                </w:tcPr>
                <w:p>
                  <w:pPr>
                    <w:widowControl/>
                    <w:jc w:val="left"/>
                    <w:rPr>
                      <w:kern w:val="0"/>
                      <w:szCs w:val="21"/>
                      <w:lang w:bidi="ar"/>
                    </w:rPr>
                  </w:pPr>
                  <w:r>
                    <w:rPr>
                      <w:kern w:val="0"/>
                      <w:szCs w:val="21"/>
                      <w:lang w:bidi="ar"/>
                    </w:rPr>
                    <w:t>本项目不属于高污染项目</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10、禁止新建、扩建不符合国家石化、现代煤化工等产业布局规划的项目</w:t>
                  </w:r>
                </w:p>
              </w:tc>
              <w:tc>
                <w:tcPr>
                  <w:tcW w:w="1612" w:type="pct"/>
                  <w:noWrap w:val="0"/>
                  <w:vAlign w:val="center"/>
                </w:tcPr>
                <w:p>
                  <w:pPr>
                    <w:widowControl/>
                    <w:jc w:val="left"/>
                    <w:rPr>
                      <w:kern w:val="0"/>
                      <w:szCs w:val="21"/>
                      <w:lang w:bidi="ar"/>
                    </w:rPr>
                  </w:pPr>
                  <w:r>
                    <w:rPr>
                      <w:kern w:val="0"/>
                      <w:szCs w:val="21"/>
                      <w:lang w:bidi="ar"/>
                    </w:rPr>
                    <w:t>本项目不属于石化、现代煤化工项目</w:t>
                  </w:r>
                </w:p>
              </w:tc>
              <w:tc>
                <w:tcPr>
                  <w:tcW w:w="592" w:type="pct"/>
                  <w:noWrap w:val="0"/>
                  <w:vAlign w:val="center"/>
                </w:tcPr>
                <w:p>
                  <w:pPr>
                    <w:widowControl/>
                    <w:jc w:val="center"/>
                    <w:rPr>
                      <w:kern w:val="0"/>
                      <w:szCs w:val="21"/>
                      <w:lang w:bidi="ar"/>
                    </w:rPr>
                  </w:pPr>
                  <w:r>
                    <w:rPr>
                      <w:rFonts w:hint="eastAsia"/>
                      <w:kern w:val="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690" w:type="pct"/>
                  <w:vMerge w:val="continue"/>
                  <w:noWrap w:val="0"/>
                  <w:vAlign w:val="center"/>
                </w:tcPr>
                <w:p>
                  <w:pPr>
                    <w:pStyle w:val="44"/>
                    <w:ind w:firstLine="0"/>
                    <w:jc w:val="center"/>
                    <w:rPr>
                      <w:sz w:val="21"/>
                      <w:szCs w:val="21"/>
                      <w:lang w:bidi="ar"/>
                    </w:rPr>
                  </w:pPr>
                </w:p>
              </w:tc>
              <w:tc>
                <w:tcPr>
                  <w:tcW w:w="2106"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11、禁止新建、扩建法律法规和相关政策明令禁止的落后产能项目。禁止新建、扩建不符合国家产能置换要求的严重过剩产能行业的项目。禁止新建、扩建不符合要求的高耗能高排放项目</w:t>
                  </w:r>
                </w:p>
              </w:tc>
              <w:tc>
                <w:tcPr>
                  <w:tcW w:w="1612" w:type="pct"/>
                  <w:noWrap w:val="0"/>
                  <w:vAlign w:val="center"/>
                </w:tcPr>
                <w:p>
                  <w:pPr>
                    <w:pStyle w:val="65"/>
                    <w:spacing w:before="0" w:beforeAutospacing="0" w:after="0" w:afterAutospacing="0"/>
                    <w:rPr>
                      <w:rFonts w:ascii="Times New Roman" w:hAnsi="Times New Roman"/>
                      <w:sz w:val="21"/>
                      <w:szCs w:val="21"/>
                      <w:lang w:bidi="ar"/>
                    </w:rPr>
                  </w:pPr>
                  <w:r>
                    <w:rPr>
                      <w:rFonts w:ascii="Times New Roman" w:hAnsi="Times New Roman"/>
                      <w:sz w:val="21"/>
                      <w:szCs w:val="21"/>
                      <w:lang w:bidi="ar"/>
                    </w:rPr>
                    <w:t>本项目符合产业政策，不属于明令禁止的落后产能项目、严重过剩产能行业的项目以及高耗能高排放项目</w:t>
                  </w:r>
                </w:p>
              </w:tc>
              <w:tc>
                <w:tcPr>
                  <w:tcW w:w="592" w:type="pct"/>
                  <w:noWrap w:val="0"/>
                  <w:vAlign w:val="center"/>
                </w:tcPr>
                <w:p>
                  <w:pPr>
                    <w:pStyle w:val="65"/>
                    <w:spacing w:before="0" w:beforeAutospacing="0" w:after="0" w:afterAutospacing="0"/>
                    <w:jc w:val="center"/>
                    <w:rPr>
                      <w:rFonts w:ascii="Times New Roman" w:hAnsi="Times New Roman"/>
                      <w:sz w:val="21"/>
                      <w:szCs w:val="21"/>
                      <w:lang w:bidi="ar"/>
                    </w:rPr>
                  </w:pPr>
                  <w:r>
                    <w:rPr>
                      <w:rFonts w:hint="eastAsia"/>
                      <w:szCs w:val="21"/>
                      <w:lang w:bidi="ar"/>
                    </w:rPr>
                    <w:t>符合</w:t>
                  </w:r>
                </w:p>
              </w:tc>
            </w:tr>
          </w:tbl>
          <w:p>
            <w:pPr>
              <w:pStyle w:val="775"/>
              <w:adjustRightInd w:val="0"/>
              <w:snapToGrid w:val="0"/>
              <w:ind w:firstLineChars="0"/>
              <w:rPr>
                <w:szCs w:val="24"/>
              </w:rPr>
            </w:pPr>
            <w:r>
              <w:rPr>
                <w:rFonts w:hint="eastAsia"/>
                <w:szCs w:val="24"/>
              </w:rPr>
              <w:t>综上，项目建设符合《长江经济带生态环境保护规划》《长江经济带发展负面清单指南（试行，2022年版）》的管控要求。</w:t>
            </w:r>
          </w:p>
          <w:p>
            <w:pPr>
              <w:pStyle w:val="775"/>
              <w:adjustRightInd w:val="0"/>
              <w:snapToGrid w:val="0"/>
              <w:ind w:firstLineChars="0"/>
              <w:rPr>
                <w:szCs w:val="24"/>
              </w:rPr>
            </w:pPr>
            <w:r>
              <w:rPr>
                <w:szCs w:val="24"/>
              </w:rPr>
              <w:t>综上所述，经过与“三线一单”进行对照分析后，项目不在生态保护红线内、未超出资源利用上线、未列入环境准入负面清单内，项目建设符合“三线一单”要求。</w:t>
            </w:r>
          </w:p>
          <w:p>
            <w:pPr>
              <w:pStyle w:val="44"/>
              <w:spacing w:before="120" w:beforeLines="50" w:line="360" w:lineRule="auto"/>
              <w:ind w:firstLine="458" w:firstLineChars="200"/>
              <w:rPr>
                <w:rFonts w:hint="eastAsia"/>
                <w:b/>
                <w:sz w:val="24"/>
                <w:szCs w:val="24"/>
              </w:rPr>
            </w:pPr>
            <w:r>
              <w:rPr>
                <w:rFonts w:hint="eastAsia"/>
                <w:b/>
                <w:sz w:val="24"/>
                <w:szCs w:val="24"/>
              </w:rPr>
              <w:t>4、与《四川省、重庆市长江经济带发展负面清单实施细则（试行）》的符合性分析</w:t>
            </w:r>
          </w:p>
          <w:p>
            <w:pPr>
              <w:spacing w:line="360" w:lineRule="auto"/>
              <w:ind w:firstLine="480" w:firstLineChars="200"/>
              <w:rPr>
                <w:sz w:val="24"/>
              </w:rPr>
            </w:pPr>
            <w:r>
              <w:rPr>
                <w:rFonts w:hint="eastAsia"/>
                <w:sz w:val="24"/>
              </w:rPr>
              <w:t>本项目与《四川省、重庆市长江经济带发展负面清单实施细则（试行）》的符合性分析见下表：</w:t>
            </w:r>
          </w:p>
          <w:p>
            <w:pPr>
              <w:spacing w:line="276" w:lineRule="auto"/>
              <w:jc w:val="center"/>
              <w:rPr>
                <w:b/>
                <w:bCs/>
                <w:szCs w:val="21"/>
              </w:rPr>
            </w:pPr>
            <w:r>
              <w:rPr>
                <w:rFonts w:hint="eastAsia"/>
                <w:b/>
                <w:bCs/>
                <w:szCs w:val="21"/>
              </w:rPr>
              <w:t>表1-8与《四川省、重庆市长江经济带发展负面清单实施细则（试行）》的符合性分析</w:t>
            </w:r>
          </w:p>
          <w:tbl>
            <w:tblPr>
              <w:tblStyle w:val="7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84"/>
              <w:gridCol w:w="4863"/>
              <w:gridCol w:w="2296"/>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
                      <w:bCs/>
                      <w:szCs w:val="21"/>
                    </w:rPr>
                  </w:pPr>
                  <w:r>
                    <w:rPr>
                      <w:b/>
                      <w:bCs/>
                      <w:szCs w:val="21"/>
                    </w:rPr>
                    <w:t>序号</w:t>
                  </w:r>
                </w:p>
              </w:tc>
              <w:tc>
                <w:tcPr>
                  <w:tcW w:w="2753" w:type="pct"/>
                  <w:noWrap w:val="0"/>
                  <w:vAlign w:val="center"/>
                </w:tcPr>
                <w:p>
                  <w:pPr>
                    <w:adjustRightInd w:val="0"/>
                    <w:snapToGrid w:val="0"/>
                    <w:jc w:val="center"/>
                    <w:rPr>
                      <w:b/>
                      <w:bCs/>
                      <w:szCs w:val="21"/>
                    </w:rPr>
                  </w:pPr>
                  <w:r>
                    <w:rPr>
                      <w:b/>
                      <w:bCs/>
                      <w:szCs w:val="21"/>
                    </w:rPr>
                    <w:t>原文内容</w:t>
                  </w:r>
                </w:p>
              </w:tc>
              <w:tc>
                <w:tcPr>
                  <w:tcW w:w="1300" w:type="pct"/>
                  <w:noWrap w:val="0"/>
                  <w:vAlign w:val="center"/>
                </w:tcPr>
                <w:p>
                  <w:pPr>
                    <w:adjustRightInd w:val="0"/>
                    <w:snapToGrid w:val="0"/>
                    <w:jc w:val="center"/>
                    <w:rPr>
                      <w:b/>
                      <w:bCs/>
                      <w:szCs w:val="21"/>
                    </w:rPr>
                  </w:pPr>
                  <w:r>
                    <w:rPr>
                      <w:b/>
                      <w:bCs/>
                      <w:szCs w:val="21"/>
                    </w:rPr>
                    <w:t>本项目情况</w:t>
                  </w:r>
                </w:p>
              </w:tc>
              <w:tc>
                <w:tcPr>
                  <w:tcW w:w="502" w:type="pct"/>
                  <w:noWrap w:val="0"/>
                  <w:vAlign w:val="center"/>
                </w:tcPr>
                <w:p>
                  <w:pPr>
                    <w:adjustRightInd w:val="0"/>
                    <w:snapToGrid w:val="0"/>
                    <w:jc w:val="center"/>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bCs/>
                      <w:szCs w:val="21"/>
                    </w:rPr>
                    <w:t>1</w:t>
                  </w:r>
                </w:p>
              </w:tc>
              <w:tc>
                <w:tcPr>
                  <w:tcW w:w="2753" w:type="pct"/>
                  <w:noWrap w:val="0"/>
                  <w:vAlign w:val="center"/>
                </w:tcPr>
                <w:p>
                  <w:pPr>
                    <w:adjustRightInd w:val="0"/>
                    <w:snapToGrid w:val="0"/>
                    <w:jc w:val="center"/>
                    <w:rPr>
                      <w:bCs/>
                      <w:szCs w:val="21"/>
                    </w:rPr>
                  </w:pPr>
                  <w:r>
                    <w:rPr>
                      <w:bCs/>
                      <w:szCs w:val="21"/>
                    </w:rPr>
                    <w:t>第九条</w:t>
                  </w:r>
                  <w:r>
                    <w:rPr>
                      <w:rFonts w:hint="eastAsia"/>
                      <w:bCs/>
                      <w:szCs w:val="21"/>
                    </w:rPr>
                    <w:t xml:space="preserve"> </w:t>
                  </w:r>
                  <w:r>
                    <w:rPr>
                      <w:bCs/>
                      <w:szCs w:val="21"/>
                    </w:rPr>
                    <w:t>禁止在饮用水水源准保护区的岸线和河段范围内新建、扩建对水体污染严重的建设项目，禁止改建增加排污量的建设</w:t>
                  </w:r>
                  <w:r>
                    <w:rPr>
                      <w:rFonts w:hint="eastAsia"/>
                      <w:bCs/>
                      <w:szCs w:val="21"/>
                    </w:rPr>
                    <w:t>项目。</w:t>
                  </w:r>
                </w:p>
              </w:tc>
              <w:tc>
                <w:tcPr>
                  <w:tcW w:w="1300" w:type="pct"/>
                  <w:vMerge w:val="restart"/>
                  <w:noWrap w:val="0"/>
                  <w:vAlign w:val="center"/>
                </w:tcPr>
                <w:p>
                  <w:pPr>
                    <w:adjustRightInd w:val="0"/>
                    <w:snapToGrid w:val="0"/>
                    <w:jc w:val="center"/>
                    <w:rPr>
                      <w:rFonts w:hint="eastAsia"/>
                      <w:bCs/>
                      <w:szCs w:val="21"/>
                    </w:rPr>
                  </w:pPr>
                  <w:r>
                    <w:rPr>
                      <w:rFonts w:hint="eastAsia"/>
                      <w:bCs/>
                      <w:szCs w:val="21"/>
                    </w:rPr>
                    <w:t>本项目</w:t>
                  </w:r>
                  <w:r>
                    <w:rPr>
                      <w:szCs w:val="21"/>
                      <w:lang w:bidi="ar"/>
                    </w:rPr>
                    <w:t>不在饮用水水源一级保护区、二级保护区</w:t>
                  </w:r>
                  <w:r>
                    <w:rPr>
                      <w:rFonts w:hint="eastAsia"/>
                      <w:szCs w:val="21"/>
                      <w:lang w:bidi="ar"/>
                    </w:rPr>
                    <w:t>以及准保护区</w:t>
                  </w:r>
                  <w:r>
                    <w:rPr>
                      <w:szCs w:val="21"/>
                      <w:lang w:bidi="ar"/>
                    </w:rPr>
                    <w:t>范围内</w:t>
                  </w:r>
                  <w:r>
                    <w:rPr>
                      <w:rFonts w:hint="eastAsia"/>
                      <w:bCs/>
                      <w:szCs w:val="21"/>
                    </w:rPr>
                    <w:t>。</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bCs/>
                      <w:szCs w:val="21"/>
                    </w:rPr>
                    <w:t>2</w:t>
                  </w:r>
                </w:p>
              </w:tc>
              <w:tc>
                <w:tcPr>
                  <w:tcW w:w="2753" w:type="pct"/>
                  <w:noWrap w:val="0"/>
                  <w:vAlign w:val="center"/>
                </w:tcPr>
                <w:p>
                  <w:pPr>
                    <w:adjustRightInd w:val="0"/>
                    <w:snapToGrid w:val="0"/>
                    <w:jc w:val="center"/>
                    <w:rPr>
                      <w:bCs/>
                      <w:szCs w:val="21"/>
                    </w:rPr>
                  </w:pPr>
                  <w:r>
                    <w:rPr>
                      <w:bCs/>
                      <w:szCs w:val="21"/>
                    </w:rPr>
                    <w:t>第十条</w:t>
                  </w:r>
                  <w:r>
                    <w:rPr>
                      <w:rFonts w:hint="eastAsia"/>
                      <w:bCs/>
                      <w:szCs w:val="21"/>
                    </w:rPr>
                    <w:t xml:space="preserve"> </w:t>
                  </w:r>
                  <w:r>
                    <w:rPr>
                      <w:bCs/>
                      <w:szCs w:val="21"/>
                    </w:rPr>
                    <w:t>饮用水水源二级保护区的岸线和河段范围内，除遵守准保护区规定外，禁止新建、改建、扩建排放污染物的投资建设项目</w:t>
                  </w:r>
                  <w:r>
                    <w:rPr>
                      <w:rFonts w:hint="eastAsia"/>
                      <w:bCs/>
                      <w:szCs w:val="21"/>
                    </w:rPr>
                    <w:t>；</w:t>
                  </w:r>
                  <w:r>
                    <w:rPr>
                      <w:bCs/>
                      <w:szCs w:val="21"/>
                    </w:rPr>
                    <w:t>禁止从事对水体有污染的水产养殖等活动。</w:t>
                  </w:r>
                </w:p>
              </w:tc>
              <w:tc>
                <w:tcPr>
                  <w:tcW w:w="1300" w:type="pct"/>
                  <w:vMerge w:val="continue"/>
                  <w:noWrap w:val="0"/>
                  <w:vAlign w:val="center"/>
                </w:tcPr>
                <w:p>
                  <w:pPr>
                    <w:adjustRightInd w:val="0"/>
                    <w:snapToGrid w:val="0"/>
                    <w:jc w:val="center"/>
                    <w:rPr>
                      <w:bCs/>
                      <w:szCs w:val="21"/>
                    </w:rPr>
                  </w:pP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bCs/>
                      <w:szCs w:val="21"/>
                    </w:rPr>
                    <w:t>3</w:t>
                  </w:r>
                </w:p>
              </w:tc>
              <w:tc>
                <w:tcPr>
                  <w:tcW w:w="2753" w:type="pct"/>
                  <w:noWrap w:val="0"/>
                  <w:vAlign w:val="center"/>
                </w:tcPr>
                <w:p>
                  <w:pPr>
                    <w:adjustRightInd w:val="0"/>
                    <w:snapToGrid w:val="0"/>
                    <w:jc w:val="center"/>
                    <w:rPr>
                      <w:bCs/>
                      <w:szCs w:val="21"/>
                    </w:rPr>
                  </w:pPr>
                  <w:r>
                    <w:rPr>
                      <w:bCs/>
                      <w:szCs w:val="21"/>
                    </w:rPr>
                    <w:t>第十六条</w:t>
                  </w:r>
                  <w:r>
                    <w:rPr>
                      <w:rFonts w:hint="eastAsia"/>
                      <w:bCs/>
                      <w:szCs w:val="21"/>
                    </w:rPr>
                    <w:t xml:space="preserve"> </w:t>
                  </w:r>
                  <w:r>
                    <w:rPr>
                      <w:bCs/>
                      <w:szCs w:val="21"/>
                    </w:rPr>
                    <w:t>禁止在长江流域江河、湖泊新设、改设或者扩大排污口，经有管辖权的生态环境主管部门或者长江流域生态环境监督管理机构同意的除外。</w:t>
                  </w:r>
                </w:p>
              </w:tc>
              <w:tc>
                <w:tcPr>
                  <w:tcW w:w="1300" w:type="pct"/>
                  <w:noWrap w:val="0"/>
                  <w:vAlign w:val="center"/>
                </w:tcPr>
                <w:p>
                  <w:pPr>
                    <w:adjustRightInd w:val="0"/>
                    <w:snapToGrid w:val="0"/>
                    <w:jc w:val="center"/>
                    <w:rPr>
                      <w:bCs/>
                      <w:szCs w:val="21"/>
                    </w:rPr>
                  </w:pPr>
                  <w:r>
                    <w:rPr>
                      <w:rFonts w:hint="eastAsia"/>
                      <w:bCs/>
                      <w:szCs w:val="21"/>
                    </w:rPr>
                    <w:t>本项目废水经预处理进入市政污水管网，不涉及</w:t>
                  </w:r>
                  <w:r>
                    <w:rPr>
                      <w:bCs/>
                      <w:szCs w:val="21"/>
                    </w:rPr>
                    <w:t>新设、改设或者扩大排污口</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bCs/>
                      <w:szCs w:val="21"/>
                    </w:rPr>
                    <w:t>4</w:t>
                  </w:r>
                </w:p>
              </w:tc>
              <w:tc>
                <w:tcPr>
                  <w:tcW w:w="2753" w:type="pct"/>
                  <w:noWrap w:val="0"/>
                  <w:vAlign w:val="center"/>
                </w:tcPr>
                <w:p>
                  <w:pPr>
                    <w:adjustRightInd w:val="0"/>
                    <w:snapToGrid w:val="0"/>
                    <w:jc w:val="center"/>
                    <w:rPr>
                      <w:bCs/>
                      <w:szCs w:val="21"/>
                    </w:rPr>
                  </w:pPr>
                  <w:r>
                    <w:rPr>
                      <w:bCs/>
                      <w:szCs w:val="21"/>
                    </w:rPr>
                    <w:t>第十八条</w:t>
                  </w:r>
                  <w:r>
                    <w:rPr>
                      <w:rFonts w:hint="eastAsia"/>
                      <w:bCs/>
                      <w:szCs w:val="21"/>
                    </w:rPr>
                    <w:t xml:space="preserve"> </w:t>
                  </w:r>
                  <w:r>
                    <w:rPr>
                      <w:bCs/>
                      <w:szCs w:val="21"/>
                    </w:rPr>
                    <w:t>禁止在长江于支流、重要湖泊岸线一公里范围内新建、扩建化工园区和化工</w:t>
                  </w:r>
                  <w:r>
                    <w:rPr>
                      <w:rFonts w:hint="eastAsia"/>
                      <w:bCs/>
                      <w:szCs w:val="21"/>
                    </w:rPr>
                    <w:t>项目</w:t>
                  </w:r>
                  <w:r>
                    <w:rPr>
                      <w:bCs/>
                      <w:szCs w:val="21"/>
                    </w:rPr>
                    <w:t>。</w:t>
                  </w:r>
                </w:p>
              </w:tc>
              <w:tc>
                <w:tcPr>
                  <w:tcW w:w="1300" w:type="pct"/>
                  <w:noWrap w:val="0"/>
                  <w:vAlign w:val="center"/>
                </w:tcPr>
                <w:p>
                  <w:pPr>
                    <w:adjustRightInd w:val="0"/>
                    <w:snapToGrid w:val="0"/>
                    <w:jc w:val="center"/>
                    <w:rPr>
                      <w:rFonts w:hint="eastAsia"/>
                      <w:bCs/>
                      <w:szCs w:val="21"/>
                    </w:rPr>
                  </w:pPr>
                  <w:r>
                    <w:rPr>
                      <w:rFonts w:hint="eastAsia"/>
                      <w:bCs/>
                      <w:szCs w:val="21"/>
                    </w:rPr>
                    <w:t>本项目不属于化工园区和化工项目</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bCs/>
                      <w:szCs w:val="21"/>
                    </w:rPr>
                    <w:t>5</w:t>
                  </w:r>
                </w:p>
              </w:tc>
              <w:tc>
                <w:tcPr>
                  <w:tcW w:w="2753" w:type="pct"/>
                  <w:noWrap w:val="0"/>
                  <w:vAlign w:val="center"/>
                </w:tcPr>
                <w:p>
                  <w:pPr>
                    <w:adjustRightInd w:val="0"/>
                    <w:snapToGrid w:val="0"/>
                    <w:jc w:val="center"/>
                    <w:rPr>
                      <w:bCs/>
                      <w:szCs w:val="21"/>
                    </w:rPr>
                  </w:pPr>
                  <w:r>
                    <w:rPr>
                      <w:bCs/>
                      <w:szCs w:val="21"/>
                    </w:rPr>
                    <w:t>第十九条</w:t>
                  </w:r>
                  <w:r>
                    <w:rPr>
                      <w:rFonts w:hint="eastAsia"/>
                      <w:bCs/>
                      <w:szCs w:val="21"/>
                    </w:rPr>
                    <w:t xml:space="preserve"> </w:t>
                  </w:r>
                  <w:r>
                    <w:rPr>
                      <w:bCs/>
                      <w:szCs w:val="21"/>
                    </w:rPr>
                    <w:t>禁止在长江干流岸线三公里范围内和重要支流岸线一公里范围内新建、改建、扩建尾矿库、冶炼渣库、磷石膏库，以提升安全、生态环境保护水平为目的的改建除外。</w:t>
                  </w:r>
                </w:p>
              </w:tc>
              <w:tc>
                <w:tcPr>
                  <w:tcW w:w="1300" w:type="pct"/>
                  <w:noWrap w:val="0"/>
                  <w:vAlign w:val="center"/>
                </w:tcPr>
                <w:p>
                  <w:pPr>
                    <w:adjustRightInd w:val="0"/>
                    <w:snapToGrid w:val="0"/>
                    <w:jc w:val="center"/>
                    <w:rPr>
                      <w:rFonts w:hint="eastAsia"/>
                      <w:bCs/>
                      <w:szCs w:val="21"/>
                    </w:rPr>
                  </w:pPr>
                  <w:r>
                    <w:rPr>
                      <w:rFonts w:hint="eastAsia"/>
                      <w:bCs/>
                      <w:szCs w:val="21"/>
                    </w:rPr>
                    <w:t>本项目不属于</w:t>
                  </w:r>
                  <w:r>
                    <w:rPr>
                      <w:bCs/>
                      <w:szCs w:val="21"/>
                    </w:rPr>
                    <w:t>尾矿库、冶炼渣库、磷石膏库</w:t>
                  </w:r>
                  <w:r>
                    <w:rPr>
                      <w:rFonts w:hint="eastAsia"/>
                      <w:bCs/>
                      <w:szCs w:val="21"/>
                    </w:rPr>
                    <w:t>等项目</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rFonts w:hint="eastAsia"/>
                      <w:bCs/>
                      <w:szCs w:val="21"/>
                    </w:rPr>
                    <w:t>6</w:t>
                  </w:r>
                </w:p>
              </w:tc>
              <w:tc>
                <w:tcPr>
                  <w:tcW w:w="2753" w:type="pct"/>
                  <w:noWrap w:val="0"/>
                  <w:vAlign w:val="center"/>
                </w:tcPr>
                <w:p>
                  <w:pPr>
                    <w:adjustRightInd w:val="0"/>
                    <w:snapToGrid w:val="0"/>
                    <w:jc w:val="center"/>
                    <w:rPr>
                      <w:bCs/>
                      <w:szCs w:val="21"/>
                    </w:rPr>
                  </w:pPr>
                  <w:r>
                    <w:rPr>
                      <w:bCs/>
                      <w:szCs w:val="21"/>
                    </w:rPr>
                    <w:t>第二十一条</w:t>
                  </w:r>
                  <w:r>
                    <w:rPr>
                      <w:rFonts w:hint="eastAsia"/>
                      <w:bCs/>
                      <w:szCs w:val="21"/>
                    </w:rPr>
                    <w:t xml:space="preserve"> </w:t>
                  </w:r>
                  <w:r>
                    <w:rPr>
                      <w:bCs/>
                      <w:szCs w:val="21"/>
                    </w:rPr>
                    <w:t>禁止在合规园区外新建、扩建钢铁、石化、化工、焦化、建材、有色、制浆造纸等高污染项目。</w:t>
                  </w:r>
                </w:p>
              </w:tc>
              <w:tc>
                <w:tcPr>
                  <w:tcW w:w="1300" w:type="pct"/>
                  <w:noWrap w:val="0"/>
                  <w:vAlign w:val="center"/>
                </w:tcPr>
                <w:p>
                  <w:pPr>
                    <w:adjustRightInd w:val="0"/>
                    <w:snapToGrid w:val="0"/>
                    <w:jc w:val="center"/>
                    <w:rPr>
                      <w:bCs/>
                      <w:szCs w:val="21"/>
                    </w:rPr>
                  </w:pPr>
                  <w:r>
                    <w:rPr>
                      <w:rFonts w:hint="eastAsia"/>
                      <w:bCs/>
                      <w:szCs w:val="21"/>
                    </w:rPr>
                    <w:t>本项目不属于</w:t>
                  </w:r>
                  <w:r>
                    <w:rPr>
                      <w:bCs/>
                      <w:szCs w:val="21"/>
                    </w:rPr>
                    <w:t>钢铁、石化、化工、焦化、建材、有色、制浆造纸等高污染项目</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rFonts w:hint="eastAsia"/>
                      <w:bCs/>
                      <w:szCs w:val="21"/>
                    </w:rPr>
                    <w:t>7</w:t>
                  </w:r>
                </w:p>
              </w:tc>
              <w:tc>
                <w:tcPr>
                  <w:tcW w:w="2753" w:type="pct"/>
                  <w:noWrap w:val="0"/>
                  <w:vAlign w:val="center"/>
                </w:tcPr>
                <w:p>
                  <w:pPr>
                    <w:adjustRightInd w:val="0"/>
                    <w:snapToGrid w:val="0"/>
                    <w:jc w:val="center"/>
                    <w:rPr>
                      <w:bCs/>
                      <w:szCs w:val="21"/>
                    </w:rPr>
                  </w:pPr>
                  <w:r>
                    <w:rPr>
                      <w:bCs/>
                      <w:szCs w:val="21"/>
                    </w:rPr>
                    <w:t>第二十三条</w:t>
                  </w:r>
                  <w:r>
                    <w:rPr>
                      <w:rFonts w:hint="eastAsia"/>
                      <w:bCs/>
                      <w:szCs w:val="21"/>
                    </w:rPr>
                    <w:t xml:space="preserve"> </w:t>
                  </w:r>
                  <w:r>
                    <w:rPr>
                      <w:bCs/>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00" w:type="pct"/>
                  <w:noWrap w:val="0"/>
                  <w:vAlign w:val="center"/>
                </w:tcPr>
                <w:p>
                  <w:pPr>
                    <w:adjustRightInd w:val="0"/>
                    <w:snapToGrid w:val="0"/>
                    <w:jc w:val="center"/>
                    <w:rPr>
                      <w:bCs/>
                      <w:szCs w:val="21"/>
                    </w:rPr>
                  </w:pPr>
                  <w:r>
                    <w:rPr>
                      <w:rFonts w:hint="eastAsia"/>
                      <w:bCs/>
                      <w:szCs w:val="21"/>
                    </w:rPr>
                    <w:t>本项目不属于</w:t>
                  </w:r>
                  <w:r>
                    <w:rPr>
                      <w:bCs/>
                      <w:szCs w:val="21"/>
                    </w:rPr>
                    <w:t>《产业结构调整指导目录》中</w:t>
                  </w:r>
                  <w:r>
                    <w:rPr>
                      <w:rFonts w:hint="eastAsia"/>
                      <w:bCs/>
                      <w:szCs w:val="21"/>
                    </w:rPr>
                    <w:t>的</w:t>
                  </w:r>
                  <w:r>
                    <w:rPr>
                      <w:rFonts w:ascii="宋体" w:hAnsi="宋体" w:cs="宋体"/>
                      <w:spacing w:val="10"/>
                      <w:sz w:val="23"/>
                      <w:szCs w:val="23"/>
                    </w:rPr>
                    <w:t>鼓</w:t>
                  </w:r>
                  <w:r>
                    <w:rPr>
                      <w:rFonts w:ascii="宋体" w:hAnsi="宋体" w:cs="宋体"/>
                      <w:spacing w:val="8"/>
                      <w:sz w:val="23"/>
                      <w:szCs w:val="23"/>
                    </w:rPr>
                    <w:t>励</w:t>
                  </w:r>
                  <w:r>
                    <w:rPr>
                      <w:rFonts w:ascii="宋体" w:hAnsi="宋体" w:cs="宋体"/>
                      <w:spacing w:val="5"/>
                      <w:sz w:val="23"/>
                      <w:szCs w:val="23"/>
                    </w:rPr>
                    <w:t>、限制和淘汰类</w:t>
                  </w:r>
                  <w:r>
                    <w:rPr>
                      <w:rFonts w:hint="eastAsia" w:ascii="宋体" w:hAnsi="宋体" w:cs="宋体"/>
                      <w:spacing w:val="5"/>
                      <w:sz w:val="23"/>
                      <w:szCs w:val="23"/>
                    </w:rPr>
                    <w:t>，属于允许类项目</w:t>
                  </w:r>
                </w:p>
              </w:tc>
              <w:tc>
                <w:tcPr>
                  <w:tcW w:w="502" w:type="pct"/>
                  <w:noWrap w:val="0"/>
                  <w:vAlign w:val="center"/>
                </w:tcPr>
                <w:p>
                  <w:pPr>
                    <w:adjustRightInd w:val="0"/>
                    <w:snapToGrid w:val="0"/>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noWrap w:val="0"/>
                  <w:vAlign w:val="center"/>
                </w:tcPr>
                <w:p>
                  <w:pPr>
                    <w:adjustRightInd w:val="0"/>
                    <w:snapToGrid w:val="0"/>
                    <w:jc w:val="center"/>
                    <w:rPr>
                      <w:bCs/>
                      <w:szCs w:val="21"/>
                    </w:rPr>
                  </w:pPr>
                  <w:r>
                    <w:rPr>
                      <w:rFonts w:hint="eastAsia"/>
                      <w:bCs/>
                      <w:szCs w:val="21"/>
                    </w:rPr>
                    <w:t>8</w:t>
                  </w:r>
                </w:p>
              </w:tc>
              <w:tc>
                <w:tcPr>
                  <w:tcW w:w="2753" w:type="pct"/>
                  <w:noWrap w:val="0"/>
                  <w:vAlign w:val="center"/>
                </w:tcPr>
                <w:p>
                  <w:pPr>
                    <w:adjustRightInd w:val="0"/>
                    <w:snapToGrid w:val="0"/>
                    <w:jc w:val="center"/>
                    <w:rPr>
                      <w:bCs/>
                      <w:szCs w:val="21"/>
                    </w:rPr>
                  </w:pPr>
                  <w:r>
                    <w:rPr>
                      <w:bCs/>
                      <w:szCs w:val="21"/>
                    </w:rPr>
                    <w:t>第二十六条</w:t>
                  </w:r>
                  <w:r>
                    <w:rPr>
                      <w:rFonts w:hint="eastAsia"/>
                      <w:bCs/>
                      <w:szCs w:val="21"/>
                    </w:rPr>
                    <w:t xml:space="preserve"> </w:t>
                  </w:r>
                  <w:r>
                    <w:rPr>
                      <w:bCs/>
                      <w:szCs w:val="21"/>
                    </w:rPr>
                    <w:t>禁止新建、扩建不符合要求的高耗能、高排放、低水平项目。</w:t>
                  </w:r>
                </w:p>
              </w:tc>
              <w:tc>
                <w:tcPr>
                  <w:tcW w:w="1300" w:type="pct"/>
                  <w:noWrap w:val="0"/>
                  <w:vAlign w:val="center"/>
                </w:tcPr>
                <w:p>
                  <w:pPr>
                    <w:adjustRightInd w:val="0"/>
                    <w:snapToGrid w:val="0"/>
                    <w:jc w:val="center"/>
                    <w:rPr>
                      <w:bCs/>
                      <w:szCs w:val="21"/>
                    </w:rPr>
                  </w:pPr>
                  <w:r>
                    <w:rPr>
                      <w:rFonts w:hint="eastAsia"/>
                      <w:bCs/>
                      <w:szCs w:val="21"/>
                    </w:rPr>
                    <w:t>本项目不属于</w:t>
                  </w:r>
                  <w:r>
                    <w:rPr>
                      <w:bCs/>
                      <w:szCs w:val="21"/>
                    </w:rPr>
                    <w:t>高耗能、高排放、低水平项目</w:t>
                  </w:r>
                </w:p>
              </w:tc>
              <w:tc>
                <w:tcPr>
                  <w:tcW w:w="502" w:type="pct"/>
                  <w:noWrap w:val="0"/>
                  <w:vAlign w:val="center"/>
                </w:tcPr>
                <w:p>
                  <w:pPr>
                    <w:adjustRightInd w:val="0"/>
                    <w:snapToGrid w:val="0"/>
                    <w:jc w:val="center"/>
                    <w:rPr>
                      <w:bCs/>
                      <w:szCs w:val="21"/>
                    </w:rPr>
                  </w:pPr>
                  <w:r>
                    <w:rPr>
                      <w:bCs/>
                      <w:szCs w:val="21"/>
                    </w:rPr>
                    <w:t>符合</w:t>
                  </w:r>
                </w:p>
              </w:tc>
            </w:tr>
          </w:tbl>
          <w:p>
            <w:pPr>
              <w:pStyle w:val="775"/>
              <w:adjustRightInd w:val="0"/>
              <w:snapToGrid w:val="0"/>
              <w:ind w:firstLineChars="0"/>
              <w:rPr>
                <w:szCs w:val="24"/>
              </w:rPr>
            </w:pPr>
            <w:r>
              <w:rPr>
                <w:rFonts w:hint="eastAsia"/>
                <w:szCs w:val="24"/>
              </w:rPr>
              <w:t>由表1-8可知，项目建设符合《四川省、重庆市长江经济带发展负面清单实施细则（试行）》的相关要求。</w:t>
            </w:r>
          </w:p>
          <w:p>
            <w:pPr>
              <w:pStyle w:val="775"/>
              <w:adjustRightInd w:val="0"/>
              <w:snapToGrid w:val="0"/>
              <w:ind w:firstLineChars="0"/>
              <w:rPr>
                <w:b/>
                <w:bCs/>
                <w:szCs w:val="24"/>
              </w:rPr>
            </w:pPr>
            <w:r>
              <w:rPr>
                <w:b/>
                <w:bCs/>
                <w:szCs w:val="24"/>
              </w:rPr>
              <w:t>5、与《加油站地下水污染防治技术指南</w:t>
            </w:r>
            <w:r>
              <w:rPr>
                <w:rFonts w:hint="eastAsia"/>
                <w:b/>
                <w:bCs/>
                <w:szCs w:val="24"/>
              </w:rPr>
              <w:t>（</w:t>
            </w:r>
            <w:r>
              <w:rPr>
                <w:b/>
                <w:bCs/>
                <w:szCs w:val="24"/>
              </w:rPr>
              <w:t>试行</w:t>
            </w:r>
            <w:r>
              <w:rPr>
                <w:rFonts w:hint="eastAsia"/>
                <w:b/>
                <w:bCs/>
                <w:szCs w:val="24"/>
              </w:rPr>
              <w:t>）</w:t>
            </w:r>
            <w:r>
              <w:rPr>
                <w:b/>
                <w:bCs/>
                <w:szCs w:val="24"/>
              </w:rPr>
              <w:t>》</w:t>
            </w:r>
            <w:r>
              <w:rPr>
                <w:rFonts w:hint="eastAsia"/>
                <w:b/>
                <w:bCs/>
                <w:szCs w:val="24"/>
              </w:rPr>
              <w:t>（</w:t>
            </w:r>
            <w:r>
              <w:rPr>
                <w:b/>
                <w:bCs/>
                <w:szCs w:val="24"/>
              </w:rPr>
              <w:t>环办水体函〔2017〕323号</w:t>
            </w:r>
            <w:r>
              <w:rPr>
                <w:rFonts w:hint="eastAsia"/>
                <w:b/>
                <w:bCs/>
                <w:szCs w:val="24"/>
              </w:rPr>
              <w:t>）</w:t>
            </w:r>
            <w:r>
              <w:rPr>
                <w:b/>
                <w:bCs/>
                <w:szCs w:val="24"/>
              </w:rPr>
              <w:t>符合性分析</w:t>
            </w:r>
          </w:p>
          <w:p>
            <w:pPr>
              <w:pStyle w:val="775"/>
              <w:adjustRightInd w:val="0"/>
              <w:snapToGrid w:val="0"/>
              <w:ind w:firstLineChars="0"/>
              <w:rPr>
                <w:szCs w:val="24"/>
              </w:rPr>
            </w:pPr>
            <w:r>
              <w:rPr>
                <w:szCs w:val="24"/>
              </w:rPr>
              <w:t>2017年3月9日</w:t>
            </w:r>
            <w:r>
              <w:rPr>
                <w:rFonts w:hint="eastAsia"/>
                <w:szCs w:val="24"/>
              </w:rPr>
              <w:t>，</w:t>
            </w:r>
            <w:r>
              <w:rPr>
                <w:szCs w:val="24"/>
              </w:rPr>
              <w:t>国家环境保护部办公厅发布了</w:t>
            </w:r>
            <w:r>
              <w:rPr>
                <w:rFonts w:hint="eastAsia"/>
                <w:szCs w:val="24"/>
              </w:rPr>
              <w:t>《</w:t>
            </w:r>
            <w:r>
              <w:rPr>
                <w:szCs w:val="24"/>
              </w:rPr>
              <w:t>关于印发</w:t>
            </w:r>
            <w:r>
              <w:rPr>
                <w:rFonts w:hint="eastAsia"/>
                <w:szCs w:val="24"/>
              </w:rPr>
              <w:t>&lt;</w:t>
            </w:r>
            <w:r>
              <w:rPr>
                <w:szCs w:val="24"/>
              </w:rPr>
              <w:t>加油站地下水污染防治技术指南</w:t>
            </w:r>
            <w:r>
              <w:rPr>
                <w:rFonts w:hint="eastAsia"/>
                <w:szCs w:val="24"/>
              </w:rPr>
              <w:t>（</w:t>
            </w:r>
            <w:r>
              <w:rPr>
                <w:szCs w:val="24"/>
              </w:rPr>
              <w:t>试行</w:t>
            </w:r>
            <w:r>
              <w:rPr>
                <w:rFonts w:hint="eastAsia"/>
                <w:szCs w:val="24"/>
              </w:rPr>
              <w:t>）&gt;</w:t>
            </w:r>
            <w:r>
              <w:rPr>
                <w:szCs w:val="24"/>
              </w:rPr>
              <w:t>的通知</w:t>
            </w:r>
            <w:r>
              <w:rPr>
                <w:rFonts w:hint="eastAsia"/>
                <w:szCs w:val="24"/>
              </w:rPr>
              <w:t>》（</w:t>
            </w:r>
            <w:r>
              <w:rPr>
                <w:szCs w:val="24"/>
              </w:rPr>
              <w:t>环办水体函〔2017〕323号</w:t>
            </w:r>
            <w:r>
              <w:rPr>
                <w:rFonts w:hint="eastAsia"/>
                <w:szCs w:val="24"/>
              </w:rPr>
              <w:t>）</w:t>
            </w:r>
            <w:r>
              <w:rPr>
                <w:szCs w:val="24"/>
              </w:rPr>
              <w:t>，其中要求：为防止加油站油品泄漏，污染土壤和地下水，加油站需要采取防渗漏和防渗漏检测措施；所有加油站的油罐需要更新为双层罐或者设置防渗池，双层罐和防渗池应符合《汽车加油加气加氢站技术标准》</w:t>
            </w:r>
            <w:r>
              <w:rPr>
                <w:rFonts w:hint="eastAsia"/>
                <w:szCs w:val="24"/>
              </w:rPr>
              <w:t>（</w:t>
            </w:r>
            <w:r>
              <w:rPr>
                <w:szCs w:val="24"/>
              </w:rPr>
              <w:t>GB50156</w:t>
            </w:r>
            <w:r>
              <w:rPr>
                <w:rFonts w:hint="eastAsia"/>
                <w:szCs w:val="24"/>
              </w:rPr>
              <w:t>）</w:t>
            </w:r>
            <w:r>
              <w:rPr>
                <w:szCs w:val="24"/>
              </w:rPr>
              <w:t>的要求，设置时可进行自行检查；加油站需要开展渗漏检测，设置常规地下水监测井，开展地下水常规监测。</w:t>
            </w:r>
          </w:p>
          <w:p>
            <w:pPr>
              <w:pStyle w:val="775"/>
              <w:adjustRightInd w:val="0"/>
              <w:snapToGrid w:val="0"/>
              <w:ind w:firstLineChars="0"/>
              <w:rPr>
                <w:szCs w:val="24"/>
              </w:rPr>
            </w:pPr>
            <w:r>
              <w:rPr>
                <w:rFonts w:hint="eastAsia"/>
                <w:szCs w:val="24"/>
              </w:rPr>
              <w:t>本项目</w:t>
            </w:r>
            <w:r>
              <w:rPr>
                <w:szCs w:val="24"/>
              </w:rPr>
              <w:t>加油加气站油罐区拟设置地埋卧式双层储油罐，油罐区各双层罐符合 《汽车加油加气加氢站技术标准》</w:t>
            </w:r>
            <w:r>
              <w:rPr>
                <w:rFonts w:hint="eastAsia"/>
                <w:szCs w:val="24"/>
              </w:rPr>
              <w:t>（</w:t>
            </w:r>
            <w:r>
              <w:rPr>
                <w:szCs w:val="24"/>
              </w:rPr>
              <w:t>GB50156-2021</w:t>
            </w:r>
            <w:r>
              <w:rPr>
                <w:rFonts w:hint="eastAsia"/>
                <w:szCs w:val="24"/>
              </w:rPr>
              <w:t>）</w:t>
            </w:r>
            <w:r>
              <w:rPr>
                <w:szCs w:val="24"/>
              </w:rPr>
              <w:t>的要求；为防止加油站油品泄漏，设置液位仪、在线液位监控系统，站区内进行分区防渗，并采取相应的防渗漏检测措施等；同时，环评要求，加油站内设置常规地下水监测井，并于后期开展地下水常规监测。因此，本项目符合《加油站地下水污染防治技术指南</w:t>
            </w:r>
            <w:r>
              <w:rPr>
                <w:rFonts w:hint="eastAsia"/>
                <w:szCs w:val="24"/>
              </w:rPr>
              <w:t>（</w:t>
            </w:r>
            <w:r>
              <w:rPr>
                <w:szCs w:val="24"/>
              </w:rPr>
              <w:t>试行</w:t>
            </w:r>
            <w:r>
              <w:rPr>
                <w:rFonts w:hint="eastAsia"/>
                <w:szCs w:val="24"/>
              </w:rPr>
              <w:t>）</w:t>
            </w:r>
            <w:r>
              <w:rPr>
                <w:szCs w:val="24"/>
              </w:rPr>
              <w:t>》</w:t>
            </w:r>
            <w:r>
              <w:rPr>
                <w:rFonts w:hint="eastAsia"/>
                <w:szCs w:val="24"/>
              </w:rPr>
              <w:t>（</w:t>
            </w:r>
            <w:r>
              <w:rPr>
                <w:szCs w:val="24"/>
              </w:rPr>
              <w:t>环办水体函〔2017〕323号</w:t>
            </w:r>
            <w:r>
              <w:rPr>
                <w:rFonts w:hint="eastAsia"/>
                <w:szCs w:val="24"/>
              </w:rPr>
              <w:t>）</w:t>
            </w:r>
            <w:r>
              <w:rPr>
                <w:szCs w:val="24"/>
              </w:rPr>
              <w:t>的相关要求。</w:t>
            </w:r>
          </w:p>
          <w:p>
            <w:pPr>
              <w:pStyle w:val="775"/>
              <w:adjustRightInd w:val="0"/>
              <w:snapToGrid w:val="0"/>
              <w:ind w:firstLineChars="0"/>
              <w:rPr>
                <w:b/>
                <w:bCs/>
                <w:szCs w:val="24"/>
              </w:rPr>
            </w:pPr>
            <w:r>
              <w:rPr>
                <w:rFonts w:hint="eastAsia"/>
                <w:b/>
                <w:bCs/>
                <w:szCs w:val="24"/>
              </w:rPr>
              <w:t>6</w:t>
            </w:r>
            <w:r>
              <w:rPr>
                <w:b/>
                <w:bCs/>
                <w:szCs w:val="24"/>
              </w:rPr>
              <w:t>、与《 “十三五”挥发性有机物污染防治工作方案》符合性分析</w:t>
            </w:r>
          </w:p>
          <w:p>
            <w:pPr>
              <w:pStyle w:val="775"/>
              <w:adjustRightInd w:val="0"/>
              <w:snapToGrid w:val="0"/>
              <w:ind w:firstLineChars="0"/>
              <w:rPr>
                <w:szCs w:val="24"/>
              </w:rPr>
            </w:pPr>
            <w:r>
              <w:rPr>
                <w:szCs w:val="24"/>
              </w:rPr>
              <w:t>国家环保部</w:t>
            </w:r>
            <w:r>
              <w:rPr>
                <w:rFonts w:hint="eastAsia"/>
                <w:szCs w:val="24"/>
              </w:rPr>
              <w:t>等6部委联合发布的《</w:t>
            </w:r>
            <w:r>
              <w:rPr>
                <w:szCs w:val="24"/>
              </w:rPr>
              <w:t>关于印发</w:t>
            </w:r>
            <w:r>
              <w:rPr>
                <w:rFonts w:hint="eastAsia"/>
                <w:szCs w:val="24"/>
              </w:rPr>
              <w:t>&lt;</w:t>
            </w:r>
            <w:r>
              <w:rPr>
                <w:szCs w:val="24"/>
              </w:rPr>
              <w:t>“十三五”挥发性有机物污染防治工作方案</w:t>
            </w:r>
            <w:r>
              <w:rPr>
                <w:rFonts w:hint="eastAsia"/>
                <w:szCs w:val="24"/>
              </w:rPr>
              <w:t>&gt;</w:t>
            </w:r>
            <w:r>
              <w:rPr>
                <w:szCs w:val="24"/>
              </w:rPr>
              <w:t>的通知</w:t>
            </w:r>
            <w:r>
              <w:rPr>
                <w:rFonts w:hint="eastAsia"/>
                <w:szCs w:val="24"/>
              </w:rPr>
              <w:t>》（环大气〔2017〕121号）明确要求：</w:t>
            </w:r>
            <w:r>
              <w:rPr>
                <w:szCs w:val="24"/>
              </w:rPr>
              <w:t>加强汽油储运销油气排放控制；减少油品周转次数；严格按照排放标准要求，加快完成加油站、储油库、油罐车油气回收治理工作，重点地区全面推进行政区域内所有加油站油气回收治理。建设油气回收自动监测系统平台，储油库和年销售汽油量大于5000吨的加油站加快安装油气回收自动监测设备。制定加油站、储油库油气回收自动监测系统技术规范，企业要加强对油气回收系统外观检测和仪器检测，确保油气回收系统正常运转。</w:t>
            </w:r>
          </w:p>
          <w:p>
            <w:pPr>
              <w:pStyle w:val="775"/>
              <w:adjustRightInd w:val="0"/>
              <w:snapToGrid w:val="0"/>
              <w:ind w:firstLineChars="0"/>
              <w:rPr>
                <w:szCs w:val="24"/>
              </w:rPr>
            </w:pPr>
            <w:r>
              <w:rPr>
                <w:szCs w:val="24"/>
              </w:rPr>
              <w:t>本项目属于加油加气站建设项目，年销售汽油1</w:t>
            </w:r>
            <w:r>
              <w:rPr>
                <w:rFonts w:hint="eastAsia"/>
                <w:szCs w:val="24"/>
              </w:rPr>
              <w:t>614.87</w:t>
            </w:r>
            <w:r>
              <w:rPr>
                <w:szCs w:val="24"/>
              </w:rPr>
              <w:t>t，柴油1</w:t>
            </w:r>
            <w:r>
              <w:rPr>
                <w:rFonts w:hint="eastAsia"/>
                <w:szCs w:val="24"/>
              </w:rPr>
              <w:t>147.50</w:t>
            </w:r>
            <w:r>
              <w:rPr>
                <w:szCs w:val="24"/>
              </w:rPr>
              <w:t>t，项目拟铺设油气回收管线，并采用带油气回收功能的加油枪，设置有一次、二次油气回收处理装置，并定期委托相应资质单位对油气回收设备进行检测。因此，本项目加油加气站满足《 “十三五”挥发性有机物污染防治工作方案》 中的相关要求。</w:t>
            </w:r>
          </w:p>
          <w:p>
            <w:pPr>
              <w:pStyle w:val="775"/>
              <w:adjustRightInd w:val="0"/>
              <w:snapToGrid w:val="0"/>
              <w:ind w:firstLineChars="0"/>
              <w:rPr>
                <w:b/>
                <w:bCs/>
                <w:szCs w:val="24"/>
              </w:rPr>
            </w:pPr>
            <w:r>
              <w:rPr>
                <w:rFonts w:hint="eastAsia"/>
                <w:b/>
                <w:bCs/>
                <w:szCs w:val="24"/>
              </w:rPr>
              <w:t>7</w:t>
            </w:r>
            <w:r>
              <w:rPr>
                <w:b/>
                <w:bCs/>
                <w:szCs w:val="24"/>
              </w:rPr>
              <w:t>、与《四川省灰霾污染防治办法》的符合性分析</w:t>
            </w:r>
          </w:p>
          <w:p>
            <w:pPr>
              <w:pStyle w:val="775"/>
              <w:adjustRightInd w:val="0"/>
              <w:snapToGrid w:val="0"/>
              <w:ind w:firstLineChars="0"/>
              <w:rPr>
                <w:szCs w:val="24"/>
              </w:rPr>
            </w:pPr>
            <w:r>
              <w:rPr>
                <w:szCs w:val="24"/>
              </w:rPr>
              <w:t xml:space="preserve">2015年2月25日省政府第77次常务会议审议通过了《四川省灰霾污染防治办法》 </w:t>
            </w:r>
            <w:r>
              <w:rPr>
                <w:rFonts w:hint="eastAsia"/>
                <w:szCs w:val="24"/>
              </w:rPr>
              <w:t>（</w:t>
            </w:r>
            <w:r>
              <w:rPr>
                <w:szCs w:val="24"/>
              </w:rPr>
              <w:t>四川省人民政府第288号令</w:t>
            </w:r>
            <w:r>
              <w:rPr>
                <w:rFonts w:hint="eastAsia"/>
                <w:szCs w:val="24"/>
              </w:rPr>
              <w:t>）</w:t>
            </w:r>
            <w:r>
              <w:rPr>
                <w:szCs w:val="24"/>
              </w:rPr>
              <w:t xml:space="preserve">，并于2015年5月1日开始实施。其中第十三条规定： “储油 </w:t>
            </w:r>
            <w:r>
              <w:rPr>
                <w:rFonts w:hint="eastAsia"/>
                <w:szCs w:val="24"/>
              </w:rPr>
              <w:t>（</w:t>
            </w:r>
            <w:r>
              <w:rPr>
                <w:szCs w:val="24"/>
              </w:rPr>
              <w:t>气</w:t>
            </w:r>
            <w:r>
              <w:rPr>
                <w:rFonts w:hint="eastAsia"/>
                <w:szCs w:val="24"/>
              </w:rPr>
              <w:t>）</w:t>
            </w:r>
            <w:r>
              <w:rPr>
                <w:szCs w:val="24"/>
              </w:rPr>
              <w:t>库、加油</w:t>
            </w:r>
            <w:r>
              <w:rPr>
                <w:rFonts w:hint="eastAsia"/>
                <w:szCs w:val="24"/>
              </w:rPr>
              <w:t>（</w:t>
            </w:r>
            <w:r>
              <w:rPr>
                <w:szCs w:val="24"/>
              </w:rPr>
              <w:t>气</w:t>
            </w:r>
            <w:r>
              <w:rPr>
                <w:rFonts w:hint="eastAsia"/>
                <w:szCs w:val="24"/>
              </w:rPr>
              <w:t>）</w:t>
            </w:r>
            <w:r>
              <w:rPr>
                <w:szCs w:val="24"/>
              </w:rPr>
              <w:t>站、原油成品油码头、原油成品油运输船舶和使用油</w:t>
            </w:r>
            <w:r>
              <w:rPr>
                <w:rFonts w:hint="eastAsia"/>
                <w:szCs w:val="24"/>
              </w:rPr>
              <w:t>（</w:t>
            </w:r>
            <w:r>
              <w:rPr>
                <w:szCs w:val="24"/>
              </w:rPr>
              <w:t>气</w:t>
            </w:r>
            <w:r>
              <w:rPr>
                <w:rFonts w:hint="eastAsia"/>
                <w:szCs w:val="24"/>
              </w:rPr>
              <w:t>）</w:t>
            </w:r>
            <w:r>
              <w:rPr>
                <w:szCs w:val="24"/>
              </w:rPr>
              <w:t xml:space="preserve"> 罐车等单位，应当按照国家有关规定安装油</w:t>
            </w:r>
            <w:r>
              <w:rPr>
                <w:rFonts w:hint="eastAsia"/>
                <w:szCs w:val="24"/>
              </w:rPr>
              <w:t>（</w:t>
            </w:r>
            <w:r>
              <w:rPr>
                <w:szCs w:val="24"/>
              </w:rPr>
              <w:t>气</w:t>
            </w:r>
            <w:r>
              <w:rPr>
                <w:rFonts w:hint="eastAsia"/>
                <w:szCs w:val="24"/>
              </w:rPr>
              <w:t>）</w:t>
            </w:r>
            <w:r>
              <w:rPr>
                <w:szCs w:val="24"/>
              </w:rPr>
              <w:t>回收装置并正常使用。”</w:t>
            </w:r>
          </w:p>
          <w:p>
            <w:pPr>
              <w:pStyle w:val="775"/>
              <w:adjustRightInd w:val="0"/>
              <w:snapToGrid w:val="0"/>
              <w:ind w:firstLineChars="0"/>
              <w:rPr>
                <w:szCs w:val="24"/>
              </w:rPr>
            </w:pPr>
            <w:r>
              <w:rPr>
                <w:rFonts w:hint="eastAsia"/>
                <w:szCs w:val="24"/>
              </w:rPr>
              <w:t>本</w:t>
            </w:r>
            <w:r>
              <w:rPr>
                <w:szCs w:val="24"/>
              </w:rPr>
              <w:t>项目建成投运后，拟采用油气回收性的加油枪，设置一次、二次油气回收处理装置，因此，符合《四川省灰霾污染防治办法》的环境管理要求。</w:t>
            </w:r>
          </w:p>
          <w:p>
            <w:pPr>
              <w:pStyle w:val="775"/>
              <w:adjustRightInd w:val="0"/>
              <w:snapToGrid w:val="0"/>
              <w:ind w:firstLineChars="0"/>
              <w:rPr>
                <w:b/>
                <w:bCs/>
                <w:szCs w:val="24"/>
              </w:rPr>
            </w:pPr>
            <w:r>
              <w:rPr>
                <w:rFonts w:hint="eastAsia"/>
                <w:b/>
                <w:bCs/>
                <w:szCs w:val="24"/>
              </w:rPr>
              <w:t>8</w:t>
            </w:r>
            <w:r>
              <w:rPr>
                <w:b/>
                <w:bCs/>
                <w:szCs w:val="24"/>
              </w:rPr>
              <w:t>、与《挥发性有机物污染防治技术政策》《四川省挥发性有机物污染防治实施方案</w:t>
            </w:r>
            <w:r>
              <w:rPr>
                <w:rFonts w:hint="eastAsia"/>
                <w:b/>
                <w:bCs/>
                <w:szCs w:val="24"/>
              </w:rPr>
              <w:t>（</w:t>
            </w:r>
            <w:r>
              <w:rPr>
                <w:b/>
                <w:bCs/>
                <w:szCs w:val="24"/>
              </w:rPr>
              <w:t>2018-2020年</w:t>
            </w:r>
            <w:r>
              <w:rPr>
                <w:rFonts w:hint="eastAsia"/>
                <w:b/>
                <w:bCs/>
                <w:szCs w:val="24"/>
              </w:rPr>
              <w:t>）</w:t>
            </w:r>
            <w:r>
              <w:rPr>
                <w:b/>
                <w:bCs/>
                <w:szCs w:val="24"/>
              </w:rPr>
              <w:t>》的符合性分析</w:t>
            </w:r>
          </w:p>
          <w:p>
            <w:pPr>
              <w:pStyle w:val="775"/>
              <w:adjustRightInd w:val="0"/>
              <w:snapToGrid w:val="0"/>
              <w:ind w:firstLineChars="0"/>
              <w:rPr>
                <w:szCs w:val="24"/>
              </w:rPr>
            </w:pPr>
            <w:r>
              <w:rPr>
                <w:szCs w:val="24"/>
              </w:rPr>
              <w:t>2013年5月24日国家环境保护部发布了《挥发性有机物污染防治技术政策》，</w:t>
            </w:r>
            <w:r>
              <w:rPr>
                <w:rFonts w:hint="eastAsia"/>
                <w:szCs w:val="24"/>
              </w:rPr>
              <w:t>明确</w:t>
            </w:r>
            <w:r>
              <w:rPr>
                <w:szCs w:val="24"/>
              </w:rPr>
              <w:t>要求：“储油库、加油站和油罐车宜配备相应的油气收集系统，储油库、加油站宜配备相应的油气回收系统”。</w:t>
            </w:r>
          </w:p>
          <w:p>
            <w:pPr>
              <w:pStyle w:val="775"/>
              <w:adjustRightInd w:val="0"/>
              <w:snapToGrid w:val="0"/>
              <w:ind w:firstLineChars="0"/>
              <w:rPr>
                <w:szCs w:val="24"/>
              </w:rPr>
            </w:pPr>
            <w:r>
              <w:rPr>
                <w:szCs w:val="24"/>
              </w:rPr>
              <w:t>四川省环境保护厅颁布的</w:t>
            </w:r>
            <w:r>
              <w:rPr>
                <w:rFonts w:hint="eastAsia"/>
                <w:szCs w:val="24"/>
              </w:rPr>
              <w:t>《</w:t>
            </w:r>
            <w:r>
              <w:rPr>
                <w:szCs w:val="24"/>
              </w:rPr>
              <w:t>关于印发</w:t>
            </w:r>
            <w:r>
              <w:rPr>
                <w:rFonts w:hint="eastAsia"/>
                <w:szCs w:val="24"/>
              </w:rPr>
              <w:t>&lt;</w:t>
            </w:r>
            <w:r>
              <w:rPr>
                <w:szCs w:val="24"/>
              </w:rPr>
              <w:t xml:space="preserve">四川省挥发性有机物污染防治实施方案 </w:t>
            </w:r>
            <w:r>
              <w:rPr>
                <w:rFonts w:hint="eastAsia"/>
                <w:szCs w:val="24"/>
              </w:rPr>
              <w:t>（</w:t>
            </w:r>
            <w:r>
              <w:rPr>
                <w:szCs w:val="24"/>
              </w:rPr>
              <w:t>2018-2020年</w:t>
            </w:r>
            <w:r>
              <w:rPr>
                <w:rFonts w:hint="eastAsia"/>
                <w:szCs w:val="24"/>
              </w:rPr>
              <w:t>）&gt;</w:t>
            </w:r>
            <w:r>
              <w:rPr>
                <w:szCs w:val="24"/>
              </w:rPr>
              <w:t>的通知</w:t>
            </w:r>
            <w:r>
              <w:rPr>
                <w:rFonts w:hint="eastAsia"/>
                <w:szCs w:val="24"/>
              </w:rPr>
              <w:t>》（</w:t>
            </w:r>
            <w:r>
              <w:rPr>
                <w:szCs w:val="24"/>
              </w:rPr>
              <w:t>川环发〔2018〕44 号</w:t>
            </w:r>
            <w:r>
              <w:rPr>
                <w:rFonts w:hint="eastAsia"/>
                <w:szCs w:val="24"/>
              </w:rPr>
              <w:t>）明确要求</w:t>
            </w:r>
            <w:r>
              <w:rPr>
                <w:szCs w:val="24"/>
              </w:rPr>
              <w:t>：加强汽油储运销油气排放控制，加快完成加油站、储油库、油罐车油气回收治理工作，全面推进省内重点区域加油站油气回收治理；建设油气自动监测系统平台；制定加油站、储油库、油罐车油气回收系统操作技术规范和在线监控技术规范，企业加强系统外观检测和仪器 检测，确保油气回收系统正常运转。</w:t>
            </w:r>
          </w:p>
          <w:p>
            <w:pPr>
              <w:pStyle w:val="775"/>
              <w:adjustRightInd w:val="0"/>
              <w:snapToGrid w:val="0"/>
              <w:ind w:firstLineChars="0"/>
              <w:rPr>
                <w:szCs w:val="24"/>
              </w:rPr>
            </w:pPr>
            <w:r>
              <w:rPr>
                <w:szCs w:val="24"/>
              </w:rPr>
              <w:t>本项目属于加油加气站建设项目，拟铺设油气回收管线，采用油气回收性的加油枪，设置一次、二次油气回收处理装置。因此，</w:t>
            </w:r>
            <w:r>
              <w:rPr>
                <w:rFonts w:hint="eastAsia"/>
                <w:szCs w:val="24"/>
              </w:rPr>
              <w:t>项目建设</w:t>
            </w:r>
            <w:r>
              <w:rPr>
                <w:szCs w:val="24"/>
              </w:rPr>
              <w:t>符合《挥发性有机物污染防治技术政策》和</w:t>
            </w:r>
            <w:r>
              <w:rPr>
                <w:rFonts w:hint="eastAsia"/>
                <w:szCs w:val="24"/>
              </w:rPr>
              <w:t>《</w:t>
            </w:r>
            <w:r>
              <w:rPr>
                <w:szCs w:val="24"/>
              </w:rPr>
              <w:t>四川省挥发性有机物污染防治实施方案</w:t>
            </w:r>
            <w:r>
              <w:rPr>
                <w:rFonts w:hint="eastAsia"/>
                <w:szCs w:val="24"/>
              </w:rPr>
              <w:t>（</w:t>
            </w:r>
            <w:r>
              <w:rPr>
                <w:szCs w:val="24"/>
              </w:rPr>
              <w:t>2018-2020年</w:t>
            </w:r>
            <w:r>
              <w:rPr>
                <w:rFonts w:hint="eastAsia"/>
                <w:szCs w:val="24"/>
              </w:rPr>
              <w:t>）</w:t>
            </w:r>
            <w:r>
              <w:rPr>
                <w:szCs w:val="24"/>
              </w:rPr>
              <w:t>》的相关要求。</w:t>
            </w:r>
          </w:p>
          <w:p>
            <w:pPr>
              <w:pStyle w:val="775"/>
              <w:adjustRightInd w:val="0"/>
              <w:snapToGrid w:val="0"/>
              <w:ind w:firstLineChars="0"/>
              <w:rPr>
                <w:b/>
                <w:bCs/>
              </w:rPr>
            </w:pPr>
            <w:r>
              <w:rPr>
                <w:rFonts w:hint="eastAsia"/>
                <w:b/>
                <w:bCs/>
              </w:rPr>
              <w:t>9、</w:t>
            </w:r>
            <w:r>
              <w:rPr>
                <w:b/>
                <w:bCs/>
              </w:rPr>
              <w:t>与《中华人民共和国水污染防治法》《水污染防治行动计划》符合性分析</w:t>
            </w:r>
          </w:p>
          <w:p>
            <w:pPr>
              <w:pStyle w:val="775"/>
              <w:adjustRightInd w:val="0"/>
              <w:snapToGrid w:val="0"/>
              <w:ind w:firstLineChars="0"/>
            </w:pPr>
            <w:r>
              <w:t>项目与《中华人民共和国水污染防治法》（2018年1月1日修订）、《水污染防治行动计划》（国发〔2015〕17 号）的符合性分析如下：</w:t>
            </w:r>
          </w:p>
          <w:p>
            <w:pPr>
              <w:spacing w:line="276" w:lineRule="auto"/>
              <w:jc w:val="center"/>
              <w:rPr>
                <w:b/>
                <w:bCs/>
                <w:szCs w:val="21"/>
              </w:rPr>
            </w:pPr>
            <w:r>
              <w:rPr>
                <w:b/>
                <w:bCs/>
                <w:szCs w:val="21"/>
              </w:rPr>
              <w:t>表1-</w:t>
            </w:r>
            <w:r>
              <w:rPr>
                <w:rFonts w:hint="eastAsia"/>
                <w:b/>
                <w:bCs/>
                <w:szCs w:val="21"/>
              </w:rPr>
              <w:t>9</w:t>
            </w:r>
            <w:r>
              <w:rPr>
                <w:b/>
                <w:bCs/>
                <w:szCs w:val="21"/>
              </w:rPr>
              <w:t xml:space="preserve"> 与水污染防治法的符合性分析</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7"/>
              <w:gridCol w:w="4254"/>
              <w:gridCol w:w="1558"/>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noWrap w:val="0"/>
                  <w:vAlign w:val="center"/>
                </w:tcPr>
                <w:p>
                  <w:pPr>
                    <w:pStyle w:val="135"/>
                    <w:jc w:val="center"/>
                    <w:rPr>
                      <w:b/>
                      <w:bCs/>
                      <w:sz w:val="21"/>
                      <w:lang w:eastAsia="zh-CN"/>
                    </w:rPr>
                  </w:pPr>
                  <w:r>
                    <w:rPr>
                      <w:b/>
                      <w:bCs/>
                      <w:sz w:val="21"/>
                      <w:lang w:eastAsia="zh-CN"/>
                    </w:rPr>
                    <w:t>项目</w:t>
                  </w:r>
                </w:p>
              </w:tc>
              <w:tc>
                <w:tcPr>
                  <w:tcW w:w="2408" w:type="pct"/>
                  <w:noWrap w:val="0"/>
                  <w:vAlign w:val="center"/>
                </w:tcPr>
                <w:p>
                  <w:pPr>
                    <w:pStyle w:val="135"/>
                    <w:jc w:val="center"/>
                    <w:rPr>
                      <w:b/>
                      <w:bCs/>
                      <w:sz w:val="21"/>
                      <w:lang w:eastAsia="zh-CN"/>
                    </w:rPr>
                  </w:pPr>
                  <w:r>
                    <w:rPr>
                      <w:b/>
                      <w:bCs/>
                      <w:sz w:val="21"/>
                      <w:lang w:eastAsia="zh-CN"/>
                    </w:rPr>
                    <w:t>规划要求</w:t>
                  </w:r>
                </w:p>
              </w:tc>
              <w:tc>
                <w:tcPr>
                  <w:tcW w:w="882" w:type="pct"/>
                  <w:noWrap w:val="0"/>
                  <w:vAlign w:val="center"/>
                </w:tcPr>
                <w:p>
                  <w:pPr>
                    <w:pStyle w:val="135"/>
                    <w:jc w:val="center"/>
                    <w:rPr>
                      <w:b/>
                      <w:bCs/>
                      <w:sz w:val="21"/>
                      <w:lang w:eastAsia="zh-CN"/>
                    </w:rPr>
                  </w:pPr>
                  <w:r>
                    <w:rPr>
                      <w:b/>
                      <w:bCs/>
                      <w:sz w:val="21"/>
                      <w:lang w:eastAsia="zh-CN"/>
                    </w:rPr>
                    <w:t>本项目情况</w:t>
                  </w:r>
                </w:p>
              </w:tc>
              <w:tc>
                <w:tcPr>
                  <w:tcW w:w="670" w:type="pct"/>
                  <w:noWrap w:val="0"/>
                  <w:vAlign w:val="center"/>
                </w:tcPr>
                <w:p>
                  <w:pPr>
                    <w:pStyle w:val="135"/>
                    <w:jc w:val="center"/>
                    <w:rPr>
                      <w:b/>
                      <w:bCs/>
                      <w:sz w:val="21"/>
                      <w:lang w:eastAsia="zh-CN"/>
                    </w:rPr>
                  </w:pPr>
                  <w:r>
                    <w:rPr>
                      <w:b/>
                      <w:bCs/>
                      <w:sz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noWrap w:val="0"/>
                  <w:vAlign w:val="center"/>
                </w:tcPr>
                <w:p>
                  <w:pPr>
                    <w:pStyle w:val="135"/>
                    <w:jc w:val="center"/>
                    <w:rPr>
                      <w:sz w:val="21"/>
                      <w:lang w:eastAsia="zh-CN"/>
                    </w:rPr>
                  </w:pPr>
                  <w:r>
                    <w:rPr>
                      <w:sz w:val="21"/>
                      <w:lang w:eastAsia="zh-CN"/>
                    </w:rPr>
                    <w:t>《中华人民共和国水污染防治法》（2018年1月1日修订）</w:t>
                  </w:r>
                </w:p>
              </w:tc>
              <w:tc>
                <w:tcPr>
                  <w:tcW w:w="2408" w:type="pct"/>
                  <w:noWrap w:val="0"/>
                  <w:vAlign w:val="center"/>
                </w:tcPr>
                <w:p>
                  <w:pPr>
                    <w:pStyle w:val="135"/>
                    <w:jc w:val="center"/>
                    <w:rPr>
                      <w:sz w:val="21"/>
                      <w:lang w:eastAsia="zh-CN"/>
                    </w:rPr>
                  </w:pPr>
                  <w:r>
                    <w:rPr>
                      <w:sz w:val="21"/>
                      <w:lang w:eastAsia="zh-CN"/>
                    </w:rPr>
                    <w:t>第四十条 加油站等的地下油罐应当使用双层罐或者采取建造防渗池等其他有效措施，并进行防渗漏监测，防止地下水污染。</w:t>
                  </w:r>
                </w:p>
              </w:tc>
              <w:tc>
                <w:tcPr>
                  <w:tcW w:w="882" w:type="pct"/>
                  <w:vMerge w:val="restart"/>
                  <w:noWrap w:val="0"/>
                  <w:vAlign w:val="center"/>
                </w:tcPr>
                <w:p>
                  <w:pPr>
                    <w:pStyle w:val="135"/>
                    <w:jc w:val="center"/>
                    <w:rPr>
                      <w:sz w:val="21"/>
                      <w:lang w:eastAsia="zh-CN"/>
                    </w:rPr>
                  </w:pPr>
                  <w:r>
                    <w:rPr>
                      <w:sz w:val="21"/>
                      <w:lang w:eastAsia="zh-CN"/>
                    </w:rPr>
                    <w:t>本项目油罐为地埋式双层卧式油罐，并设置防渗漏监测系统。</w:t>
                  </w:r>
                </w:p>
              </w:tc>
              <w:tc>
                <w:tcPr>
                  <w:tcW w:w="670" w:type="pct"/>
                  <w:noWrap w:val="0"/>
                  <w:vAlign w:val="center"/>
                </w:tcPr>
                <w:p>
                  <w:pPr>
                    <w:pStyle w:val="135"/>
                    <w:jc w:val="center"/>
                    <w:rPr>
                      <w:sz w:val="21"/>
                      <w:lang w:eastAsia="zh-CN"/>
                    </w:rPr>
                  </w:pPr>
                  <w:r>
                    <w:rPr>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noWrap w:val="0"/>
                  <w:vAlign w:val="center"/>
                </w:tcPr>
                <w:p>
                  <w:pPr>
                    <w:pStyle w:val="135"/>
                    <w:jc w:val="center"/>
                    <w:rPr>
                      <w:sz w:val="21"/>
                      <w:lang w:eastAsia="zh-CN"/>
                    </w:rPr>
                  </w:pPr>
                  <w:r>
                    <w:rPr>
                      <w:sz w:val="21"/>
                      <w:lang w:eastAsia="zh-CN"/>
                    </w:rPr>
                    <w:t>《水污染防治行动计划》（国发〔2015〕17号）</w:t>
                  </w:r>
                </w:p>
              </w:tc>
              <w:tc>
                <w:tcPr>
                  <w:tcW w:w="2408" w:type="pct"/>
                  <w:noWrap w:val="0"/>
                  <w:vAlign w:val="center"/>
                </w:tcPr>
                <w:p>
                  <w:pPr>
                    <w:pStyle w:val="135"/>
                    <w:jc w:val="center"/>
                    <w:rPr>
                      <w:sz w:val="21"/>
                      <w:lang w:eastAsia="zh-CN"/>
                    </w:rPr>
                  </w:pPr>
                  <w:r>
                    <w:rPr>
                      <w:sz w:val="21"/>
                      <w:lang w:eastAsia="zh-CN"/>
                    </w:rPr>
                    <w:t>（二十四）保障饮用水水源安全。防治地下水污染。定期调查评估集中式地下水型饮用水水源补给区等区域环境状况。石化生产存贮销售企业和工业园区、矿山开采区、垃圾填埋场等区域应进行必要的防渗处理。加油站地下油罐应于2017年底前全部更新为双层罐或完成防渗池设置。报废矿井、钻井、取水井应实施封井回填。</w:t>
                  </w:r>
                </w:p>
              </w:tc>
              <w:tc>
                <w:tcPr>
                  <w:tcW w:w="882" w:type="pct"/>
                  <w:vMerge w:val="continue"/>
                  <w:noWrap w:val="0"/>
                  <w:vAlign w:val="center"/>
                </w:tcPr>
                <w:p>
                  <w:pPr>
                    <w:pStyle w:val="135"/>
                    <w:jc w:val="center"/>
                    <w:rPr>
                      <w:sz w:val="21"/>
                      <w:lang w:eastAsia="zh-CN"/>
                    </w:rPr>
                  </w:pPr>
                </w:p>
              </w:tc>
              <w:tc>
                <w:tcPr>
                  <w:tcW w:w="670" w:type="pct"/>
                  <w:noWrap w:val="0"/>
                  <w:vAlign w:val="center"/>
                </w:tcPr>
                <w:p>
                  <w:pPr>
                    <w:pStyle w:val="135"/>
                    <w:jc w:val="center"/>
                    <w:rPr>
                      <w:sz w:val="21"/>
                      <w:lang w:eastAsia="zh-CN"/>
                    </w:rPr>
                  </w:pPr>
                  <w:r>
                    <w:rPr>
                      <w:sz w:val="21"/>
                      <w:lang w:eastAsia="zh-CN"/>
                    </w:rPr>
                    <w:t>符合</w:t>
                  </w:r>
                </w:p>
              </w:tc>
            </w:tr>
          </w:tbl>
          <w:p>
            <w:pPr>
              <w:pStyle w:val="775"/>
              <w:adjustRightInd w:val="0"/>
              <w:snapToGrid w:val="0"/>
              <w:ind w:firstLineChars="0"/>
            </w:pPr>
            <w:r>
              <w:t>由上表可知，本项目符合《中华人民共和国水污染防治法》）、《水污染防治行动计划》中相关要求。</w:t>
            </w:r>
          </w:p>
          <w:p>
            <w:pPr>
              <w:pStyle w:val="775"/>
              <w:adjustRightInd w:val="0"/>
              <w:snapToGrid w:val="0"/>
              <w:ind w:firstLineChars="0"/>
              <w:rPr>
                <w:b/>
                <w:bCs/>
              </w:rPr>
            </w:pPr>
            <w:r>
              <w:rPr>
                <w:rFonts w:hint="eastAsia"/>
                <w:b/>
                <w:bCs/>
              </w:rPr>
              <w:t>10、</w:t>
            </w:r>
            <w:r>
              <w:rPr>
                <w:b/>
                <w:bCs/>
              </w:rPr>
              <w:t>与土壤污染防治行动计划符合性分析</w:t>
            </w:r>
          </w:p>
          <w:p>
            <w:pPr>
              <w:pStyle w:val="775"/>
              <w:adjustRightInd w:val="0"/>
              <w:snapToGrid w:val="0"/>
              <w:ind w:firstLineChars="0"/>
            </w:pPr>
            <w:r>
              <w:t>项目与《土壤污染防治行动计划》（国发〔2016〕31号）符合性如下：</w:t>
            </w:r>
          </w:p>
          <w:p>
            <w:pPr>
              <w:spacing w:line="276" w:lineRule="auto"/>
              <w:jc w:val="center"/>
              <w:rPr>
                <w:b/>
                <w:bCs/>
                <w:szCs w:val="21"/>
              </w:rPr>
            </w:pPr>
            <w:r>
              <w:rPr>
                <w:b/>
                <w:bCs/>
                <w:szCs w:val="21"/>
              </w:rPr>
              <w:t>表1-1</w:t>
            </w:r>
            <w:r>
              <w:rPr>
                <w:rFonts w:hint="eastAsia"/>
                <w:b/>
                <w:bCs/>
                <w:szCs w:val="21"/>
              </w:rPr>
              <w:t>0</w:t>
            </w:r>
            <w:r>
              <w:rPr>
                <w:b/>
                <w:bCs/>
                <w:szCs w:val="21"/>
              </w:rPr>
              <w:t xml:space="preserve"> 与土壤污染防治行动计划符合性</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4857"/>
              <w:gridCol w:w="170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78" w:type="pct"/>
                  <w:noWrap w:val="0"/>
                  <w:vAlign w:val="center"/>
                </w:tcPr>
                <w:p>
                  <w:pPr>
                    <w:pStyle w:val="135"/>
                    <w:jc w:val="center"/>
                    <w:rPr>
                      <w:b/>
                      <w:bCs/>
                      <w:sz w:val="21"/>
                      <w:lang w:eastAsia="zh-CN"/>
                    </w:rPr>
                  </w:pPr>
                  <w:r>
                    <w:rPr>
                      <w:b/>
                      <w:bCs/>
                      <w:sz w:val="21"/>
                      <w:lang w:eastAsia="zh-CN"/>
                    </w:rPr>
                    <w:t>项目</w:t>
                  </w:r>
                </w:p>
              </w:tc>
              <w:tc>
                <w:tcPr>
                  <w:tcW w:w="2749" w:type="pct"/>
                  <w:noWrap w:val="0"/>
                  <w:vAlign w:val="center"/>
                </w:tcPr>
                <w:p>
                  <w:pPr>
                    <w:pStyle w:val="135"/>
                    <w:jc w:val="center"/>
                    <w:rPr>
                      <w:b/>
                      <w:bCs/>
                      <w:sz w:val="21"/>
                      <w:lang w:eastAsia="zh-CN"/>
                    </w:rPr>
                  </w:pPr>
                  <w:r>
                    <w:rPr>
                      <w:b/>
                      <w:bCs/>
                      <w:sz w:val="21"/>
                      <w:lang w:eastAsia="zh-CN"/>
                    </w:rPr>
                    <w:t>规划要求</w:t>
                  </w:r>
                </w:p>
              </w:tc>
              <w:tc>
                <w:tcPr>
                  <w:tcW w:w="963" w:type="pct"/>
                  <w:noWrap w:val="0"/>
                  <w:vAlign w:val="center"/>
                </w:tcPr>
                <w:p>
                  <w:pPr>
                    <w:pStyle w:val="135"/>
                    <w:jc w:val="center"/>
                    <w:rPr>
                      <w:b/>
                      <w:bCs/>
                      <w:sz w:val="21"/>
                      <w:lang w:eastAsia="zh-CN"/>
                    </w:rPr>
                  </w:pPr>
                  <w:r>
                    <w:rPr>
                      <w:b/>
                      <w:bCs/>
                      <w:sz w:val="21"/>
                      <w:lang w:eastAsia="zh-CN"/>
                    </w:rPr>
                    <w:t>本项目情况</w:t>
                  </w:r>
                </w:p>
              </w:tc>
              <w:tc>
                <w:tcPr>
                  <w:tcW w:w="510" w:type="pct"/>
                  <w:noWrap w:val="0"/>
                  <w:vAlign w:val="center"/>
                </w:tcPr>
                <w:p>
                  <w:pPr>
                    <w:pStyle w:val="135"/>
                    <w:jc w:val="center"/>
                    <w:rPr>
                      <w:b/>
                      <w:bCs/>
                      <w:sz w:val="21"/>
                      <w:lang w:eastAsia="zh-CN"/>
                    </w:rPr>
                  </w:pPr>
                  <w:r>
                    <w:rPr>
                      <w:b/>
                      <w:bCs/>
                      <w:sz w:val="21"/>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restart"/>
                  <w:noWrap w:val="0"/>
                  <w:vAlign w:val="center"/>
                </w:tcPr>
                <w:p>
                  <w:pPr>
                    <w:pStyle w:val="135"/>
                    <w:jc w:val="center"/>
                    <w:rPr>
                      <w:rFonts w:hint="eastAsia"/>
                      <w:sz w:val="21"/>
                      <w:lang w:eastAsia="zh-CN"/>
                    </w:rPr>
                  </w:pPr>
                  <w:r>
                    <w:rPr>
                      <w:sz w:val="21"/>
                      <w:lang w:eastAsia="zh-CN"/>
                    </w:rPr>
                    <w:t>土壤污染防治行动计划</w:t>
                  </w:r>
                  <w:r>
                    <w:rPr>
                      <w:rFonts w:hint="eastAsia"/>
                      <w:sz w:val="21"/>
                      <w:lang w:eastAsia="zh-CN"/>
                    </w:rPr>
                    <w:t>（国发〔2016〕31 号）</w:t>
                  </w:r>
                </w:p>
              </w:tc>
              <w:tc>
                <w:tcPr>
                  <w:tcW w:w="2749" w:type="pct"/>
                  <w:noWrap w:val="0"/>
                  <w:vAlign w:val="center"/>
                </w:tcPr>
                <w:p>
                  <w:pPr>
                    <w:jc w:val="left"/>
                  </w:pPr>
                  <w: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963" w:type="pct"/>
                  <w:noWrap w:val="0"/>
                  <w:vAlign w:val="center"/>
                </w:tcPr>
                <w:p>
                  <w:pPr>
                    <w:jc w:val="left"/>
                    <w:rPr>
                      <w:rFonts w:hint="eastAsia"/>
                    </w:rPr>
                  </w:pPr>
                  <w:r>
                    <w:t>项目不排放重点污染物</w:t>
                  </w:r>
                  <w:r>
                    <w:rPr>
                      <w:rFonts w:hint="eastAsia"/>
                    </w:rPr>
                    <w:t>，且项目实施了分区防渗措施，严格防治污染物泄露污染土壤环境。</w:t>
                  </w:r>
                </w:p>
              </w:tc>
              <w:tc>
                <w:tcPr>
                  <w:tcW w:w="510" w:type="pct"/>
                  <w:noWrap w:val="0"/>
                  <w:vAlign w:val="center"/>
                </w:tcPr>
                <w:p>
                  <w:pPr>
                    <w:pStyle w:val="135"/>
                    <w:jc w:val="center"/>
                    <w:rPr>
                      <w:sz w:val="21"/>
                      <w:lang w:eastAsia="zh-CN"/>
                    </w:rPr>
                  </w:pPr>
                  <w:r>
                    <w:rPr>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continue"/>
                  <w:noWrap w:val="0"/>
                  <w:vAlign w:val="center"/>
                </w:tcPr>
                <w:p>
                  <w:pPr>
                    <w:pStyle w:val="135"/>
                    <w:jc w:val="center"/>
                    <w:rPr>
                      <w:sz w:val="21"/>
                      <w:lang w:eastAsia="zh-CN"/>
                    </w:rPr>
                  </w:pPr>
                </w:p>
              </w:tc>
              <w:tc>
                <w:tcPr>
                  <w:tcW w:w="2749" w:type="pct"/>
                  <w:noWrap w:val="0"/>
                  <w:vAlign w:val="center"/>
                </w:tcPr>
                <w:p>
                  <w:pPr>
                    <w:jc w:val="left"/>
                  </w:pPr>
                  <w:r>
                    <w:t>（十七）强化空间布局管控。……严格执行相关行业企业布局选址要求，禁止在居民区、学校、医疗和养老机构等周边新建有色金属冶炼、焦化等行业企业。</w:t>
                  </w:r>
                </w:p>
              </w:tc>
              <w:tc>
                <w:tcPr>
                  <w:tcW w:w="963" w:type="pct"/>
                  <w:noWrap w:val="0"/>
                  <w:vAlign w:val="center"/>
                </w:tcPr>
                <w:p>
                  <w:pPr>
                    <w:jc w:val="left"/>
                  </w:pPr>
                  <w:r>
                    <w:t>项目为加油</w:t>
                  </w:r>
                  <w:r>
                    <w:rPr>
                      <w:rFonts w:hint="eastAsia"/>
                    </w:rPr>
                    <w:t>加气</w:t>
                  </w:r>
                  <w:r>
                    <w:t>站项目，不属于禁止建设的有色金属冶炼、焦化等行业企业。</w:t>
                  </w:r>
                </w:p>
              </w:tc>
              <w:tc>
                <w:tcPr>
                  <w:tcW w:w="510" w:type="pct"/>
                  <w:noWrap w:val="0"/>
                  <w:vAlign w:val="center"/>
                </w:tcPr>
                <w:p>
                  <w:pPr>
                    <w:pStyle w:val="135"/>
                    <w:jc w:val="center"/>
                    <w:rPr>
                      <w:sz w:val="21"/>
                      <w:lang w:eastAsia="zh-CN"/>
                    </w:rPr>
                  </w:pPr>
                  <w:r>
                    <w:rPr>
                      <w:sz w:val="21"/>
                      <w:lang w:eastAsia="zh-CN"/>
                    </w:rPr>
                    <w:t>符合</w:t>
                  </w:r>
                </w:p>
              </w:tc>
            </w:tr>
          </w:tbl>
          <w:p>
            <w:pPr>
              <w:pStyle w:val="775"/>
              <w:adjustRightInd w:val="0"/>
              <w:snapToGrid w:val="0"/>
              <w:ind w:firstLineChars="0"/>
              <w:rPr>
                <w:b/>
                <w:bCs/>
              </w:rPr>
            </w:pPr>
            <w:r>
              <w:t>由上表可知，本项目符合《土壤污染防治行动计划》（国发〔2016〕31号）中相关要求。</w:t>
            </w:r>
          </w:p>
          <w:p>
            <w:pPr>
              <w:pStyle w:val="775"/>
              <w:adjustRightInd w:val="0"/>
              <w:snapToGrid w:val="0"/>
              <w:ind w:firstLineChars="0"/>
              <w:rPr>
                <w:b/>
                <w:bCs/>
              </w:rPr>
            </w:pPr>
            <w:r>
              <w:rPr>
                <w:rFonts w:hint="eastAsia"/>
                <w:b/>
                <w:bCs/>
              </w:rPr>
              <w:t>11、用地规划符合性</w:t>
            </w:r>
          </w:p>
          <w:p>
            <w:pPr>
              <w:pStyle w:val="775"/>
              <w:adjustRightInd w:val="0"/>
              <w:snapToGrid w:val="0"/>
              <w:ind w:firstLineChars="0"/>
            </w:pPr>
            <w:r>
              <w:rPr>
                <w:rFonts w:hint="eastAsia"/>
              </w:rPr>
              <w:t>本项目位于达州市通川区北外镇张家坝片区B</w:t>
            </w:r>
            <w:r>
              <w:t>03-05/02</w:t>
            </w:r>
            <w:r>
              <w:rPr>
                <w:rFonts w:hint="eastAsia"/>
              </w:rPr>
              <w:t>地块，根据达州市通川区自然资源局出具的《达州市张家坝片区B</w:t>
            </w:r>
            <w:r>
              <w:t>03-05/02</w:t>
            </w:r>
            <w:r>
              <w:rPr>
                <w:rFonts w:hint="eastAsia"/>
              </w:rPr>
              <w:t>地块规划条件》，明确该地块用地性质为B</w:t>
            </w:r>
            <w:r>
              <w:t>41</w:t>
            </w:r>
            <w:r>
              <w:rPr>
                <w:rFonts w:hint="eastAsia"/>
              </w:rPr>
              <w:t>（加油加气站用地）；用地用海分类为公用设施营业网点用地。同时要求配建充电桩停车位。</w:t>
            </w:r>
          </w:p>
          <w:p>
            <w:pPr>
              <w:pStyle w:val="775"/>
              <w:adjustRightInd w:val="0"/>
              <w:snapToGrid w:val="0"/>
              <w:ind w:firstLineChars="0"/>
            </w:pPr>
            <w:r>
              <w:rPr>
                <w:rFonts w:hint="eastAsia"/>
              </w:rPr>
              <w:t>本项目为加油加气站项目，用地性质满足规划要求，同时项目按照规划条件的要求配套建设汽车充电桩。同时，建设单位已取得产权证书（权证号：川（2022）达州市不动产权第0030362号）。</w:t>
            </w:r>
          </w:p>
          <w:p>
            <w:pPr>
              <w:pStyle w:val="775"/>
              <w:adjustRightInd w:val="0"/>
              <w:snapToGrid w:val="0"/>
              <w:ind w:firstLineChars="0"/>
              <w:rPr>
                <w:rFonts w:hint="eastAsia"/>
              </w:rPr>
            </w:pPr>
            <w:r>
              <w:rPr>
                <w:rFonts w:hint="eastAsia"/>
              </w:rPr>
              <w:t>综上所述，项目建设符合土地利用总体规划。</w:t>
            </w:r>
          </w:p>
          <w:p>
            <w:pPr>
              <w:pStyle w:val="775"/>
              <w:adjustRightInd w:val="0"/>
              <w:snapToGrid w:val="0"/>
              <w:ind w:firstLineChars="0"/>
              <w:rPr>
                <w:rFonts w:hint="eastAsia"/>
                <w:b/>
                <w:bCs/>
              </w:rPr>
            </w:pPr>
            <w:r>
              <w:rPr>
                <w:rFonts w:hint="eastAsia"/>
                <w:b/>
                <w:bCs/>
              </w:rPr>
              <w:t>12、外环境关系及选址合理性分析</w:t>
            </w:r>
          </w:p>
          <w:p>
            <w:pPr>
              <w:pStyle w:val="775"/>
              <w:adjustRightInd w:val="0"/>
              <w:snapToGrid w:val="0"/>
              <w:ind w:firstLineChars="0"/>
            </w:pPr>
            <w:r>
              <w:rPr>
                <w:rFonts w:hint="eastAsia"/>
              </w:rPr>
              <w:t>（1）外环境关系</w:t>
            </w:r>
          </w:p>
          <w:p>
            <w:pPr>
              <w:pStyle w:val="775"/>
              <w:adjustRightInd w:val="0"/>
              <w:snapToGrid w:val="0"/>
              <w:ind w:firstLineChars="0"/>
            </w:pPr>
            <w:r>
              <w:rPr>
                <w:rFonts w:hint="eastAsia"/>
              </w:rPr>
              <w:t>本项目位于达州市通川区北外镇张家坝，根据现场踏勘可知：</w:t>
            </w:r>
            <w:r>
              <w:t>本项目</w:t>
            </w:r>
            <w:r>
              <w:rPr>
                <w:rFonts w:hint="eastAsia"/>
              </w:rPr>
              <w:t>东侧50</w:t>
            </w:r>
            <w:r>
              <w:t>m</w:t>
            </w:r>
            <w:r>
              <w:rPr>
                <w:rFonts w:hint="eastAsia"/>
              </w:rPr>
              <w:t>处为达陕高速（G</w:t>
            </w:r>
            <w:r>
              <w:t>65</w:t>
            </w:r>
            <w:r>
              <w:rPr>
                <w:rFonts w:hint="eastAsia"/>
              </w:rPr>
              <w:t>），项目东侧及东北侧距离最近散居农户约106m；东南侧距离井湾散居农户最近距离为160</w:t>
            </w:r>
            <w:r>
              <w:t>m</w:t>
            </w:r>
            <w:r>
              <w:rPr>
                <w:rFonts w:hint="eastAsia"/>
              </w:rPr>
              <w:t>；南侧紧邻环岛路，路对面距离砂石加工厂约20</w:t>
            </w:r>
            <w:r>
              <w:t>m</w:t>
            </w:r>
            <w:r>
              <w:rPr>
                <w:rFonts w:hint="eastAsia"/>
              </w:rPr>
              <w:t>，距离明月江约75</w:t>
            </w:r>
            <w:r>
              <w:t>m</w:t>
            </w:r>
            <w:r>
              <w:rPr>
                <w:rFonts w:hint="eastAsia"/>
              </w:rPr>
              <w:t>；西侧距离张家坝安置小区约87</w:t>
            </w:r>
            <w:r>
              <w:t>m</w:t>
            </w:r>
            <w:r>
              <w:rPr>
                <w:rFonts w:hint="eastAsia"/>
              </w:rPr>
              <w:t>，距离犀牛大道300</w:t>
            </w:r>
            <w:r>
              <w:t>m</w:t>
            </w:r>
            <w:r>
              <w:rPr>
                <w:rFonts w:hint="eastAsia"/>
              </w:rPr>
              <w:t>，距离江湾城六期澜岸小区约360</w:t>
            </w:r>
            <w:r>
              <w:t>m</w:t>
            </w:r>
            <w:r>
              <w:rPr>
                <w:rFonts w:hint="eastAsia"/>
              </w:rPr>
              <w:t>，距离州河约760</w:t>
            </w:r>
            <w:r>
              <w:t>m</w:t>
            </w:r>
            <w:r>
              <w:rPr>
                <w:rFonts w:hint="eastAsia"/>
              </w:rPr>
              <w:t>；西北侧距离通川区第一小学江湾城分校约160</w:t>
            </w:r>
            <w:r>
              <w:t>m</w:t>
            </w:r>
            <w:r>
              <w:rPr>
                <w:rFonts w:hint="eastAsia"/>
              </w:rPr>
              <w:t>、距离江湾城七期约320</w:t>
            </w:r>
            <w:r>
              <w:t>m</w:t>
            </w:r>
            <w:r>
              <w:rPr>
                <w:rFonts w:hint="eastAsia"/>
              </w:rPr>
              <w:t>。</w:t>
            </w:r>
          </w:p>
          <w:p>
            <w:pPr>
              <w:pStyle w:val="775"/>
              <w:adjustRightInd w:val="0"/>
              <w:snapToGrid w:val="0"/>
              <w:ind w:firstLineChars="0"/>
              <w:rPr>
                <w:rFonts w:hint="eastAsia"/>
              </w:rPr>
            </w:pPr>
            <w:r>
              <w:rPr>
                <w:rFonts w:hint="eastAsia"/>
              </w:rPr>
              <w:t>项目外环境关系见表1-11，外环境关系图见附图2。</w:t>
            </w:r>
          </w:p>
          <w:p>
            <w:pPr>
              <w:pStyle w:val="775"/>
              <w:adjustRightInd w:val="0"/>
              <w:snapToGrid w:val="0"/>
              <w:spacing w:line="240" w:lineRule="auto"/>
              <w:ind w:firstLineChars="0"/>
              <w:jc w:val="center"/>
              <w:rPr>
                <w:rFonts w:hint="eastAsia"/>
                <w:b/>
                <w:bCs/>
                <w:sz w:val="21"/>
                <w:szCs w:val="21"/>
              </w:rPr>
            </w:pPr>
            <w:r>
              <w:rPr>
                <w:rFonts w:hint="eastAsia"/>
                <w:b/>
                <w:bCs/>
                <w:sz w:val="21"/>
                <w:szCs w:val="21"/>
              </w:rPr>
              <w:t>表1-11 项目外环境关系情况</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824"/>
              <w:gridCol w:w="3566"/>
              <w:gridCol w:w="1852"/>
              <w:gridCol w:w="1385"/>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b/>
                      <w:bCs/>
                      <w:sz w:val="21"/>
                      <w:szCs w:val="21"/>
                    </w:rPr>
                  </w:pPr>
                  <w:r>
                    <w:rPr>
                      <w:rFonts w:hint="eastAsia"/>
                      <w:b/>
                      <w:bCs/>
                      <w:sz w:val="21"/>
                      <w:szCs w:val="21"/>
                    </w:rPr>
                    <w:t>序号</w:t>
                  </w:r>
                </w:p>
              </w:tc>
              <w:tc>
                <w:tcPr>
                  <w:tcW w:w="2018" w:type="pct"/>
                  <w:shd w:val="clear" w:color="auto" w:fill="FFFFFF"/>
                  <w:noWrap w:val="0"/>
                  <w:vAlign w:val="center"/>
                </w:tcPr>
                <w:p>
                  <w:pPr>
                    <w:pStyle w:val="775"/>
                    <w:adjustRightInd w:val="0"/>
                    <w:snapToGrid w:val="0"/>
                    <w:spacing w:line="240" w:lineRule="auto"/>
                    <w:ind w:firstLine="0" w:firstLineChars="0"/>
                    <w:jc w:val="center"/>
                    <w:rPr>
                      <w:b/>
                      <w:bCs/>
                      <w:sz w:val="21"/>
                      <w:szCs w:val="21"/>
                    </w:rPr>
                  </w:pPr>
                  <w:r>
                    <w:rPr>
                      <w:rFonts w:hint="eastAsia"/>
                      <w:b/>
                      <w:bCs/>
                      <w:sz w:val="21"/>
                      <w:szCs w:val="21"/>
                    </w:rPr>
                    <w:t>名称</w:t>
                  </w:r>
                </w:p>
              </w:tc>
              <w:tc>
                <w:tcPr>
                  <w:tcW w:w="1048" w:type="pct"/>
                  <w:shd w:val="clear" w:color="auto" w:fill="FFFFFF"/>
                  <w:noWrap w:val="0"/>
                  <w:vAlign w:val="center"/>
                </w:tcPr>
                <w:p>
                  <w:pPr>
                    <w:pStyle w:val="775"/>
                    <w:adjustRightInd w:val="0"/>
                    <w:snapToGrid w:val="0"/>
                    <w:spacing w:line="240" w:lineRule="auto"/>
                    <w:ind w:firstLine="0" w:firstLineChars="0"/>
                    <w:jc w:val="center"/>
                    <w:rPr>
                      <w:b/>
                      <w:bCs/>
                      <w:sz w:val="21"/>
                      <w:szCs w:val="21"/>
                    </w:rPr>
                  </w:pPr>
                  <w:r>
                    <w:rPr>
                      <w:rFonts w:hint="eastAsia"/>
                      <w:b/>
                      <w:bCs/>
                      <w:sz w:val="21"/>
                      <w:szCs w:val="21"/>
                    </w:rPr>
                    <w:t>位置</w:t>
                  </w:r>
                </w:p>
              </w:tc>
              <w:tc>
                <w:tcPr>
                  <w:tcW w:w="784" w:type="pct"/>
                  <w:shd w:val="clear" w:color="auto" w:fill="FFFFFF"/>
                  <w:noWrap w:val="0"/>
                  <w:vAlign w:val="center"/>
                </w:tcPr>
                <w:p>
                  <w:pPr>
                    <w:pStyle w:val="775"/>
                    <w:adjustRightInd w:val="0"/>
                    <w:snapToGrid w:val="0"/>
                    <w:spacing w:line="240" w:lineRule="auto"/>
                    <w:ind w:firstLine="0" w:firstLineChars="0"/>
                    <w:jc w:val="center"/>
                    <w:rPr>
                      <w:b/>
                      <w:bCs/>
                      <w:sz w:val="21"/>
                      <w:szCs w:val="21"/>
                    </w:rPr>
                  </w:pPr>
                  <w:r>
                    <w:rPr>
                      <w:rFonts w:hint="eastAsia"/>
                      <w:b/>
                      <w:bCs/>
                      <w:sz w:val="21"/>
                      <w:szCs w:val="21"/>
                    </w:rPr>
                    <w:t>最近距离</w:t>
                  </w:r>
                </w:p>
                <w:p>
                  <w:pPr>
                    <w:pStyle w:val="775"/>
                    <w:adjustRightInd w:val="0"/>
                    <w:snapToGrid w:val="0"/>
                    <w:spacing w:line="240" w:lineRule="auto"/>
                    <w:ind w:firstLine="0" w:firstLineChars="0"/>
                    <w:jc w:val="center"/>
                    <w:rPr>
                      <w:b/>
                      <w:bCs/>
                      <w:sz w:val="21"/>
                      <w:szCs w:val="21"/>
                    </w:rPr>
                  </w:pPr>
                  <w:r>
                    <w:rPr>
                      <w:b/>
                      <w:bCs/>
                      <w:sz w:val="21"/>
                      <w:szCs w:val="21"/>
                    </w:rPr>
                    <w:t>(</w:t>
                  </w:r>
                  <w:r>
                    <w:rPr>
                      <w:rFonts w:hint="eastAsia"/>
                      <w:b/>
                      <w:bCs/>
                      <w:sz w:val="21"/>
                      <w:szCs w:val="21"/>
                    </w:rPr>
                    <w:t>单位</w:t>
                  </w:r>
                  <w:r>
                    <w:rPr>
                      <w:b/>
                      <w:bCs/>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b/>
                      <w:bCs/>
                      <w:sz w:val="21"/>
                      <w:szCs w:val="21"/>
                    </w:rPr>
                  </w:pPr>
                  <w:r>
                    <w:rPr>
                      <w:rFonts w:hint="eastAsia"/>
                      <w:b/>
                      <w:bCs/>
                      <w:sz w:val="21"/>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sz w:val="21"/>
                      <w:szCs w:val="21"/>
                    </w:rPr>
                    <w:t>1</w:t>
                  </w:r>
                </w:p>
              </w:tc>
              <w:tc>
                <w:tcPr>
                  <w:tcW w:w="2018"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达陕高速G</w:t>
                  </w:r>
                  <w:r>
                    <w:rPr>
                      <w:sz w:val="21"/>
                      <w:szCs w:val="21"/>
                    </w:rPr>
                    <w:t>65</w:t>
                  </w:r>
                </w:p>
              </w:tc>
              <w:tc>
                <w:tcPr>
                  <w:tcW w:w="1048"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项目东侧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50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高速公路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2</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散居农户</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项目东侧及东北面</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106</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3</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井湾散居农户</w:t>
                  </w:r>
                </w:p>
              </w:tc>
              <w:tc>
                <w:tcPr>
                  <w:tcW w:w="1048"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项目东南侧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160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4</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环岛路</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紧邻</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5</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砂石加工厂</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20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6</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明月江</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75</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7</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张家坝安置小区</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87</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8</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犀牛大道</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300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9</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江湾城六期澜岸小区</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360m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1</w:t>
                  </w:r>
                  <w:r>
                    <w:rPr>
                      <w:sz w:val="21"/>
                      <w:szCs w:val="21"/>
                    </w:rPr>
                    <w:t>0</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州河</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760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河流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1</w:t>
                  </w:r>
                  <w:r>
                    <w:rPr>
                      <w:sz w:val="21"/>
                      <w:szCs w:val="21"/>
                    </w:rPr>
                    <w:t>1</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通川区第一小学江湾城分校</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160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12</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青杠垭路</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300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shd w:val="clear" w:color="auto" w:fill="FFFFFF"/>
                  <w:noWrap w:val="0"/>
                  <w:vAlign w:val="center"/>
                </w:tcPr>
                <w:p>
                  <w:pPr>
                    <w:pStyle w:val="775"/>
                    <w:adjustRightInd w:val="0"/>
                    <w:snapToGrid w:val="0"/>
                    <w:spacing w:line="240" w:lineRule="auto"/>
                    <w:ind w:firstLine="0" w:firstLineChars="0"/>
                    <w:jc w:val="center"/>
                    <w:rPr>
                      <w:sz w:val="21"/>
                      <w:szCs w:val="21"/>
                    </w:rPr>
                  </w:pPr>
                  <w:r>
                    <w:rPr>
                      <w:rFonts w:hint="eastAsia"/>
                      <w:sz w:val="21"/>
                      <w:szCs w:val="21"/>
                    </w:rPr>
                    <w:t>13</w:t>
                  </w:r>
                </w:p>
              </w:tc>
              <w:tc>
                <w:tcPr>
                  <w:tcW w:w="201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江湾城七期</w:t>
                  </w:r>
                </w:p>
              </w:tc>
              <w:tc>
                <w:tcPr>
                  <w:tcW w:w="1048"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西北侧</w:t>
                  </w:r>
                </w:p>
              </w:tc>
              <w:tc>
                <w:tcPr>
                  <w:tcW w:w="784"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3</w:t>
                  </w:r>
                  <w:r>
                    <w:rPr>
                      <w:sz w:val="21"/>
                      <w:szCs w:val="21"/>
                    </w:rPr>
                    <w:t>2</w:t>
                  </w:r>
                  <w:r>
                    <w:rPr>
                      <w:rFonts w:hint="eastAsia"/>
                      <w:sz w:val="21"/>
                      <w:szCs w:val="21"/>
                    </w:rPr>
                    <w:t>0</w:t>
                  </w:r>
                  <w:r>
                    <w:rPr>
                      <w:sz w:val="21"/>
                      <w:szCs w:val="21"/>
                    </w:rPr>
                    <w:t>m</w:t>
                  </w:r>
                </w:p>
              </w:tc>
              <w:tc>
                <w:tcPr>
                  <w:tcW w:w="683" w:type="pct"/>
                  <w:shd w:val="clear" w:color="auto" w:fill="FFFFFF"/>
                  <w:noWrap w:val="0"/>
                  <w:vAlign w:val="center"/>
                </w:tcPr>
                <w:p>
                  <w:pPr>
                    <w:pStyle w:val="775"/>
                    <w:adjustRightInd w:val="0"/>
                    <w:snapToGrid w:val="0"/>
                    <w:spacing w:line="240" w:lineRule="auto"/>
                    <w:ind w:firstLine="0" w:firstLineChars="0"/>
                    <w:jc w:val="center"/>
                    <w:rPr>
                      <w:rFonts w:hint="eastAsia"/>
                      <w:sz w:val="21"/>
                      <w:szCs w:val="21"/>
                    </w:rPr>
                  </w:pPr>
                  <w:r>
                    <w:rPr>
                      <w:rFonts w:hint="eastAsia"/>
                      <w:sz w:val="21"/>
                      <w:szCs w:val="21"/>
                    </w:rPr>
                    <w:t>居民区</w:t>
                  </w:r>
                </w:p>
              </w:tc>
            </w:tr>
          </w:tbl>
          <w:p>
            <w:pPr>
              <w:spacing w:line="360" w:lineRule="auto"/>
              <w:ind w:firstLine="480" w:firstLineChars="200"/>
              <w:rPr>
                <w:rFonts w:hint="eastAsia"/>
                <w:sz w:val="24"/>
              </w:rPr>
            </w:pPr>
            <w:r>
              <w:rPr>
                <w:rFonts w:hint="eastAsia"/>
                <w:sz w:val="24"/>
              </w:rPr>
              <w:t>（2）选址合理性分析</w:t>
            </w:r>
          </w:p>
          <w:p>
            <w:pPr>
              <w:spacing w:line="360" w:lineRule="auto"/>
              <w:ind w:firstLine="482" w:firstLineChars="200"/>
              <w:rPr>
                <w:b/>
                <w:bCs/>
                <w:sz w:val="24"/>
              </w:rPr>
            </w:pPr>
            <w:r>
              <w:rPr>
                <w:rFonts w:hint="eastAsia"/>
                <w:b/>
                <w:bCs/>
                <w:sz w:val="24"/>
              </w:rPr>
              <w:t>1）</w:t>
            </w:r>
            <w:r>
              <w:rPr>
                <w:b/>
                <w:bCs/>
                <w:sz w:val="24"/>
              </w:rPr>
              <w:t>加油加气站等级划分</w:t>
            </w:r>
          </w:p>
          <w:p>
            <w:pPr>
              <w:spacing w:line="360" w:lineRule="auto"/>
              <w:ind w:firstLine="480" w:firstLineChars="200"/>
              <w:rPr>
                <w:sz w:val="24"/>
              </w:rPr>
            </w:pPr>
            <w:r>
              <w:rPr>
                <w:sz w:val="24"/>
              </w:rPr>
              <w:t>该加油加气站本次新建完成投运后，站内油罐区设置</w:t>
            </w:r>
            <w:r>
              <w:rPr>
                <w:rFonts w:hint="eastAsia"/>
                <w:sz w:val="24"/>
              </w:rPr>
              <w:t>3个储油罐，其中2个</w:t>
            </w:r>
            <w:r>
              <w:rPr>
                <w:sz w:val="24"/>
              </w:rPr>
              <w:t>30m</w:t>
            </w:r>
            <w:r>
              <w:rPr>
                <w:sz w:val="24"/>
                <w:vertAlign w:val="superscript"/>
              </w:rPr>
              <w:t>3</w:t>
            </w:r>
            <w:r>
              <w:rPr>
                <w:sz w:val="24"/>
              </w:rPr>
              <w:t>储油罐</w:t>
            </w:r>
            <w:r>
              <w:rPr>
                <w:rFonts w:hint="eastAsia"/>
                <w:sz w:val="24"/>
              </w:rPr>
              <w:t>（</w:t>
            </w:r>
            <w:r>
              <w:rPr>
                <w:sz w:val="24"/>
              </w:rPr>
              <w:t>92#、95#汽油各1座</w:t>
            </w:r>
            <w:r>
              <w:rPr>
                <w:rFonts w:hint="eastAsia"/>
                <w:sz w:val="24"/>
              </w:rPr>
              <w:t>），1个50m</w:t>
            </w:r>
            <w:r>
              <w:rPr>
                <w:rFonts w:hint="eastAsia"/>
                <w:sz w:val="24"/>
                <w:vertAlign w:val="superscript"/>
              </w:rPr>
              <w:t>3</w:t>
            </w:r>
            <w:r>
              <w:rPr>
                <w:rFonts w:hint="eastAsia"/>
                <w:sz w:val="24"/>
              </w:rPr>
              <w:t>的储油罐（0#柴油），项目储油罐</w:t>
            </w:r>
            <w:r>
              <w:rPr>
                <w:sz w:val="24"/>
              </w:rPr>
              <w:t>均采用玻璃纤维增强塑料双层油罐</w:t>
            </w:r>
            <w:r>
              <w:rPr>
                <w:rFonts w:hint="eastAsia"/>
                <w:sz w:val="24"/>
              </w:rPr>
              <w:t>（</w:t>
            </w:r>
            <w:r>
              <w:rPr>
                <w:sz w:val="24"/>
              </w:rPr>
              <w:t>FF罐</w:t>
            </w:r>
            <w:r>
              <w:rPr>
                <w:rFonts w:hint="eastAsia"/>
                <w:sz w:val="24"/>
              </w:rPr>
              <w:t>）</w:t>
            </w:r>
            <w:r>
              <w:rPr>
                <w:sz w:val="24"/>
              </w:rPr>
              <w:t>；设60m</w:t>
            </w:r>
            <w:r>
              <w:rPr>
                <w:sz w:val="24"/>
                <w:vertAlign w:val="superscript"/>
              </w:rPr>
              <w:t>3</w:t>
            </w:r>
            <w:r>
              <w:rPr>
                <w:sz w:val="24"/>
              </w:rPr>
              <w:t>LNG储罐1座，采用钢制卧式储罐。按照《汽车加油加气加氢站技术标准》</w:t>
            </w:r>
            <w:r>
              <w:rPr>
                <w:rFonts w:hint="eastAsia"/>
                <w:sz w:val="24"/>
              </w:rPr>
              <w:t>（</w:t>
            </w:r>
            <w:r>
              <w:rPr>
                <w:sz w:val="24"/>
              </w:rPr>
              <w:t>GB50156-2021</w:t>
            </w:r>
            <w:r>
              <w:rPr>
                <w:rFonts w:hint="eastAsia"/>
                <w:sz w:val="24"/>
              </w:rPr>
              <w:t>）</w:t>
            </w:r>
            <w:r>
              <w:rPr>
                <w:sz w:val="24"/>
              </w:rPr>
              <w:t>第3.0.16条加油与LNG 加气合建站等级划分的规定，本项目属于二级加油与LNG 合建站。</w:t>
            </w:r>
          </w:p>
          <w:p>
            <w:pPr>
              <w:pStyle w:val="775"/>
              <w:adjustRightInd w:val="0"/>
              <w:snapToGrid w:val="0"/>
              <w:spacing w:line="240" w:lineRule="auto"/>
              <w:ind w:firstLineChars="0"/>
              <w:jc w:val="center"/>
              <w:rPr>
                <w:b/>
                <w:bCs/>
                <w:sz w:val="21"/>
                <w:szCs w:val="21"/>
              </w:rPr>
            </w:pPr>
            <w:r>
              <w:rPr>
                <w:b/>
                <w:bCs/>
                <w:sz w:val="21"/>
                <w:szCs w:val="21"/>
              </w:rPr>
              <w:t>表</w:t>
            </w:r>
            <w:r>
              <w:rPr>
                <w:rFonts w:hint="eastAsia"/>
                <w:b/>
                <w:bCs/>
                <w:sz w:val="21"/>
                <w:szCs w:val="21"/>
              </w:rPr>
              <w:t>1-12</w:t>
            </w:r>
            <w:r>
              <w:rPr>
                <w:b/>
                <w:bCs/>
                <w:sz w:val="21"/>
                <w:szCs w:val="21"/>
              </w:rPr>
              <w:t xml:space="preserve"> 加油与 LNG 加气合建站的等级划分</w:t>
            </w:r>
          </w:p>
          <w:tbl>
            <w:tblPr>
              <w:tblStyle w:val="70"/>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22"/>
              <w:gridCol w:w="6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noWrap w:val="0"/>
                  <w:vAlign w:val="center"/>
                </w:tcPr>
                <w:p>
                  <w:pPr>
                    <w:ind w:left="673"/>
                    <w:rPr>
                      <w:szCs w:val="21"/>
                    </w:rPr>
                  </w:pPr>
                  <w:r>
                    <w:rPr>
                      <w:spacing w:val="8"/>
                      <w:szCs w:val="21"/>
                    </w:rPr>
                    <w:t>合建站等</w:t>
                  </w:r>
                  <w:r>
                    <w:rPr>
                      <w:spacing w:val="7"/>
                      <w:szCs w:val="21"/>
                    </w:rPr>
                    <w:t>级</w:t>
                  </w:r>
                </w:p>
              </w:tc>
              <w:tc>
                <w:tcPr>
                  <w:tcW w:w="3743" w:type="pct"/>
                  <w:noWrap w:val="0"/>
                  <w:vAlign w:val="center"/>
                </w:tcPr>
                <w:p>
                  <w:pPr>
                    <w:ind w:left="1674"/>
                    <w:rPr>
                      <w:szCs w:val="21"/>
                    </w:rPr>
                  </w:pPr>
                  <w:r>
                    <w:rPr>
                      <w:spacing w:val="2"/>
                      <w:szCs w:val="21"/>
                    </w:rPr>
                    <w:t xml:space="preserve">油罐与 </w:t>
                  </w:r>
                  <w:r>
                    <w:rPr>
                      <w:szCs w:val="21"/>
                    </w:rPr>
                    <w:t>LNG</w:t>
                  </w:r>
                  <w:r>
                    <w:rPr>
                      <w:spacing w:val="2"/>
                      <w:szCs w:val="21"/>
                    </w:rPr>
                    <w:t xml:space="preserve"> 储罐总容积计算公式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noWrap w:val="0"/>
                  <w:vAlign w:val="center"/>
                </w:tcPr>
                <w:p>
                  <w:pPr>
                    <w:ind w:left="990"/>
                    <w:rPr>
                      <w:szCs w:val="21"/>
                    </w:rPr>
                  </w:pPr>
                  <w:r>
                    <w:rPr>
                      <w:spacing w:val="4"/>
                      <w:szCs w:val="21"/>
                    </w:rPr>
                    <w:t>一级</w:t>
                  </w:r>
                </w:p>
              </w:tc>
              <w:tc>
                <w:tcPr>
                  <w:tcW w:w="3743" w:type="pct"/>
                  <w:noWrap w:val="0"/>
                  <w:vAlign w:val="center"/>
                </w:tcPr>
                <w:p>
                  <w:pPr>
                    <w:ind w:left="2244"/>
                    <w:rPr>
                      <w:szCs w:val="21"/>
                    </w:rPr>
                  </w:pPr>
                  <w:r>
                    <w:rPr>
                      <w:szCs w:val="21"/>
                    </w:rPr>
                    <w:t>V</w:t>
                  </w:r>
                  <w:r>
                    <w:rPr>
                      <w:rFonts w:hint="eastAsia"/>
                      <w:position w:val="-2"/>
                      <w:szCs w:val="21"/>
                      <w:vertAlign w:val="subscript"/>
                    </w:rPr>
                    <w:t>O</w:t>
                  </w:r>
                  <w:r>
                    <w:rPr>
                      <w:spacing w:val="9"/>
                      <w:position w:val="-2"/>
                      <w:szCs w:val="21"/>
                      <w:vertAlign w:val="subscript"/>
                    </w:rPr>
                    <w:t>1</w:t>
                  </w:r>
                  <w:r>
                    <w:rPr>
                      <w:spacing w:val="6"/>
                      <w:szCs w:val="21"/>
                    </w:rPr>
                    <w:t>/240+</w:t>
                  </w:r>
                  <w:r>
                    <w:rPr>
                      <w:szCs w:val="21"/>
                    </w:rPr>
                    <w:t>V</w:t>
                  </w:r>
                  <w:r>
                    <w:rPr>
                      <w:position w:val="-2"/>
                      <w:szCs w:val="21"/>
                      <w:vertAlign w:val="subscript"/>
                    </w:rPr>
                    <w:t>LNG</w:t>
                  </w:r>
                  <w:r>
                    <w:rPr>
                      <w:spacing w:val="6"/>
                      <w:position w:val="-2"/>
                      <w:szCs w:val="21"/>
                      <w:vertAlign w:val="subscript"/>
                    </w:rPr>
                    <w:t>1</w:t>
                  </w:r>
                  <w:r>
                    <w:rPr>
                      <w:spacing w:val="6"/>
                      <w:szCs w:val="21"/>
                    </w:rPr>
                    <w:t>/180</w:t>
                  </w:r>
                  <w:r>
                    <w:rPr>
                      <w:rFonts w:hint="eastAsia" w:ascii="宋体" w:hAnsi="宋体" w:cs="宋体"/>
                      <w:spacing w:val="6"/>
                      <w:szCs w:val="21"/>
                    </w:rPr>
                    <w:t>≦</w:t>
                  </w:r>
                  <w:r>
                    <w:rPr>
                      <w:spacing w:val="6"/>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noWrap w:val="0"/>
                  <w:vAlign w:val="center"/>
                </w:tcPr>
                <w:p>
                  <w:pPr>
                    <w:ind w:left="990"/>
                    <w:rPr>
                      <w:szCs w:val="21"/>
                    </w:rPr>
                  </w:pPr>
                  <w:r>
                    <w:rPr>
                      <w:spacing w:val="3"/>
                      <w:szCs w:val="21"/>
                    </w:rPr>
                    <w:t>二级</w:t>
                  </w:r>
                </w:p>
              </w:tc>
              <w:tc>
                <w:tcPr>
                  <w:tcW w:w="3743" w:type="pct"/>
                  <w:noWrap w:val="0"/>
                  <w:vAlign w:val="center"/>
                </w:tcPr>
                <w:p>
                  <w:pPr>
                    <w:ind w:left="2244"/>
                    <w:rPr>
                      <w:szCs w:val="21"/>
                    </w:rPr>
                  </w:pPr>
                  <w:r>
                    <w:rPr>
                      <w:szCs w:val="21"/>
                    </w:rPr>
                    <w:t>V</w:t>
                  </w:r>
                  <w:r>
                    <w:rPr>
                      <w:position w:val="-2"/>
                      <w:szCs w:val="21"/>
                      <w:vertAlign w:val="subscript"/>
                    </w:rPr>
                    <w:t>O</w:t>
                  </w:r>
                  <w:r>
                    <w:rPr>
                      <w:spacing w:val="9"/>
                      <w:position w:val="-2"/>
                      <w:szCs w:val="21"/>
                      <w:vertAlign w:val="subscript"/>
                    </w:rPr>
                    <w:t>2</w:t>
                  </w:r>
                  <w:r>
                    <w:rPr>
                      <w:spacing w:val="6"/>
                      <w:szCs w:val="21"/>
                    </w:rPr>
                    <w:t>/180+</w:t>
                  </w:r>
                  <w:r>
                    <w:rPr>
                      <w:szCs w:val="21"/>
                    </w:rPr>
                    <w:t>V</w:t>
                  </w:r>
                  <w:r>
                    <w:rPr>
                      <w:position w:val="-2"/>
                      <w:szCs w:val="21"/>
                      <w:vertAlign w:val="subscript"/>
                    </w:rPr>
                    <w:t>LNG</w:t>
                  </w:r>
                  <w:r>
                    <w:rPr>
                      <w:spacing w:val="6"/>
                      <w:position w:val="-2"/>
                      <w:szCs w:val="21"/>
                      <w:vertAlign w:val="subscript"/>
                    </w:rPr>
                    <w:t>2</w:t>
                  </w:r>
                  <w:r>
                    <w:rPr>
                      <w:spacing w:val="6"/>
                      <w:szCs w:val="21"/>
                    </w:rPr>
                    <w:t>/120</w:t>
                  </w:r>
                  <w:r>
                    <w:rPr>
                      <w:rFonts w:hint="eastAsia" w:ascii="宋体" w:hAnsi="宋体" w:cs="宋体"/>
                      <w:spacing w:val="6"/>
                      <w:szCs w:val="21"/>
                    </w:rPr>
                    <w:t>≦</w:t>
                  </w:r>
                  <w:r>
                    <w:rPr>
                      <w:spacing w:val="6"/>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noWrap w:val="0"/>
                  <w:vAlign w:val="center"/>
                </w:tcPr>
                <w:p>
                  <w:pPr>
                    <w:ind w:left="987"/>
                    <w:rPr>
                      <w:szCs w:val="21"/>
                    </w:rPr>
                  </w:pPr>
                  <w:r>
                    <w:rPr>
                      <w:spacing w:val="5"/>
                      <w:szCs w:val="21"/>
                    </w:rPr>
                    <w:t>三</w:t>
                  </w:r>
                  <w:r>
                    <w:rPr>
                      <w:spacing w:val="4"/>
                      <w:szCs w:val="21"/>
                    </w:rPr>
                    <w:t>级</w:t>
                  </w:r>
                </w:p>
              </w:tc>
              <w:tc>
                <w:tcPr>
                  <w:tcW w:w="3743" w:type="pct"/>
                  <w:noWrap w:val="0"/>
                  <w:vAlign w:val="center"/>
                </w:tcPr>
                <w:p>
                  <w:pPr>
                    <w:ind w:left="2297"/>
                    <w:rPr>
                      <w:szCs w:val="21"/>
                    </w:rPr>
                  </w:pPr>
                  <w:r>
                    <w:rPr>
                      <w:szCs w:val="21"/>
                    </w:rPr>
                    <w:t>V</w:t>
                  </w:r>
                  <w:r>
                    <w:rPr>
                      <w:position w:val="-2"/>
                      <w:szCs w:val="21"/>
                      <w:vertAlign w:val="subscript"/>
                    </w:rPr>
                    <w:t>O</w:t>
                  </w:r>
                  <w:r>
                    <w:rPr>
                      <w:spacing w:val="9"/>
                      <w:position w:val="-2"/>
                      <w:szCs w:val="21"/>
                      <w:vertAlign w:val="subscript"/>
                    </w:rPr>
                    <w:t>3</w:t>
                  </w:r>
                  <w:r>
                    <w:rPr>
                      <w:spacing w:val="6"/>
                      <w:szCs w:val="21"/>
                    </w:rPr>
                    <w:t>/120+</w:t>
                  </w:r>
                  <w:r>
                    <w:rPr>
                      <w:szCs w:val="21"/>
                    </w:rPr>
                    <w:t>V</w:t>
                  </w:r>
                  <w:r>
                    <w:rPr>
                      <w:position w:val="-2"/>
                      <w:szCs w:val="21"/>
                      <w:vertAlign w:val="subscript"/>
                    </w:rPr>
                    <w:t>LNG</w:t>
                  </w:r>
                  <w:r>
                    <w:rPr>
                      <w:spacing w:val="6"/>
                      <w:position w:val="-2"/>
                      <w:szCs w:val="21"/>
                      <w:vertAlign w:val="subscript"/>
                    </w:rPr>
                    <w:t>3</w:t>
                  </w:r>
                  <w:r>
                    <w:rPr>
                      <w:spacing w:val="6"/>
                      <w:szCs w:val="21"/>
                    </w:rPr>
                    <w:t>/60</w:t>
                  </w:r>
                  <w:r>
                    <w:rPr>
                      <w:rFonts w:hint="eastAsia" w:ascii="宋体" w:hAnsi="宋体" w:cs="宋体"/>
                      <w:spacing w:val="6"/>
                      <w:szCs w:val="21"/>
                    </w:rPr>
                    <w:t>≦</w:t>
                  </w:r>
                  <w:r>
                    <w:rPr>
                      <w:spacing w:val="6"/>
                      <w:szCs w:val="21"/>
                    </w:rPr>
                    <w:t>1</w:t>
                  </w:r>
                </w:p>
              </w:tc>
            </w:tr>
          </w:tbl>
          <w:p>
            <w:pPr>
              <w:spacing w:line="360" w:lineRule="auto"/>
              <w:ind w:firstLine="422" w:firstLineChars="200"/>
              <w:rPr>
                <w:b/>
                <w:bCs/>
                <w:spacing w:val="9"/>
                <w:position w:val="-2"/>
                <w:szCs w:val="21"/>
              </w:rPr>
            </w:pPr>
            <w:r>
              <w:rPr>
                <w:b/>
                <w:bCs/>
                <w:szCs w:val="21"/>
              </w:rPr>
              <w:t>注：</w:t>
            </w:r>
            <w:r>
              <w:rPr>
                <w:rFonts w:hint="eastAsia"/>
                <w:b/>
                <w:bCs/>
                <w:szCs w:val="21"/>
              </w:rPr>
              <w:t>1、</w:t>
            </w:r>
            <w:r>
              <w:rPr>
                <w:b/>
                <w:bCs/>
                <w:szCs w:val="21"/>
              </w:rPr>
              <w:t>V</w:t>
            </w:r>
            <w:r>
              <w:rPr>
                <w:rFonts w:hint="eastAsia"/>
                <w:b/>
                <w:bCs/>
                <w:position w:val="-2"/>
                <w:szCs w:val="21"/>
                <w:vertAlign w:val="subscript"/>
              </w:rPr>
              <w:t>O</w:t>
            </w:r>
            <w:r>
              <w:rPr>
                <w:b/>
                <w:bCs/>
                <w:spacing w:val="9"/>
                <w:position w:val="-2"/>
                <w:szCs w:val="21"/>
                <w:vertAlign w:val="subscript"/>
              </w:rPr>
              <w:t>1</w:t>
            </w:r>
            <w:r>
              <w:rPr>
                <w:rFonts w:hint="eastAsia"/>
                <w:b/>
                <w:bCs/>
                <w:spacing w:val="9"/>
                <w:position w:val="-2"/>
                <w:szCs w:val="21"/>
              </w:rPr>
              <w:t>、</w:t>
            </w:r>
            <w:r>
              <w:rPr>
                <w:b/>
                <w:bCs/>
                <w:szCs w:val="21"/>
              </w:rPr>
              <w:t>V</w:t>
            </w:r>
            <w:r>
              <w:rPr>
                <w:b/>
                <w:bCs/>
                <w:position w:val="-2"/>
                <w:szCs w:val="21"/>
                <w:vertAlign w:val="subscript"/>
              </w:rPr>
              <w:t>O</w:t>
            </w:r>
            <w:r>
              <w:rPr>
                <w:b/>
                <w:bCs/>
                <w:spacing w:val="9"/>
                <w:position w:val="-2"/>
                <w:szCs w:val="21"/>
                <w:vertAlign w:val="subscript"/>
              </w:rPr>
              <w:t>2</w:t>
            </w:r>
            <w:r>
              <w:rPr>
                <w:rFonts w:hint="eastAsia"/>
                <w:b/>
                <w:bCs/>
                <w:spacing w:val="9"/>
                <w:position w:val="-2"/>
                <w:szCs w:val="21"/>
              </w:rPr>
              <w:t>、</w:t>
            </w:r>
            <w:r>
              <w:rPr>
                <w:b/>
                <w:bCs/>
                <w:szCs w:val="21"/>
              </w:rPr>
              <w:t>V</w:t>
            </w:r>
            <w:r>
              <w:rPr>
                <w:b/>
                <w:bCs/>
                <w:position w:val="-2"/>
                <w:szCs w:val="21"/>
                <w:vertAlign w:val="subscript"/>
              </w:rPr>
              <w:t>O</w:t>
            </w:r>
            <w:r>
              <w:rPr>
                <w:b/>
                <w:bCs/>
                <w:spacing w:val="9"/>
                <w:position w:val="-2"/>
                <w:szCs w:val="21"/>
                <w:vertAlign w:val="subscript"/>
              </w:rPr>
              <w:t>3</w:t>
            </w:r>
            <w:r>
              <w:rPr>
                <w:rFonts w:hint="eastAsia"/>
                <w:b/>
                <w:bCs/>
                <w:spacing w:val="9"/>
                <w:position w:val="-2"/>
                <w:szCs w:val="21"/>
              </w:rPr>
              <w:t>分别为一、二、三级合建站中油品储罐总容积（m</w:t>
            </w:r>
            <w:r>
              <w:rPr>
                <w:b/>
                <w:bCs/>
                <w:spacing w:val="9"/>
                <w:position w:val="-2"/>
                <w:szCs w:val="21"/>
                <w:vertAlign w:val="superscript"/>
              </w:rPr>
              <w:t>3</w:t>
            </w:r>
            <w:r>
              <w:rPr>
                <w:rFonts w:hint="eastAsia"/>
                <w:b/>
                <w:bCs/>
                <w:spacing w:val="9"/>
                <w:position w:val="-2"/>
                <w:szCs w:val="21"/>
              </w:rPr>
              <w:t>）；</w:t>
            </w:r>
            <w:r>
              <w:rPr>
                <w:b/>
                <w:bCs/>
                <w:szCs w:val="21"/>
              </w:rPr>
              <w:t>V</w:t>
            </w:r>
            <w:r>
              <w:rPr>
                <w:b/>
                <w:bCs/>
                <w:position w:val="-2"/>
                <w:szCs w:val="21"/>
                <w:vertAlign w:val="subscript"/>
              </w:rPr>
              <w:t>LNG</w:t>
            </w:r>
            <w:r>
              <w:rPr>
                <w:b/>
                <w:bCs/>
                <w:spacing w:val="6"/>
                <w:position w:val="-2"/>
                <w:szCs w:val="21"/>
                <w:vertAlign w:val="subscript"/>
              </w:rPr>
              <w:t>1</w:t>
            </w:r>
            <w:r>
              <w:rPr>
                <w:rFonts w:hint="eastAsia"/>
                <w:b/>
                <w:bCs/>
                <w:spacing w:val="6"/>
                <w:position w:val="-2"/>
                <w:szCs w:val="21"/>
              </w:rPr>
              <w:t>、</w:t>
            </w:r>
            <w:r>
              <w:rPr>
                <w:b/>
                <w:bCs/>
                <w:szCs w:val="21"/>
              </w:rPr>
              <w:t>V</w:t>
            </w:r>
            <w:r>
              <w:rPr>
                <w:b/>
                <w:bCs/>
                <w:position w:val="-2"/>
                <w:szCs w:val="21"/>
                <w:vertAlign w:val="subscript"/>
              </w:rPr>
              <w:t>LNG</w:t>
            </w:r>
            <w:r>
              <w:rPr>
                <w:rFonts w:hint="eastAsia"/>
                <w:b/>
                <w:bCs/>
                <w:spacing w:val="6"/>
                <w:position w:val="-2"/>
                <w:szCs w:val="21"/>
                <w:vertAlign w:val="subscript"/>
              </w:rPr>
              <w:t>2</w:t>
            </w:r>
            <w:r>
              <w:rPr>
                <w:rFonts w:hint="eastAsia"/>
                <w:b/>
                <w:bCs/>
                <w:spacing w:val="6"/>
                <w:position w:val="-2"/>
                <w:szCs w:val="21"/>
              </w:rPr>
              <w:t>、</w:t>
            </w:r>
            <w:r>
              <w:rPr>
                <w:b/>
                <w:bCs/>
                <w:szCs w:val="21"/>
              </w:rPr>
              <w:t>V</w:t>
            </w:r>
            <w:r>
              <w:rPr>
                <w:b/>
                <w:bCs/>
                <w:position w:val="-2"/>
                <w:szCs w:val="21"/>
                <w:vertAlign w:val="subscript"/>
              </w:rPr>
              <w:t>LNG</w:t>
            </w:r>
            <w:r>
              <w:rPr>
                <w:rFonts w:hint="eastAsia"/>
                <w:b/>
                <w:bCs/>
                <w:spacing w:val="6"/>
                <w:position w:val="-2"/>
                <w:szCs w:val="21"/>
                <w:vertAlign w:val="subscript"/>
              </w:rPr>
              <w:t>3</w:t>
            </w:r>
            <w:r>
              <w:rPr>
                <w:rFonts w:hint="eastAsia"/>
                <w:b/>
                <w:bCs/>
                <w:spacing w:val="6"/>
                <w:position w:val="-2"/>
                <w:szCs w:val="21"/>
              </w:rPr>
              <w:t>分为</w:t>
            </w:r>
            <w:r>
              <w:rPr>
                <w:rFonts w:hint="eastAsia"/>
                <w:b/>
                <w:bCs/>
                <w:spacing w:val="9"/>
                <w:position w:val="-2"/>
                <w:szCs w:val="21"/>
              </w:rPr>
              <w:t>一、二、三级合建站中LNG储罐的总容积（m</w:t>
            </w:r>
            <w:r>
              <w:rPr>
                <w:b/>
                <w:bCs/>
                <w:spacing w:val="9"/>
                <w:position w:val="-2"/>
                <w:szCs w:val="21"/>
                <w:vertAlign w:val="superscript"/>
              </w:rPr>
              <w:t>3</w:t>
            </w:r>
            <w:r>
              <w:rPr>
                <w:rFonts w:hint="eastAsia"/>
                <w:b/>
                <w:bCs/>
                <w:spacing w:val="9"/>
                <w:position w:val="-2"/>
                <w:szCs w:val="21"/>
              </w:rPr>
              <w:t>）。“/”为除号。</w:t>
            </w:r>
          </w:p>
          <w:p>
            <w:pPr>
              <w:spacing w:line="360" w:lineRule="auto"/>
              <w:ind w:firstLine="422" w:firstLineChars="200"/>
              <w:rPr>
                <w:b/>
                <w:bCs/>
                <w:szCs w:val="21"/>
              </w:rPr>
            </w:pPr>
            <w:r>
              <w:rPr>
                <w:rFonts w:hint="eastAsia"/>
                <w:b/>
                <w:bCs/>
                <w:szCs w:val="21"/>
              </w:rPr>
              <w:t>2、</w:t>
            </w:r>
            <w:r>
              <w:rPr>
                <w:b/>
                <w:bCs/>
                <w:szCs w:val="21"/>
              </w:rPr>
              <w:t>柴油罐容积可折半计入油罐总容积</w:t>
            </w:r>
            <w:r>
              <w:rPr>
                <w:rFonts w:hint="eastAsia"/>
                <w:b/>
                <w:bCs/>
                <w:szCs w:val="21"/>
              </w:rPr>
              <w:t>。</w:t>
            </w:r>
          </w:p>
          <w:p>
            <w:pPr>
              <w:spacing w:line="360" w:lineRule="auto"/>
              <w:ind w:firstLine="458" w:firstLineChars="200"/>
              <w:rPr>
                <w:rFonts w:hint="eastAsia"/>
                <w:b/>
                <w:bCs/>
                <w:szCs w:val="21"/>
              </w:rPr>
            </w:pPr>
            <w:r>
              <w:rPr>
                <w:rFonts w:hint="eastAsia"/>
                <w:b/>
                <w:bCs/>
                <w:spacing w:val="9"/>
                <w:position w:val="-2"/>
                <w:szCs w:val="21"/>
              </w:rPr>
              <w:t>3、当油罐总容积大于90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时，油罐单罐容积不应大于50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；当油罐总容积小于90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时，汽油罐单罐容积不应大于30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，柴油罐单罐容积不应大于50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w:t>
            </w:r>
          </w:p>
          <w:p>
            <w:pPr>
              <w:spacing w:line="360" w:lineRule="auto"/>
              <w:ind w:firstLine="458" w:firstLineChars="200"/>
              <w:rPr>
                <w:b/>
                <w:bCs/>
                <w:spacing w:val="9"/>
                <w:position w:val="-2"/>
                <w:szCs w:val="21"/>
              </w:rPr>
            </w:pPr>
            <w:r>
              <w:rPr>
                <w:rFonts w:hint="eastAsia"/>
                <w:b/>
                <w:bCs/>
                <w:spacing w:val="9"/>
                <w:position w:val="-2"/>
                <w:szCs w:val="21"/>
              </w:rPr>
              <w:t>4、LNG储罐的单罐容积不应大于60</w:t>
            </w:r>
            <w:r>
              <w:rPr>
                <w:b/>
                <w:bCs/>
                <w:spacing w:val="9"/>
                <w:position w:val="-2"/>
                <w:szCs w:val="21"/>
              </w:rPr>
              <w:t>m</w:t>
            </w:r>
            <w:r>
              <w:rPr>
                <w:rFonts w:hint="eastAsia"/>
                <w:b/>
                <w:bCs/>
                <w:spacing w:val="9"/>
                <w:position w:val="-2"/>
                <w:szCs w:val="21"/>
                <w:vertAlign w:val="superscript"/>
              </w:rPr>
              <w:t>3</w:t>
            </w:r>
            <w:r>
              <w:rPr>
                <w:rFonts w:hint="eastAsia"/>
                <w:b/>
                <w:bCs/>
                <w:spacing w:val="9"/>
                <w:position w:val="-2"/>
                <w:szCs w:val="21"/>
              </w:rPr>
              <w:t>。</w:t>
            </w:r>
          </w:p>
          <w:p>
            <w:pPr>
              <w:spacing w:line="360" w:lineRule="auto"/>
              <w:ind w:firstLine="480" w:firstLineChars="200"/>
              <w:rPr>
                <w:rFonts w:hint="eastAsia"/>
              </w:rPr>
            </w:pPr>
            <w:r>
              <w:rPr>
                <w:sz w:val="24"/>
              </w:rPr>
              <w:t>根据表1-10可知，本项目</w:t>
            </w:r>
            <w:r>
              <w:rPr>
                <w:rFonts w:hint="eastAsia"/>
                <w:sz w:val="24"/>
              </w:rPr>
              <w:t>属于二级站。且站内</w:t>
            </w:r>
            <w:r>
              <w:rPr>
                <w:sz w:val="24"/>
              </w:rPr>
              <w:t>各类储罐设施容积满足《汽车加油加气加氢站技术标准》</w:t>
            </w:r>
            <w:r>
              <w:rPr>
                <w:rFonts w:hint="eastAsia"/>
                <w:sz w:val="24"/>
              </w:rPr>
              <w:t>（</w:t>
            </w:r>
            <w:r>
              <w:rPr>
                <w:sz w:val="24"/>
              </w:rPr>
              <w:t>GB50156-2021</w:t>
            </w:r>
            <w:r>
              <w:rPr>
                <w:rFonts w:hint="eastAsia"/>
                <w:sz w:val="24"/>
              </w:rPr>
              <w:t>）</w:t>
            </w:r>
            <w:r>
              <w:rPr>
                <w:sz w:val="24"/>
              </w:rPr>
              <w:t>要求</w:t>
            </w:r>
            <w:r>
              <w:rPr>
                <w:rFonts w:hint="eastAsia"/>
                <w:sz w:val="24"/>
              </w:rPr>
              <w:t>。</w:t>
            </w:r>
          </w:p>
          <w:p>
            <w:pPr>
              <w:spacing w:line="360" w:lineRule="auto"/>
              <w:ind w:firstLine="482" w:firstLineChars="200"/>
              <w:rPr>
                <w:b/>
                <w:bCs/>
                <w:sz w:val="24"/>
              </w:rPr>
            </w:pPr>
            <w:r>
              <w:rPr>
                <w:rFonts w:hint="eastAsia"/>
                <w:b/>
                <w:bCs/>
                <w:sz w:val="24"/>
              </w:rPr>
              <w:t>2）</w:t>
            </w:r>
            <w:r>
              <w:rPr>
                <w:b/>
                <w:bCs/>
                <w:sz w:val="24"/>
              </w:rPr>
              <w:t>加油加气站选址合理性分析</w:t>
            </w:r>
          </w:p>
          <w:p>
            <w:pPr>
              <w:spacing w:line="360" w:lineRule="auto"/>
              <w:ind w:firstLine="480" w:firstLineChars="200"/>
              <w:rPr>
                <w:rFonts w:hint="eastAsia"/>
                <w:sz w:val="24"/>
              </w:rPr>
            </w:pPr>
            <w:r>
              <w:rPr>
                <w:rFonts w:hint="eastAsia" w:ascii="宋体" w:hAnsi="宋体" w:cs="宋体"/>
                <w:sz w:val="24"/>
              </w:rPr>
              <w:t>①</w:t>
            </w:r>
            <w:r>
              <w:rPr>
                <w:sz w:val="24"/>
              </w:rPr>
              <w:t>本项目选址与《汽车加油加气加氢站技术标准》</w:t>
            </w:r>
            <w:r>
              <w:rPr>
                <w:rFonts w:hint="eastAsia"/>
                <w:sz w:val="24"/>
              </w:rPr>
              <w:t>（</w:t>
            </w:r>
            <w:r>
              <w:rPr>
                <w:sz w:val="24"/>
              </w:rPr>
              <w:t>GB50156-2021</w:t>
            </w:r>
            <w:r>
              <w:rPr>
                <w:rFonts w:hint="eastAsia"/>
                <w:sz w:val="24"/>
              </w:rPr>
              <w:t>）</w:t>
            </w:r>
            <w:r>
              <w:rPr>
                <w:sz w:val="24"/>
              </w:rPr>
              <w:t>中规定4</w:t>
            </w:r>
            <w:r>
              <w:rPr>
                <w:rFonts w:hint="eastAsia"/>
                <w:sz w:val="24"/>
              </w:rPr>
              <w:t>“</w:t>
            </w:r>
            <w:r>
              <w:rPr>
                <w:sz w:val="24"/>
              </w:rPr>
              <w:t>站址选址</w:t>
            </w:r>
            <w:r>
              <w:rPr>
                <w:rFonts w:hint="eastAsia"/>
                <w:sz w:val="24"/>
              </w:rPr>
              <w:t>”</w:t>
            </w:r>
            <w:r>
              <w:rPr>
                <w:sz w:val="24"/>
              </w:rPr>
              <w:t>的符合性分析见下表</w:t>
            </w:r>
            <w:r>
              <w:rPr>
                <w:rFonts w:hint="eastAsia"/>
                <w:sz w:val="24"/>
              </w:rPr>
              <w:t>1-13</w:t>
            </w:r>
            <w:r>
              <w:rPr>
                <w:sz w:val="24"/>
              </w:rPr>
              <w:t>所示。</w:t>
            </w:r>
          </w:p>
          <w:p>
            <w:pPr>
              <w:pStyle w:val="775"/>
              <w:adjustRightInd w:val="0"/>
              <w:snapToGrid w:val="0"/>
              <w:spacing w:line="240" w:lineRule="auto"/>
              <w:ind w:firstLineChars="0"/>
              <w:jc w:val="center"/>
              <w:rPr>
                <w:b/>
                <w:bCs/>
                <w:sz w:val="21"/>
                <w:szCs w:val="21"/>
              </w:rPr>
            </w:pPr>
            <w:r>
              <w:rPr>
                <w:b/>
                <w:bCs/>
                <w:sz w:val="21"/>
                <w:szCs w:val="21"/>
              </w:rPr>
              <w:t>表</w:t>
            </w:r>
            <w:r>
              <w:rPr>
                <w:rFonts w:hint="eastAsia"/>
                <w:b/>
                <w:bCs/>
                <w:sz w:val="21"/>
                <w:szCs w:val="21"/>
              </w:rPr>
              <w:t>1-13</w:t>
            </w:r>
            <w:r>
              <w:rPr>
                <w:b/>
                <w:bCs/>
                <w:sz w:val="21"/>
                <w:szCs w:val="21"/>
              </w:rPr>
              <w:t>项目选址与《汽车加油加气加氢站技术标准》对比表</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827"/>
              <w:gridCol w:w="3118"/>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gridSpan w:val="2"/>
                  <w:noWrap w:val="0"/>
                  <w:vAlign w:val="center"/>
                </w:tcPr>
                <w:p>
                  <w:pPr>
                    <w:jc w:val="center"/>
                    <w:rPr>
                      <w:rFonts w:hint="eastAsia"/>
                      <w:b/>
                      <w:bCs/>
                      <w:spacing w:val="6"/>
                      <w:szCs w:val="21"/>
                    </w:rPr>
                  </w:pPr>
                  <w:r>
                    <w:rPr>
                      <w:b/>
                      <w:bCs/>
                      <w:spacing w:val="6"/>
                      <w:szCs w:val="21"/>
                    </w:rPr>
                    <w:t xml:space="preserve">《汽车加油加气加氢站技术标准》 </w:t>
                  </w:r>
                  <w:r>
                    <w:rPr>
                      <w:rFonts w:hint="eastAsia"/>
                      <w:b/>
                      <w:bCs/>
                      <w:spacing w:val="6"/>
                      <w:szCs w:val="21"/>
                    </w:rPr>
                    <w:t>（</w:t>
                  </w:r>
                  <w:r>
                    <w:rPr>
                      <w:b/>
                      <w:bCs/>
                      <w:spacing w:val="6"/>
                      <w:szCs w:val="21"/>
                    </w:rPr>
                    <w:t>GB50156-2021</w:t>
                  </w:r>
                  <w:r>
                    <w:rPr>
                      <w:rFonts w:hint="eastAsia"/>
                      <w:b/>
                      <w:bCs/>
                      <w:spacing w:val="6"/>
                      <w:szCs w:val="21"/>
                    </w:rPr>
                    <w:t>）</w:t>
                  </w:r>
                  <w:r>
                    <w:rPr>
                      <w:b/>
                      <w:bCs/>
                      <w:spacing w:val="6"/>
                      <w:szCs w:val="21"/>
                    </w:rPr>
                    <w:t>规定4 站址</w:t>
                  </w:r>
                  <w:r>
                    <w:rPr>
                      <w:rFonts w:hint="eastAsia"/>
                      <w:b/>
                      <w:bCs/>
                      <w:spacing w:val="6"/>
                      <w:szCs w:val="21"/>
                    </w:rPr>
                    <w:t>选择</w:t>
                  </w:r>
                </w:p>
              </w:tc>
              <w:tc>
                <w:tcPr>
                  <w:tcW w:w="3118" w:type="dxa"/>
                  <w:noWrap w:val="0"/>
                  <w:vAlign w:val="center"/>
                </w:tcPr>
                <w:p>
                  <w:pPr>
                    <w:jc w:val="center"/>
                    <w:rPr>
                      <w:rFonts w:hint="eastAsia"/>
                      <w:b/>
                      <w:bCs/>
                      <w:spacing w:val="6"/>
                      <w:szCs w:val="21"/>
                    </w:rPr>
                  </w:pPr>
                  <w:r>
                    <w:rPr>
                      <w:rFonts w:hint="eastAsia"/>
                      <w:b/>
                      <w:bCs/>
                      <w:spacing w:val="6"/>
                      <w:szCs w:val="21"/>
                    </w:rPr>
                    <w:t>本项目情况</w:t>
                  </w:r>
                </w:p>
              </w:tc>
              <w:tc>
                <w:tcPr>
                  <w:tcW w:w="896" w:type="dxa"/>
                  <w:noWrap w:val="0"/>
                  <w:vAlign w:val="center"/>
                </w:tcPr>
                <w:p>
                  <w:pPr>
                    <w:jc w:val="center"/>
                    <w:rPr>
                      <w:rFonts w:hint="eastAsia"/>
                      <w:b/>
                      <w:bCs/>
                      <w:spacing w:val="6"/>
                      <w:szCs w:val="21"/>
                    </w:rPr>
                  </w:pPr>
                  <w:r>
                    <w:rPr>
                      <w:rFonts w:hint="eastAsia"/>
                      <w:b/>
                      <w:bCs/>
                      <w:spacing w:val="6"/>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4.0.1</w:t>
                  </w:r>
                </w:p>
              </w:tc>
              <w:tc>
                <w:tcPr>
                  <w:tcW w:w="3827" w:type="dxa"/>
                  <w:noWrap w:val="0"/>
                  <w:vAlign w:val="center"/>
                </w:tcPr>
                <w:p>
                  <w:pPr>
                    <w:spacing w:before="303" w:line="229" w:lineRule="auto"/>
                    <w:ind w:left="109"/>
                    <w:rPr>
                      <w:rFonts w:hint="eastAsia"/>
                      <w:spacing w:val="6"/>
                      <w:szCs w:val="21"/>
                    </w:rPr>
                  </w:pPr>
                  <w:r>
                    <w:rPr>
                      <w:spacing w:val="6"/>
                      <w:szCs w:val="21"/>
                    </w:rPr>
                    <w:t>加油加气</w:t>
                  </w:r>
                  <w:r>
                    <w:rPr>
                      <w:rFonts w:hint="eastAsia"/>
                      <w:spacing w:val="6"/>
                      <w:szCs w:val="21"/>
                    </w:rPr>
                    <w:t>加氢</w:t>
                  </w:r>
                  <w:r>
                    <w:rPr>
                      <w:spacing w:val="6"/>
                      <w:szCs w:val="21"/>
                    </w:rPr>
                    <w:t>站的站址选择，应符合</w:t>
                  </w:r>
                  <w:r>
                    <w:rPr>
                      <w:rFonts w:hint="eastAsia"/>
                      <w:spacing w:val="6"/>
                      <w:szCs w:val="21"/>
                    </w:rPr>
                    <w:t>有关</w:t>
                  </w:r>
                  <w:r>
                    <w:rPr>
                      <w:spacing w:val="6"/>
                      <w:szCs w:val="21"/>
                    </w:rPr>
                    <w:t>规划、环境保护和防火安全的要求，并应选在交通便利</w:t>
                  </w:r>
                  <w:r>
                    <w:rPr>
                      <w:rFonts w:hint="eastAsia"/>
                      <w:spacing w:val="6"/>
                      <w:szCs w:val="21"/>
                    </w:rPr>
                    <w:t>、用户使用方便</w:t>
                  </w:r>
                  <w:r>
                    <w:rPr>
                      <w:spacing w:val="6"/>
                      <w:szCs w:val="21"/>
                    </w:rPr>
                    <w:t>的地</w:t>
                  </w:r>
                  <w:r>
                    <w:rPr>
                      <w:rFonts w:hint="eastAsia"/>
                      <w:spacing w:val="6"/>
                      <w:szCs w:val="21"/>
                    </w:rPr>
                    <w:t>点。</w:t>
                  </w:r>
                </w:p>
              </w:tc>
              <w:tc>
                <w:tcPr>
                  <w:tcW w:w="3118" w:type="dxa"/>
                  <w:noWrap w:val="0"/>
                  <w:vAlign w:val="center"/>
                </w:tcPr>
                <w:p>
                  <w:pPr>
                    <w:spacing w:before="303" w:line="229" w:lineRule="auto"/>
                    <w:ind w:left="109" w:right="96" w:firstLine="286"/>
                    <w:rPr>
                      <w:rFonts w:hint="eastAsia"/>
                      <w:spacing w:val="6"/>
                      <w:szCs w:val="21"/>
                    </w:rPr>
                  </w:pPr>
                  <w:r>
                    <w:rPr>
                      <w:spacing w:val="6"/>
                      <w:szCs w:val="21"/>
                    </w:rPr>
                    <w:t>本项目选址位于通川区</w:t>
                  </w:r>
                  <w:r>
                    <w:rPr>
                      <w:rFonts w:hint="eastAsia"/>
                      <w:spacing w:val="6"/>
                      <w:szCs w:val="21"/>
                    </w:rPr>
                    <w:t>北外镇张家坝B</w:t>
                  </w:r>
                  <w:r>
                    <w:rPr>
                      <w:spacing w:val="6"/>
                      <w:szCs w:val="21"/>
                    </w:rPr>
                    <w:t>03-05/02</w:t>
                  </w:r>
                  <w:r>
                    <w:rPr>
                      <w:rFonts w:hint="eastAsia"/>
                      <w:spacing w:val="6"/>
                      <w:szCs w:val="21"/>
                    </w:rPr>
                    <w:t>地块，为规划的加油加气站用地，项目南临市政道路</w:t>
                  </w:r>
                  <w:r>
                    <w:rPr>
                      <w:spacing w:val="6"/>
                      <w:szCs w:val="21"/>
                    </w:rPr>
                    <w:t>，交通便利，符合城乡规划、环境保护及防火安全要求</w:t>
                  </w:r>
                  <w:r>
                    <w:rPr>
                      <w:rFonts w:hint="eastAsia"/>
                      <w:spacing w:val="6"/>
                      <w:szCs w:val="21"/>
                    </w:rPr>
                    <w:t>。</w:t>
                  </w:r>
                </w:p>
              </w:tc>
              <w:tc>
                <w:tcPr>
                  <w:tcW w:w="896" w:type="dxa"/>
                  <w:noWrap w:val="0"/>
                  <w:vAlign w:val="center"/>
                </w:tcPr>
                <w:p>
                  <w:pPr>
                    <w:spacing w:before="303" w:line="229" w:lineRule="auto"/>
                    <w:ind w:left="109"/>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4.0.2</w:t>
                  </w:r>
                </w:p>
              </w:tc>
              <w:tc>
                <w:tcPr>
                  <w:tcW w:w="3827" w:type="dxa"/>
                  <w:noWrap w:val="0"/>
                  <w:vAlign w:val="center"/>
                </w:tcPr>
                <w:p>
                  <w:pPr>
                    <w:jc w:val="center"/>
                    <w:rPr>
                      <w:rFonts w:hint="eastAsia"/>
                      <w:spacing w:val="6"/>
                      <w:szCs w:val="21"/>
                    </w:rPr>
                  </w:pPr>
                  <w:r>
                    <w:rPr>
                      <w:szCs w:val="21"/>
                    </w:rPr>
                    <w:t>在城市中心区不应建一级汽车加油加气加氢站、CNG加气母站。</w:t>
                  </w:r>
                </w:p>
              </w:tc>
              <w:tc>
                <w:tcPr>
                  <w:tcW w:w="3118" w:type="dxa"/>
                  <w:noWrap w:val="0"/>
                  <w:vAlign w:val="center"/>
                </w:tcPr>
                <w:p>
                  <w:pPr>
                    <w:jc w:val="center"/>
                    <w:rPr>
                      <w:rFonts w:hint="eastAsia"/>
                      <w:b/>
                      <w:bCs/>
                      <w:spacing w:val="6"/>
                      <w:szCs w:val="21"/>
                    </w:rPr>
                  </w:pPr>
                  <w:r>
                    <w:rPr>
                      <w:rFonts w:hint="eastAsia"/>
                      <w:szCs w:val="21"/>
                    </w:rPr>
                    <w:t>本项目为二级加油加气合建站</w:t>
                  </w:r>
                </w:p>
              </w:tc>
              <w:tc>
                <w:tcPr>
                  <w:tcW w:w="896" w:type="dxa"/>
                  <w:noWrap w:val="0"/>
                  <w:vAlign w:val="center"/>
                </w:tcPr>
                <w:p>
                  <w:pPr>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4.0.3</w:t>
                  </w:r>
                </w:p>
              </w:tc>
              <w:tc>
                <w:tcPr>
                  <w:tcW w:w="3827" w:type="dxa"/>
                  <w:noWrap w:val="0"/>
                  <w:vAlign w:val="center"/>
                </w:tcPr>
                <w:p>
                  <w:pPr>
                    <w:jc w:val="center"/>
                    <w:rPr>
                      <w:rFonts w:hint="eastAsia"/>
                      <w:spacing w:val="6"/>
                      <w:szCs w:val="21"/>
                    </w:rPr>
                  </w:pPr>
                  <w:r>
                    <w:rPr>
                      <w:szCs w:val="21"/>
                    </w:rPr>
                    <w:t>城市建成区内的汽车加油加气加氢站宜靠近城市道路，但不宜选在城市干道的交叉路口附近。</w:t>
                  </w:r>
                </w:p>
              </w:tc>
              <w:tc>
                <w:tcPr>
                  <w:tcW w:w="3118" w:type="dxa"/>
                  <w:noWrap w:val="0"/>
                  <w:vAlign w:val="center"/>
                </w:tcPr>
                <w:p>
                  <w:pPr>
                    <w:jc w:val="center"/>
                    <w:rPr>
                      <w:rFonts w:hint="eastAsia"/>
                      <w:spacing w:val="6"/>
                      <w:szCs w:val="21"/>
                    </w:rPr>
                  </w:pPr>
                  <w:r>
                    <w:rPr>
                      <w:rFonts w:hint="eastAsia"/>
                      <w:spacing w:val="6"/>
                      <w:szCs w:val="21"/>
                    </w:rPr>
                    <w:t>本项目南侧紧邻市政道路，且不位于道路交叉口处。</w:t>
                  </w:r>
                </w:p>
              </w:tc>
              <w:tc>
                <w:tcPr>
                  <w:tcW w:w="896" w:type="dxa"/>
                  <w:noWrap w:val="0"/>
                  <w:vAlign w:val="center"/>
                </w:tcPr>
                <w:p>
                  <w:pPr>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4.0.4</w:t>
                  </w:r>
                </w:p>
              </w:tc>
              <w:tc>
                <w:tcPr>
                  <w:tcW w:w="3827" w:type="dxa"/>
                  <w:noWrap w:val="0"/>
                  <w:vAlign w:val="center"/>
                </w:tcPr>
                <w:p>
                  <w:pPr>
                    <w:jc w:val="center"/>
                    <w:rPr>
                      <w:szCs w:val="21"/>
                    </w:rPr>
                  </w:pPr>
                  <w:r>
                    <w:rPr>
                      <w:szCs w:val="21"/>
                    </w:rPr>
                    <w:t>加油站、加油加气合建站</w:t>
                  </w:r>
                  <w:r>
                    <w:rPr>
                      <w:rFonts w:hint="eastAsia"/>
                      <w:szCs w:val="21"/>
                    </w:rPr>
                    <w:t>中的汽油、柴油工艺设备</w:t>
                  </w:r>
                  <w:r>
                    <w:rPr>
                      <w:szCs w:val="21"/>
                    </w:rPr>
                    <w:t>与站外建</w:t>
                  </w:r>
                  <w:r>
                    <w:rPr>
                      <w:rFonts w:hint="eastAsia"/>
                      <w:szCs w:val="21"/>
                    </w:rPr>
                    <w:t>（</w:t>
                  </w:r>
                  <w:r>
                    <w:rPr>
                      <w:szCs w:val="21"/>
                    </w:rPr>
                    <w:t>构</w:t>
                  </w:r>
                  <w:r>
                    <w:rPr>
                      <w:rFonts w:hint="eastAsia"/>
                      <w:szCs w:val="21"/>
                    </w:rPr>
                    <w:t>）</w:t>
                  </w:r>
                  <w:r>
                    <w:rPr>
                      <w:szCs w:val="21"/>
                    </w:rPr>
                    <w:t>筑物的安全间距，不应小于表4.0.4的规定</w:t>
                  </w:r>
                  <w:r>
                    <w:rPr>
                      <w:rFonts w:hint="eastAsia"/>
                      <w:szCs w:val="21"/>
                    </w:rPr>
                    <w:t>。</w:t>
                  </w:r>
                </w:p>
              </w:tc>
              <w:tc>
                <w:tcPr>
                  <w:tcW w:w="3118" w:type="dxa"/>
                  <w:noWrap w:val="0"/>
                  <w:vAlign w:val="center"/>
                </w:tcPr>
                <w:p>
                  <w:pPr>
                    <w:jc w:val="center"/>
                    <w:rPr>
                      <w:rFonts w:hint="eastAsia"/>
                      <w:spacing w:val="6"/>
                      <w:szCs w:val="21"/>
                    </w:rPr>
                  </w:pPr>
                  <w:r>
                    <w:rPr>
                      <w:szCs w:val="21"/>
                    </w:rPr>
                    <w:t>满足要求，具体详见表1-</w:t>
                  </w:r>
                  <w:r>
                    <w:rPr>
                      <w:rFonts w:hint="eastAsia"/>
                      <w:szCs w:val="21"/>
                    </w:rPr>
                    <w:t>14。</w:t>
                  </w:r>
                </w:p>
              </w:tc>
              <w:tc>
                <w:tcPr>
                  <w:tcW w:w="896" w:type="dxa"/>
                  <w:noWrap w:val="0"/>
                  <w:vAlign w:val="center"/>
                </w:tcPr>
                <w:p>
                  <w:pPr>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4.0.7</w:t>
                  </w:r>
                </w:p>
              </w:tc>
              <w:tc>
                <w:tcPr>
                  <w:tcW w:w="3827" w:type="dxa"/>
                  <w:noWrap w:val="0"/>
                  <w:vAlign w:val="center"/>
                </w:tcPr>
                <w:p>
                  <w:pPr>
                    <w:jc w:val="center"/>
                    <w:rPr>
                      <w:szCs w:val="21"/>
                    </w:rPr>
                  </w:pPr>
                  <w:r>
                    <w:rPr>
                      <w:rFonts w:hint="eastAsia"/>
                      <w:szCs w:val="21"/>
                    </w:rPr>
                    <w:t>LNG加气站、各类合建站中的LNG工艺设备与</w:t>
                  </w:r>
                  <w:r>
                    <w:rPr>
                      <w:szCs w:val="21"/>
                    </w:rPr>
                    <w:t>站外建</w:t>
                  </w:r>
                  <w:r>
                    <w:rPr>
                      <w:rFonts w:hint="eastAsia"/>
                      <w:szCs w:val="21"/>
                    </w:rPr>
                    <w:t>（</w:t>
                  </w:r>
                  <w:r>
                    <w:rPr>
                      <w:szCs w:val="21"/>
                    </w:rPr>
                    <w:t>构</w:t>
                  </w:r>
                  <w:r>
                    <w:rPr>
                      <w:rFonts w:hint="eastAsia"/>
                      <w:szCs w:val="21"/>
                    </w:rPr>
                    <w:t>）</w:t>
                  </w:r>
                  <w:r>
                    <w:rPr>
                      <w:szCs w:val="21"/>
                    </w:rPr>
                    <w:t>筑物的安全间距，不应小于表4.0.</w:t>
                  </w:r>
                  <w:r>
                    <w:rPr>
                      <w:rFonts w:hint="eastAsia"/>
                      <w:szCs w:val="21"/>
                    </w:rPr>
                    <w:t>7</w:t>
                  </w:r>
                  <w:r>
                    <w:rPr>
                      <w:szCs w:val="21"/>
                    </w:rPr>
                    <w:t>的规定</w:t>
                  </w:r>
                  <w:r>
                    <w:rPr>
                      <w:rFonts w:hint="eastAsia"/>
                      <w:szCs w:val="21"/>
                    </w:rPr>
                    <w:t>。</w:t>
                  </w:r>
                </w:p>
              </w:tc>
              <w:tc>
                <w:tcPr>
                  <w:tcW w:w="3118" w:type="dxa"/>
                  <w:noWrap w:val="0"/>
                  <w:vAlign w:val="center"/>
                </w:tcPr>
                <w:p>
                  <w:pPr>
                    <w:jc w:val="center"/>
                    <w:rPr>
                      <w:szCs w:val="21"/>
                    </w:rPr>
                  </w:pPr>
                  <w:r>
                    <w:rPr>
                      <w:szCs w:val="21"/>
                    </w:rPr>
                    <w:t>满足要求，具体详见表1-</w:t>
                  </w:r>
                  <w:r>
                    <w:rPr>
                      <w:rFonts w:hint="eastAsia"/>
                      <w:szCs w:val="21"/>
                    </w:rPr>
                    <w:t>15。</w:t>
                  </w:r>
                </w:p>
              </w:tc>
              <w:tc>
                <w:tcPr>
                  <w:tcW w:w="896" w:type="dxa"/>
                  <w:noWrap w:val="0"/>
                  <w:vAlign w:val="center"/>
                </w:tcPr>
                <w:p>
                  <w:pPr>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4.0.12</w:t>
                  </w:r>
                </w:p>
              </w:tc>
              <w:tc>
                <w:tcPr>
                  <w:tcW w:w="3827" w:type="dxa"/>
                  <w:noWrap w:val="0"/>
                  <w:vAlign w:val="center"/>
                </w:tcPr>
                <w:p>
                  <w:pPr>
                    <w:jc w:val="center"/>
                    <w:rPr>
                      <w:rFonts w:hint="eastAsia"/>
                      <w:szCs w:val="21"/>
                    </w:rPr>
                  </w:pPr>
                  <w:r>
                    <w:rPr>
                      <w:szCs w:val="21"/>
                    </w:rPr>
                    <w:t>架空电力线路不应跨越加油加气</w:t>
                  </w:r>
                  <w:r>
                    <w:rPr>
                      <w:rFonts w:hint="eastAsia"/>
                      <w:szCs w:val="21"/>
                    </w:rPr>
                    <w:t>加氢</w:t>
                  </w:r>
                  <w:r>
                    <w:rPr>
                      <w:szCs w:val="21"/>
                    </w:rPr>
                    <w:t>站的作业区</w:t>
                  </w:r>
                  <w:r>
                    <w:rPr>
                      <w:rFonts w:hint="eastAsia"/>
                      <w:szCs w:val="21"/>
                    </w:rPr>
                    <w:t>。架空通信线路不应跨越加气站、加氢合建站中加氢设施的作业区。</w:t>
                  </w:r>
                </w:p>
              </w:tc>
              <w:tc>
                <w:tcPr>
                  <w:tcW w:w="3118" w:type="dxa"/>
                  <w:noWrap w:val="0"/>
                  <w:vAlign w:val="center"/>
                </w:tcPr>
                <w:p>
                  <w:pPr>
                    <w:jc w:val="center"/>
                    <w:rPr>
                      <w:rFonts w:hint="eastAsia"/>
                      <w:szCs w:val="21"/>
                    </w:rPr>
                  </w:pPr>
                  <w:r>
                    <w:rPr>
                      <w:rFonts w:hint="eastAsia"/>
                      <w:szCs w:val="21"/>
                    </w:rPr>
                    <w:t>本项目北侧架空线路拟进行拆除，并已与四川广蜀电力工程有限公司签署了七柳110kV、三韩110kV线N</w:t>
                  </w:r>
                  <w:r>
                    <w:rPr>
                      <w:szCs w:val="21"/>
                    </w:rPr>
                    <w:t>16#~N</w:t>
                  </w:r>
                  <w:r>
                    <w:rPr>
                      <w:rFonts w:hint="eastAsia"/>
                      <w:szCs w:val="21"/>
                    </w:rPr>
                    <w:t>20#塔段迁改工程施工承包合同，线路迁改完成后，工程区不涉及架空电路线路跨越作业区。</w:t>
                  </w:r>
                </w:p>
              </w:tc>
              <w:tc>
                <w:tcPr>
                  <w:tcW w:w="896" w:type="dxa"/>
                  <w:noWrap w:val="0"/>
                  <w:vAlign w:val="center"/>
                </w:tcPr>
                <w:p>
                  <w:pPr>
                    <w:jc w:val="center"/>
                    <w:rPr>
                      <w:rFonts w:hint="eastAsia"/>
                      <w:spacing w:val="6"/>
                      <w:szCs w:val="21"/>
                    </w:rPr>
                  </w:pPr>
                  <w:r>
                    <w:rPr>
                      <w:rFonts w:hint="eastAsia"/>
                      <w:spacing w:val="6"/>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pPr>
                    <w:jc w:val="center"/>
                    <w:rPr>
                      <w:rFonts w:hint="eastAsia"/>
                      <w:spacing w:val="6"/>
                      <w:szCs w:val="21"/>
                    </w:rPr>
                  </w:pPr>
                  <w:r>
                    <w:rPr>
                      <w:rFonts w:hint="eastAsia"/>
                      <w:spacing w:val="6"/>
                      <w:szCs w:val="21"/>
                    </w:rPr>
                    <w:t>4.0.13</w:t>
                  </w:r>
                </w:p>
              </w:tc>
              <w:tc>
                <w:tcPr>
                  <w:tcW w:w="3827" w:type="dxa"/>
                  <w:noWrap w:val="0"/>
                  <w:vAlign w:val="center"/>
                </w:tcPr>
                <w:p>
                  <w:pPr>
                    <w:jc w:val="center"/>
                    <w:rPr>
                      <w:rFonts w:hint="eastAsia"/>
                      <w:spacing w:val="6"/>
                      <w:szCs w:val="21"/>
                    </w:rPr>
                  </w:pPr>
                  <w:r>
                    <w:rPr>
                      <w:rFonts w:hint="eastAsia"/>
                      <w:spacing w:val="6"/>
                      <w:szCs w:val="21"/>
                    </w:rPr>
                    <w:t>与汽车加油加气加氢站无关的可燃介质管道不应穿越汽车加油加气加氢站用地范围。</w:t>
                  </w:r>
                </w:p>
              </w:tc>
              <w:tc>
                <w:tcPr>
                  <w:tcW w:w="3118" w:type="dxa"/>
                  <w:noWrap w:val="0"/>
                  <w:vAlign w:val="center"/>
                </w:tcPr>
                <w:p>
                  <w:pPr>
                    <w:jc w:val="center"/>
                    <w:rPr>
                      <w:rFonts w:hint="eastAsia"/>
                      <w:spacing w:val="6"/>
                      <w:szCs w:val="21"/>
                    </w:rPr>
                  </w:pPr>
                  <w:r>
                    <w:rPr>
                      <w:rFonts w:hint="eastAsia"/>
                      <w:spacing w:val="6"/>
                      <w:szCs w:val="21"/>
                    </w:rPr>
                    <w:t>本项目用地范围内不涉及与本项目无关的可燃介质管道。</w:t>
                  </w:r>
                </w:p>
              </w:tc>
              <w:tc>
                <w:tcPr>
                  <w:tcW w:w="896" w:type="dxa"/>
                  <w:noWrap w:val="0"/>
                  <w:vAlign w:val="center"/>
                </w:tcPr>
                <w:p>
                  <w:pPr>
                    <w:jc w:val="center"/>
                    <w:rPr>
                      <w:rFonts w:hint="eastAsia"/>
                      <w:spacing w:val="6"/>
                      <w:szCs w:val="21"/>
                    </w:rPr>
                  </w:pPr>
                  <w:r>
                    <w:rPr>
                      <w:rFonts w:hint="eastAsia"/>
                      <w:spacing w:val="6"/>
                      <w:szCs w:val="21"/>
                    </w:rPr>
                    <w:t>符合</w:t>
                  </w:r>
                </w:p>
              </w:tc>
            </w:tr>
          </w:tbl>
          <w:p>
            <w:pPr>
              <w:spacing w:line="360" w:lineRule="auto"/>
              <w:ind w:firstLine="480" w:firstLineChars="200"/>
              <w:rPr>
                <w:sz w:val="24"/>
              </w:rPr>
            </w:pPr>
            <w:r>
              <w:rPr>
                <w:rFonts w:hint="eastAsia" w:ascii="宋体" w:hAnsi="宋体" w:cs="宋体"/>
                <w:sz w:val="24"/>
              </w:rPr>
              <w:t>②</w:t>
            </w:r>
            <w:r>
              <w:rPr>
                <w:sz w:val="24"/>
              </w:rPr>
              <w:t>本项目汽油</w:t>
            </w:r>
            <w:r>
              <w:rPr>
                <w:rFonts w:hint="eastAsia"/>
                <w:sz w:val="24"/>
              </w:rPr>
              <w:t>、柴油工艺设备</w:t>
            </w:r>
            <w:r>
              <w:rPr>
                <w:sz w:val="24"/>
              </w:rPr>
              <w:t xml:space="preserve">与《汽车加油加气加氢站技术标准》  </w:t>
            </w:r>
            <w:r>
              <w:rPr>
                <w:rFonts w:hint="eastAsia"/>
                <w:sz w:val="24"/>
              </w:rPr>
              <w:t>（</w:t>
            </w:r>
            <w:r>
              <w:rPr>
                <w:sz w:val="24"/>
              </w:rPr>
              <w:t>GB50156-2021</w:t>
            </w:r>
            <w:r>
              <w:rPr>
                <w:rFonts w:hint="eastAsia"/>
                <w:sz w:val="24"/>
              </w:rPr>
              <w:t>）</w:t>
            </w:r>
            <w:r>
              <w:rPr>
                <w:sz w:val="24"/>
              </w:rPr>
              <w:t>中</w:t>
            </w:r>
            <w:r>
              <w:rPr>
                <w:rFonts w:hint="eastAsia"/>
                <w:sz w:val="24"/>
              </w:rPr>
              <w:t>“</w:t>
            </w:r>
            <w:r>
              <w:rPr>
                <w:sz w:val="24"/>
              </w:rPr>
              <w:t>与站外建</w:t>
            </w:r>
            <w:r>
              <w:rPr>
                <w:rFonts w:hint="eastAsia"/>
                <w:sz w:val="24"/>
              </w:rPr>
              <w:t>（</w:t>
            </w:r>
            <w:r>
              <w:rPr>
                <w:sz w:val="24"/>
              </w:rPr>
              <w:t>构</w:t>
            </w:r>
            <w:r>
              <w:rPr>
                <w:rFonts w:hint="eastAsia"/>
                <w:sz w:val="24"/>
              </w:rPr>
              <w:t>）</w:t>
            </w:r>
            <w:r>
              <w:rPr>
                <w:sz w:val="24"/>
              </w:rPr>
              <w:t>筑物安全距离</w:t>
            </w:r>
            <w:r>
              <w:rPr>
                <w:rFonts w:hint="eastAsia"/>
                <w:sz w:val="24"/>
              </w:rPr>
              <w:t>”</w:t>
            </w:r>
            <w:r>
              <w:rPr>
                <w:sz w:val="24"/>
              </w:rPr>
              <w:t>的符合性分析见下表</w:t>
            </w:r>
            <w:r>
              <w:rPr>
                <w:rFonts w:hint="eastAsia"/>
                <w:sz w:val="24"/>
              </w:rPr>
              <w:t>1-14</w:t>
            </w:r>
            <w:r>
              <w:rPr>
                <w:sz w:val="24"/>
              </w:rPr>
              <w:t>所示。</w:t>
            </w:r>
          </w:p>
          <w:p>
            <w:pPr>
              <w:pStyle w:val="775"/>
              <w:adjustRightInd w:val="0"/>
              <w:snapToGrid w:val="0"/>
              <w:spacing w:line="240" w:lineRule="auto"/>
              <w:ind w:firstLineChars="0"/>
              <w:jc w:val="center"/>
              <w:rPr>
                <w:b/>
                <w:bCs/>
                <w:sz w:val="21"/>
                <w:szCs w:val="21"/>
              </w:rPr>
            </w:pPr>
            <w:r>
              <w:rPr>
                <w:b/>
                <w:bCs/>
                <w:sz w:val="21"/>
                <w:szCs w:val="21"/>
              </w:rPr>
              <w:t>表</w:t>
            </w:r>
            <w:r>
              <w:rPr>
                <w:rFonts w:hint="eastAsia"/>
                <w:b/>
                <w:bCs/>
                <w:sz w:val="21"/>
                <w:szCs w:val="21"/>
              </w:rPr>
              <w:t>1-14</w:t>
            </w:r>
            <w:r>
              <w:rPr>
                <w:b/>
                <w:bCs/>
                <w:sz w:val="21"/>
                <w:szCs w:val="21"/>
              </w:rPr>
              <w:t>项目汽油</w:t>
            </w:r>
            <w:r>
              <w:rPr>
                <w:rFonts w:hint="eastAsia"/>
                <w:b/>
                <w:bCs/>
                <w:sz w:val="21"/>
                <w:szCs w:val="21"/>
              </w:rPr>
              <w:t>（柴油）工艺设备</w:t>
            </w:r>
            <w:r>
              <w:rPr>
                <w:b/>
                <w:bCs/>
                <w:sz w:val="21"/>
                <w:szCs w:val="21"/>
              </w:rPr>
              <w:t>与站外建</w:t>
            </w:r>
            <w:r>
              <w:rPr>
                <w:rFonts w:hint="eastAsia"/>
                <w:b/>
                <w:bCs/>
                <w:sz w:val="21"/>
                <w:szCs w:val="21"/>
              </w:rPr>
              <w:t>（</w:t>
            </w:r>
            <w:r>
              <w:rPr>
                <w:b/>
                <w:bCs/>
                <w:sz w:val="21"/>
                <w:szCs w:val="21"/>
              </w:rPr>
              <w:t>构</w:t>
            </w:r>
            <w:r>
              <w:rPr>
                <w:rFonts w:hint="eastAsia"/>
                <w:b/>
                <w:bCs/>
                <w:sz w:val="21"/>
                <w:szCs w:val="21"/>
              </w:rPr>
              <w:t>）</w:t>
            </w:r>
            <w:r>
              <w:rPr>
                <w:b/>
                <w:bCs/>
                <w:sz w:val="21"/>
                <w:szCs w:val="21"/>
              </w:rPr>
              <w:t>筑物安全距离 (m)</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4"/>
              <w:gridCol w:w="1601"/>
              <w:gridCol w:w="1041"/>
              <w:gridCol w:w="1041"/>
              <w:gridCol w:w="1046"/>
              <w:gridCol w:w="975"/>
              <w:gridCol w:w="975"/>
              <w:gridCol w:w="977"/>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restart"/>
                  <w:noWrap w:val="0"/>
                  <w:vAlign w:val="center"/>
                </w:tcPr>
                <w:p>
                  <w:pPr>
                    <w:pStyle w:val="135"/>
                    <w:spacing w:line="240" w:lineRule="exact"/>
                    <w:jc w:val="center"/>
                    <w:rPr>
                      <w:b/>
                      <w:bCs/>
                      <w:kern w:val="2"/>
                      <w:sz w:val="21"/>
                      <w:szCs w:val="21"/>
                      <w:lang w:eastAsia="zh-CN"/>
                    </w:rPr>
                  </w:pPr>
                  <w:r>
                    <w:rPr>
                      <w:b/>
                      <w:bCs/>
                      <w:kern w:val="2"/>
                      <w:sz w:val="21"/>
                      <w:szCs w:val="21"/>
                      <w:lang w:eastAsia="zh-CN"/>
                    </w:rPr>
                    <w:t>站外建（构）筑物</w:t>
                  </w:r>
                </w:p>
              </w:tc>
              <w:tc>
                <w:tcPr>
                  <w:tcW w:w="1770" w:type="pct"/>
                  <w:gridSpan w:val="3"/>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（GB50156-2021）</w:t>
                  </w:r>
                  <w:r>
                    <w:rPr>
                      <w:b/>
                      <w:bCs/>
                      <w:kern w:val="2"/>
                      <w:sz w:val="21"/>
                      <w:szCs w:val="21"/>
                      <w:lang w:eastAsia="zh-CN"/>
                    </w:rPr>
                    <w:t>中</w:t>
                  </w:r>
                  <w:r>
                    <w:rPr>
                      <w:rFonts w:hint="eastAsia"/>
                      <w:b/>
                      <w:bCs/>
                      <w:kern w:val="2"/>
                      <w:sz w:val="21"/>
                      <w:szCs w:val="21"/>
                      <w:lang w:eastAsia="zh-CN"/>
                    </w:rPr>
                    <w:t>二</w:t>
                  </w:r>
                  <w:r>
                    <w:rPr>
                      <w:b/>
                      <w:bCs/>
                      <w:kern w:val="2"/>
                      <w:sz w:val="21"/>
                      <w:szCs w:val="21"/>
                      <w:lang w:eastAsia="zh-CN"/>
                    </w:rPr>
                    <w:t>级站</w:t>
                  </w:r>
                  <w:r>
                    <w:rPr>
                      <w:rFonts w:hint="eastAsia"/>
                      <w:b/>
                      <w:bCs/>
                      <w:kern w:val="2"/>
                      <w:sz w:val="21"/>
                      <w:szCs w:val="21"/>
                      <w:lang w:eastAsia="zh-CN"/>
                    </w:rPr>
                    <w:t>站内汽柴油工艺设备</w:t>
                  </w:r>
                  <w:r>
                    <w:rPr>
                      <w:b/>
                      <w:bCs/>
                      <w:kern w:val="2"/>
                      <w:sz w:val="21"/>
                      <w:szCs w:val="21"/>
                      <w:lang w:eastAsia="zh-CN"/>
                    </w:rPr>
                    <w:t>安全间距</w:t>
                  </w:r>
                </w:p>
              </w:tc>
              <w:tc>
                <w:tcPr>
                  <w:tcW w:w="1657" w:type="pct"/>
                  <w:gridSpan w:val="3"/>
                  <w:noWrap w:val="0"/>
                  <w:vAlign w:val="center"/>
                </w:tcPr>
                <w:p>
                  <w:pPr>
                    <w:pStyle w:val="135"/>
                    <w:spacing w:line="240" w:lineRule="exact"/>
                    <w:jc w:val="center"/>
                    <w:rPr>
                      <w:rFonts w:hint="eastAsia"/>
                      <w:b/>
                      <w:bCs/>
                      <w:kern w:val="2"/>
                      <w:sz w:val="21"/>
                      <w:szCs w:val="21"/>
                      <w:lang w:eastAsia="zh-CN"/>
                    </w:rPr>
                  </w:pPr>
                  <w:r>
                    <w:rPr>
                      <w:b/>
                      <w:bCs/>
                      <w:kern w:val="2"/>
                      <w:sz w:val="21"/>
                      <w:szCs w:val="21"/>
                      <w:lang w:eastAsia="zh-CN"/>
                    </w:rPr>
                    <w:t>本项目（</w:t>
                  </w:r>
                  <w:r>
                    <w:rPr>
                      <w:rFonts w:hint="eastAsia"/>
                      <w:b/>
                      <w:bCs/>
                      <w:kern w:val="2"/>
                      <w:sz w:val="21"/>
                      <w:szCs w:val="21"/>
                      <w:lang w:eastAsia="zh-CN"/>
                    </w:rPr>
                    <w:t>二</w:t>
                  </w:r>
                  <w:r>
                    <w:rPr>
                      <w:b/>
                      <w:bCs/>
                      <w:kern w:val="2"/>
                      <w:sz w:val="21"/>
                      <w:szCs w:val="21"/>
                      <w:lang w:eastAsia="zh-CN"/>
                    </w:rPr>
                    <w:t>级</w:t>
                  </w:r>
                  <w:r>
                    <w:rPr>
                      <w:rFonts w:hint="eastAsia"/>
                      <w:b/>
                      <w:bCs/>
                      <w:kern w:val="2"/>
                      <w:sz w:val="21"/>
                      <w:szCs w:val="21"/>
                      <w:lang w:eastAsia="zh-CN"/>
                    </w:rPr>
                    <w:t>加油与LNG合建站</w:t>
                  </w:r>
                  <w:r>
                    <w:rPr>
                      <w:b/>
                      <w:bCs/>
                      <w:kern w:val="2"/>
                      <w:sz w:val="21"/>
                      <w:szCs w:val="21"/>
                      <w:lang w:eastAsia="zh-CN"/>
                    </w:rPr>
                    <w:t>）</w:t>
                  </w:r>
                  <w:r>
                    <w:rPr>
                      <w:rFonts w:hint="eastAsia"/>
                      <w:b/>
                      <w:bCs/>
                      <w:kern w:val="2"/>
                      <w:sz w:val="21"/>
                      <w:szCs w:val="21"/>
                      <w:lang w:eastAsia="zh-CN"/>
                    </w:rPr>
                    <w:t>内汽油（柴油）设备</w:t>
                  </w:r>
                </w:p>
              </w:tc>
              <w:tc>
                <w:tcPr>
                  <w:tcW w:w="342" w:type="pct"/>
                  <w:vMerge w:val="restart"/>
                  <w:noWrap w:val="0"/>
                  <w:vAlign w:val="center"/>
                </w:tcPr>
                <w:p>
                  <w:pPr>
                    <w:pStyle w:val="135"/>
                    <w:spacing w:line="240" w:lineRule="exact"/>
                    <w:jc w:val="center"/>
                    <w:rPr>
                      <w:b/>
                      <w:bCs/>
                      <w:kern w:val="2"/>
                      <w:sz w:val="21"/>
                      <w:szCs w:val="21"/>
                      <w:lang w:eastAsia="zh-CN"/>
                    </w:rPr>
                  </w:pPr>
                  <w:r>
                    <w:rPr>
                      <w:b/>
                      <w:bCs/>
                      <w:kern w:val="2"/>
                      <w:sz w:val="21"/>
                      <w:szCs w:val="21"/>
                      <w:lang w:eastAsia="zh-CN"/>
                    </w:rPr>
                    <w:t>是否 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continue"/>
                  <w:noWrap w:val="0"/>
                  <w:vAlign w:val="center"/>
                </w:tcPr>
                <w:p>
                  <w:pPr>
                    <w:pStyle w:val="135"/>
                    <w:spacing w:line="240" w:lineRule="exact"/>
                    <w:jc w:val="center"/>
                    <w:rPr>
                      <w:kern w:val="2"/>
                      <w:sz w:val="21"/>
                      <w:szCs w:val="21"/>
                      <w:lang w:eastAsia="zh-CN"/>
                    </w:rPr>
                  </w:pPr>
                </w:p>
              </w:tc>
              <w:tc>
                <w:tcPr>
                  <w:tcW w:w="589" w:type="pct"/>
                  <w:noWrap w:val="0"/>
                  <w:vAlign w:val="center"/>
                </w:tcPr>
                <w:p>
                  <w:pPr>
                    <w:pStyle w:val="135"/>
                    <w:spacing w:line="240" w:lineRule="exact"/>
                    <w:jc w:val="center"/>
                    <w:rPr>
                      <w:b/>
                      <w:bCs/>
                      <w:kern w:val="2"/>
                      <w:sz w:val="21"/>
                      <w:szCs w:val="21"/>
                      <w:lang w:eastAsia="zh-CN"/>
                    </w:rPr>
                  </w:pPr>
                  <w:r>
                    <w:rPr>
                      <w:b/>
                      <w:bCs/>
                      <w:kern w:val="2"/>
                      <w:sz w:val="21"/>
                      <w:szCs w:val="21"/>
                      <w:lang w:eastAsia="zh-CN"/>
                    </w:rPr>
                    <w:t>埋地油罐</w:t>
                  </w:r>
                </w:p>
              </w:tc>
              <w:tc>
                <w:tcPr>
                  <w:tcW w:w="589" w:type="pct"/>
                  <w:noWrap w:val="0"/>
                  <w:vAlign w:val="center"/>
                </w:tcPr>
                <w:p>
                  <w:pPr>
                    <w:pStyle w:val="135"/>
                    <w:spacing w:line="240" w:lineRule="exact"/>
                    <w:jc w:val="center"/>
                    <w:rPr>
                      <w:b/>
                      <w:bCs/>
                      <w:kern w:val="2"/>
                      <w:sz w:val="21"/>
                      <w:szCs w:val="21"/>
                      <w:lang w:eastAsia="zh-CN"/>
                    </w:rPr>
                  </w:pPr>
                  <w:r>
                    <w:rPr>
                      <w:b/>
                      <w:bCs/>
                      <w:kern w:val="2"/>
                      <w:sz w:val="21"/>
                      <w:szCs w:val="21"/>
                      <w:lang w:eastAsia="zh-CN"/>
                    </w:rPr>
                    <w:t>加油机</w:t>
                  </w:r>
                </w:p>
              </w:tc>
              <w:tc>
                <w:tcPr>
                  <w:tcW w:w="592" w:type="pct"/>
                  <w:noWrap w:val="0"/>
                  <w:vAlign w:val="center"/>
                </w:tcPr>
                <w:p>
                  <w:pPr>
                    <w:pStyle w:val="135"/>
                    <w:spacing w:line="240" w:lineRule="exact"/>
                    <w:jc w:val="center"/>
                    <w:rPr>
                      <w:b/>
                      <w:bCs/>
                      <w:kern w:val="2"/>
                      <w:sz w:val="21"/>
                      <w:szCs w:val="21"/>
                      <w:lang w:eastAsia="zh-CN"/>
                    </w:rPr>
                  </w:pPr>
                  <w:r>
                    <w:rPr>
                      <w:b/>
                      <w:bCs/>
                      <w:kern w:val="2"/>
                      <w:sz w:val="21"/>
                      <w:szCs w:val="21"/>
                      <w:lang w:eastAsia="zh-CN"/>
                    </w:rPr>
                    <w:t>通气管</w:t>
                  </w:r>
                </w:p>
                <w:p>
                  <w:pPr>
                    <w:pStyle w:val="135"/>
                    <w:spacing w:line="240" w:lineRule="exact"/>
                    <w:jc w:val="center"/>
                    <w:rPr>
                      <w:b/>
                      <w:bCs/>
                      <w:kern w:val="2"/>
                      <w:sz w:val="21"/>
                      <w:szCs w:val="21"/>
                      <w:lang w:eastAsia="zh-CN"/>
                    </w:rPr>
                  </w:pPr>
                  <w:r>
                    <w:rPr>
                      <w:b/>
                      <w:bCs/>
                      <w:kern w:val="2"/>
                      <w:sz w:val="21"/>
                      <w:szCs w:val="21"/>
                      <w:lang w:eastAsia="zh-CN"/>
                    </w:rPr>
                    <w:t>管口</w:t>
                  </w:r>
                </w:p>
              </w:tc>
              <w:tc>
                <w:tcPr>
                  <w:tcW w:w="552" w:type="pct"/>
                  <w:noWrap w:val="0"/>
                  <w:vAlign w:val="center"/>
                </w:tcPr>
                <w:p>
                  <w:pPr>
                    <w:pStyle w:val="135"/>
                    <w:spacing w:line="240" w:lineRule="exact"/>
                    <w:jc w:val="center"/>
                    <w:rPr>
                      <w:kern w:val="2"/>
                      <w:sz w:val="21"/>
                      <w:szCs w:val="21"/>
                      <w:lang w:eastAsia="zh-CN"/>
                    </w:rPr>
                  </w:pPr>
                  <w:r>
                    <w:rPr>
                      <w:b/>
                      <w:bCs/>
                      <w:kern w:val="2"/>
                      <w:sz w:val="21"/>
                      <w:szCs w:val="21"/>
                      <w:lang w:eastAsia="zh-CN"/>
                    </w:rPr>
                    <w:t>埋地油罐</w:t>
                  </w:r>
                </w:p>
              </w:tc>
              <w:tc>
                <w:tcPr>
                  <w:tcW w:w="552" w:type="pct"/>
                  <w:noWrap w:val="0"/>
                  <w:vAlign w:val="center"/>
                </w:tcPr>
                <w:p>
                  <w:pPr>
                    <w:pStyle w:val="135"/>
                    <w:spacing w:line="240" w:lineRule="exact"/>
                    <w:jc w:val="center"/>
                    <w:rPr>
                      <w:kern w:val="2"/>
                      <w:sz w:val="21"/>
                      <w:szCs w:val="21"/>
                      <w:lang w:eastAsia="zh-CN"/>
                    </w:rPr>
                  </w:pPr>
                  <w:r>
                    <w:rPr>
                      <w:b/>
                      <w:bCs/>
                      <w:kern w:val="2"/>
                      <w:sz w:val="21"/>
                      <w:szCs w:val="21"/>
                      <w:lang w:eastAsia="zh-CN"/>
                    </w:rPr>
                    <w:t>加油机</w:t>
                  </w:r>
                </w:p>
              </w:tc>
              <w:tc>
                <w:tcPr>
                  <w:tcW w:w="553" w:type="pct"/>
                  <w:noWrap w:val="0"/>
                  <w:vAlign w:val="center"/>
                </w:tcPr>
                <w:p>
                  <w:pPr>
                    <w:pStyle w:val="135"/>
                    <w:spacing w:line="240" w:lineRule="exact"/>
                    <w:jc w:val="center"/>
                    <w:rPr>
                      <w:b/>
                      <w:bCs/>
                      <w:kern w:val="2"/>
                      <w:sz w:val="21"/>
                      <w:szCs w:val="21"/>
                      <w:lang w:eastAsia="zh-CN"/>
                    </w:rPr>
                  </w:pPr>
                  <w:r>
                    <w:rPr>
                      <w:b/>
                      <w:bCs/>
                      <w:kern w:val="2"/>
                      <w:sz w:val="21"/>
                      <w:szCs w:val="21"/>
                      <w:lang w:eastAsia="zh-CN"/>
                    </w:rPr>
                    <w:t>通气管</w:t>
                  </w:r>
                </w:p>
                <w:p>
                  <w:pPr>
                    <w:pStyle w:val="135"/>
                    <w:spacing w:line="240" w:lineRule="exact"/>
                    <w:jc w:val="center"/>
                    <w:rPr>
                      <w:kern w:val="2"/>
                      <w:sz w:val="21"/>
                      <w:szCs w:val="21"/>
                      <w:lang w:eastAsia="zh-CN"/>
                    </w:rPr>
                  </w:pPr>
                  <w:r>
                    <w:rPr>
                      <w:b/>
                      <w:bCs/>
                      <w:kern w:val="2"/>
                      <w:sz w:val="21"/>
                      <w:szCs w:val="21"/>
                      <w:lang w:eastAsia="zh-CN"/>
                    </w:rPr>
                    <w:t>管口</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restart"/>
                  <w:noWrap w:val="0"/>
                  <w:vAlign w:val="center"/>
                </w:tcPr>
                <w:p>
                  <w:pPr>
                    <w:pStyle w:val="135"/>
                    <w:spacing w:line="240" w:lineRule="exact"/>
                    <w:jc w:val="center"/>
                    <w:rPr>
                      <w:kern w:val="2"/>
                      <w:sz w:val="21"/>
                      <w:szCs w:val="21"/>
                      <w:lang w:eastAsia="zh-CN"/>
                    </w:rPr>
                  </w:pPr>
                  <w:r>
                    <w:rPr>
                      <w:kern w:val="2"/>
                      <w:sz w:val="21"/>
                      <w:szCs w:val="21"/>
                      <w:lang w:eastAsia="zh-CN"/>
                    </w:rPr>
                    <w:t>重要公共建筑物</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35（25）</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35（25）</w:t>
                  </w:r>
                </w:p>
              </w:tc>
              <w:tc>
                <w:tcPr>
                  <w:tcW w:w="592"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35（25）</w:t>
                  </w:r>
                </w:p>
              </w:tc>
              <w:tc>
                <w:tcPr>
                  <w:tcW w:w="1657" w:type="pct"/>
                  <w:gridSpan w:val="3"/>
                  <w:noWrap w:val="0"/>
                  <w:vAlign w:val="center"/>
                </w:tcPr>
                <w:p>
                  <w:pPr>
                    <w:pStyle w:val="135"/>
                    <w:spacing w:line="240" w:lineRule="exact"/>
                    <w:jc w:val="center"/>
                    <w:rPr>
                      <w:kern w:val="2"/>
                      <w:sz w:val="21"/>
                      <w:szCs w:val="21"/>
                      <w:lang w:eastAsia="zh-CN"/>
                    </w:rPr>
                  </w:pPr>
                  <w:r>
                    <w:rPr>
                      <w:rFonts w:hint="eastAsia"/>
                      <w:sz w:val="21"/>
                      <w:szCs w:val="21"/>
                      <w:lang w:eastAsia="zh-CN"/>
                    </w:rPr>
                    <w:t>通川区第一小学江湾城分校</w:t>
                  </w:r>
                </w:p>
              </w:tc>
              <w:tc>
                <w:tcPr>
                  <w:tcW w:w="34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92" w:type="pct"/>
                  <w:vMerge w:val="continue"/>
                  <w:noWrap w:val="0"/>
                  <w:vAlign w:val="center"/>
                </w:tcPr>
                <w:p>
                  <w:pPr>
                    <w:pStyle w:val="135"/>
                    <w:spacing w:line="240" w:lineRule="exact"/>
                    <w:jc w:val="center"/>
                    <w:rPr>
                      <w:kern w:val="2"/>
                      <w:sz w:val="21"/>
                      <w:szCs w:val="21"/>
                      <w:lang w:eastAsia="zh-CN"/>
                    </w:rPr>
                  </w:pP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200（203）</w:t>
                  </w: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204（226）</w:t>
                  </w:r>
                </w:p>
              </w:tc>
              <w:tc>
                <w:tcPr>
                  <w:tcW w:w="55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201（201）</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明火地点或散发火花地点</w:t>
                  </w:r>
                </w:p>
              </w:tc>
              <w:tc>
                <w:tcPr>
                  <w:tcW w:w="589"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17.5（12.5）</w:t>
                  </w:r>
                </w:p>
              </w:tc>
              <w:tc>
                <w:tcPr>
                  <w:tcW w:w="589"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12.5（10）</w:t>
                  </w:r>
                </w:p>
              </w:tc>
              <w:tc>
                <w:tcPr>
                  <w:tcW w:w="59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12.5（10）</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民用建筑物保护类别</w:t>
                  </w:r>
                </w:p>
              </w:tc>
              <w:tc>
                <w:tcPr>
                  <w:tcW w:w="906"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一类保护物</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14（6）</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w:t>
                  </w:r>
                  <w:r>
                    <w:rPr>
                      <w:kern w:val="2"/>
                      <w:sz w:val="21"/>
                      <w:szCs w:val="21"/>
                      <w:lang w:eastAsia="zh-CN"/>
                    </w:rPr>
                    <w:t>1</w:t>
                  </w:r>
                  <w:r>
                    <w:rPr>
                      <w:rFonts w:hint="eastAsia"/>
                      <w:kern w:val="2"/>
                      <w:sz w:val="21"/>
                      <w:szCs w:val="21"/>
                      <w:lang w:eastAsia="zh-CN"/>
                    </w:rPr>
                    <w:t>（6）</w:t>
                  </w:r>
                </w:p>
              </w:tc>
              <w:tc>
                <w:tcPr>
                  <w:tcW w:w="592"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w:t>
                  </w:r>
                  <w:r>
                    <w:rPr>
                      <w:kern w:val="2"/>
                      <w:sz w:val="21"/>
                      <w:szCs w:val="21"/>
                      <w:lang w:eastAsia="zh-CN"/>
                    </w:rPr>
                    <w:t>1</w:t>
                  </w:r>
                  <w:r>
                    <w:rPr>
                      <w:rFonts w:hint="eastAsia"/>
                      <w:kern w:val="2"/>
                      <w:sz w:val="21"/>
                      <w:szCs w:val="21"/>
                      <w:lang w:eastAsia="zh-CN"/>
                    </w:rPr>
                    <w:t>（6）</w:t>
                  </w:r>
                </w:p>
              </w:tc>
              <w:tc>
                <w:tcPr>
                  <w:tcW w:w="1657" w:type="pct"/>
                  <w:gridSpan w:val="3"/>
                  <w:noWrap w:val="0"/>
                  <w:vAlign w:val="center"/>
                </w:tcPr>
                <w:p>
                  <w:pPr>
                    <w:pStyle w:val="135"/>
                    <w:spacing w:line="240" w:lineRule="exact"/>
                    <w:jc w:val="center"/>
                    <w:rPr>
                      <w:kern w:val="2"/>
                      <w:sz w:val="21"/>
                      <w:szCs w:val="21"/>
                      <w:lang w:eastAsia="zh-CN"/>
                    </w:rPr>
                  </w:pPr>
                  <w:r>
                    <w:rPr>
                      <w:rFonts w:hint="eastAsia"/>
                      <w:sz w:val="21"/>
                      <w:szCs w:val="21"/>
                    </w:rPr>
                    <w:t>张家坝安置小区</w:t>
                  </w:r>
                </w:p>
              </w:tc>
              <w:tc>
                <w:tcPr>
                  <w:tcW w:w="34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continue"/>
                  <w:noWrap w:val="0"/>
                  <w:vAlign w:val="center"/>
                </w:tcPr>
                <w:p>
                  <w:pPr>
                    <w:pStyle w:val="135"/>
                    <w:spacing w:line="240" w:lineRule="exact"/>
                    <w:jc w:val="center"/>
                    <w:rPr>
                      <w:kern w:val="2"/>
                      <w:sz w:val="21"/>
                      <w:szCs w:val="21"/>
                      <w:lang w:eastAsia="zh-CN"/>
                    </w:rPr>
                  </w:pPr>
                </w:p>
              </w:tc>
              <w:tc>
                <w:tcPr>
                  <w:tcW w:w="906" w:type="pct"/>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92" w:type="pct"/>
                  <w:vMerge w:val="continue"/>
                  <w:noWrap w:val="0"/>
                  <w:vAlign w:val="center"/>
                </w:tcPr>
                <w:p>
                  <w:pPr>
                    <w:pStyle w:val="135"/>
                    <w:spacing w:line="240" w:lineRule="exact"/>
                    <w:jc w:val="center"/>
                    <w:rPr>
                      <w:kern w:val="2"/>
                      <w:sz w:val="21"/>
                      <w:szCs w:val="21"/>
                      <w:lang w:eastAsia="zh-CN"/>
                    </w:rPr>
                  </w:pPr>
                </w:p>
              </w:tc>
              <w:tc>
                <w:tcPr>
                  <w:tcW w:w="552" w:type="pct"/>
                  <w:noWrap w:val="0"/>
                  <w:vAlign w:val="center"/>
                </w:tcPr>
                <w:p>
                  <w:pPr>
                    <w:pStyle w:val="135"/>
                    <w:spacing w:line="240" w:lineRule="exact"/>
                    <w:jc w:val="center"/>
                    <w:rPr>
                      <w:kern w:val="2"/>
                      <w:sz w:val="21"/>
                      <w:szCs w:val="21"/>
                      <w:lang w:eastAsia="zh-CN"/>
                    </w:rPr>
                  </w:pPr>
                  <w:r>
                    <w:rPr>
                      <w:kern w:val="2"/>
                      <w:sz w:val="21"/>
                      <w:szCs w:val="21"/>
                      <w:lang w:eastAsia="zh-CN"/>
                    </w:rPr>
                    <w:t>15</w:t>
                  </w:r>
                  <w:r>
                    <w:rPr>
                      <w:rFonts w:hint="eastAsia"/>
                      <w:kern w:val="2"/>
                      <w:sz w:val="21"/>
                      <w:szCs w:val="21"/>
                      <w:lang w:eastAsia="zh-CN"/>
                    </w:rPr>
                    <w:t>0（156）</w:t>
                  </w: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119（142）</w:t>
                  </w:r>
                </w:p>
              </w:tc>
              <w:tc>
                <w:tcPr>
                  <w:tcW w:w="55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156（156）</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continue"/>
                  <w:noWrap w:val="0"/>
                  <w:vAlign w:val="center"/>
                </w:tcPr>
                <w:p>
                  <w:pPr>
                    <w:pStyle w:val="135"/>
                    <w:spacing w:line="240" w:lineRule="exact"/>
                    <w:jc w:val="center"/>
                    <w:rPr>
                      <w:kern w:val="2"/>
                      <w:sz w:val="21"/>
                      <w:szCs w:val="21"/>
                      <w:lang w:eastAsia="zh-CN"/>
                    </w:rPr>
                  </w:pPr>
                </w:p>
              </w:tc>
              <w:tc>
                <w:tcPr>
                  <w:tcW w:w="906" w:type="pct"/>
                  <w:noWrap w:val="0"/>
                  <w:vAlign w:val="center"/>
                </w:tcPr>
                <w:p>
                  <w:pPr>
                    <w:pStyle w:val="135"/>
                    <w:spacing w:line="240" w:lineRule="exact"/>
                    <w:jc w:val="center"/>
                    <w:rPr>
                      <w:kern w:val="2"/>
                      <w:sz w:val="21"/>
                      <w:szCs w:val="21"/>
                      <w:lang w:eastAsia="zh-CN"/>
                    </w:rPr>
                  </w:pPr>
                  <w:r>
                    <w:rPr>
                      <w:kern w:val="2"/>
                      <w:sz w:val="21"/>
                      <w:szCs w:val="21"/>
                      <w:lang w:eastAsia="zh-CN"/>
                    </w:rPr>
                    <w:t>二类保护物</w:t>
                  </w:r>
                </w:p>
              </w:tc>
              <w:tc>
                <w:tcPr>
                  <w:tcW w:w="589"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w:t>
                  </w:r>
                  <w:r>
                    <w:rPr>
                      <w:kern w:val="2"/>
                      <w:sz w:val="21"/>
                      <w:szCs w:val="21"/>
                      <w:lang w:eastAsia="zh-CN"/>
                    </w:rPr>
                    <w:t>1</w:t>
                  </w:r>
                  <w:r>
                    <w:rPr>
                      <w:rFonts w:hint="eastAsia"/>
                      <w:kern w:val="2"/>
                      <w:sz w:val="21"/>
                      <w:szCs w:val="21"/>
                      <w:lang w:eastAsia="zh-CN"/>
                    </w:rPr>
                    <w:t>（6）</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8.5</w:t>
                  </w:r>
                  <w:r>
                    <w:rPr>
                      <w:rFonts w:hint="eastAsia"/>
                      <w:kern w:val="2"/>
                      <w:sz w:val="21"/>
                      <w:szCs w:val="21"/>
                      <w:lang w:eastAsia="zh-CN"/>
                    </w:rPr>
                    <w:t>（6）</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8.5</w:t>
                  </w:r>
                  <w:r>
                    <w:rPr>
                      <w:rFonts w:hint="eastAsia"/>
                      <w:kern w:val="2"/>
                      <w:sz w:val="21"/>
                      <w:szCs w:val="21"/>
                      <w:lang w:eastAsia="zh-CN"/>
                    </w:rPr>
                    <w:t>（6）</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continue"/>
                  <w:noWrap w:val="0"/>
                  <w:vAlign w:val="center"/>
                </w:tcPr>
                <w:p>
                  <w:pPr>
                    <w:pStyle w:val="135"/>
                    <w:spacing w:line="240" w:lineRule="exact"/>
                    <w:jc w:val="center"/>
                    <w:rPr>
                      <w:kern w:val="2"/>
                      <w:sz w:val="21"/>
                      <w:szCs w:val="21"/>
                      <w:lang w:eastAsia="zh-CN"/>
                    </w:rPr>
                  </w:pPr>
                </w:p>
              </w:tc>
              <w:tc>
                <w:tcPr>
                  <w:tcW w:w="906" w:type="pct"/>
                  <w:noWrap w:val="0"/>
                  <w:vAlign w:val="center"/>
                </w:tcPr>
                <w:p>
                  <w:pPr>
                    <w:pStyle w:val="135"/>
                    <w:spacing w:line="240" w:lineRule="exact"/>
                    <w:jc w:val="center"/>
                    <w:rPr>
                      <w:kern w:val="2"/>
                      <w:sz w:val="21"/>
                      <w:szCs w:val="21"/>
                      <w:lang w:eastAsia="zh-CN"/>
                    </w:rPr>
                  </w:pPr>
                  <w:r>
                    <w:rPr>
                      <w:kern w:val="2"/>
                      <w:sz w:val="21"/>
                      <w:szCs w:val="21"/>
                      <w:lang w:eastAsia="zh-CN"/>
                    </w:rPr>
                    <w:t>三类保护物</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8.5</w:t>
                  </w:r>
                  <w:r>
                    <w:rPr>
                      <w:rFonts w:hint="eastAsia"/>
                      <w:kern w:val="2"/>
                      <w:sz w:val="21"/>
                      <w:szCs w:val="21"/>
                      <w:lang w:eastAsia="zh-CN"/>
                    </w:rPr>
                    <w:t>（6）</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7</w:t>
                  </w:r>
                  <w:r>
                    <w:rPr>
                      <w:rFonts w:hint="eastAsia"/>
                      <w:kern w:val="2"/>
                      <w:sz w:val="21"/>
                      <w:szCs w:val="21"/>
                      <w:lang w:eastAsia="zh-CN"/>
                    </w:rPr>
                    <w:t>（6）</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7</w:t>
                  </w:r>
                  <w:r>
                    <w:rPr>
                      <w:rFonts w:hint="eastAsia"/>
                      <w:kern w:val="2"/>
                      <w:sz w:val="21"/>
                      <w:szCs w:val="21"/>
                      <w:lang w:eastAsia="zh-CN"/>
                    </w:rPr>
                    <w:t>（6）</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甲、乙类物品生产厂房、库房和甲乙类液体储罐</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15.5</w:t>
                  </w:r>
                  <w:r>
                    <w:rPr>
                      <w:rFonts w:hint="eastAsia"/>
                      <w:kern w:val="2"/>
                      <w:sz w:val="21"/>
                      <w:szCs w:val="21"/>
                      <w:lang w:eastAsia="zh-CN"/>
                    </w:rPr>
                    <w:t>（1</w:t>
                  </w:r>
                  <w:r>
                    <w:rPr>
                      <w:kern w:val="2"/>
                      <w:sz w:val="21"/>
                      <w:szCs w:val="21"/>
                      <w:lang w:eastAsia="zh-CN"/>
                    </w:rPr>
                    <w:t>1</w:t>
                  </w:r>
                  <w:r>
                    <w:rPr>
                      <w:rFonts w:hint="eastAsia"/>
                      <w:kern w:val="2"/>
                      <w:sz w:val="21"/>
                      <w:szCs w:val="21"/>
                      <w:lang w:eastAsia="zh-CN"/>
                    </w:rPr>
                    <w:t>）</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12.5</w:t>
                  </w:r>
                  <w:r>
                    <w:rPr>
                      <w:rFonts w:hint="eastAsia"/>
                      <w:kern w:val="2"/>
                      <w:sz w:val="21"/>
                      <w:szCs w:val="21"/>
                      <w:lang w:eastAsia="zh-CN"/>
                    </w:rPr>
                    <w:t>（9）</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12.5</w:t>
                  </w:r>
                  <w:r>
                    <w:rPr>
                      <w:rFonts w:hint="eastAsia"/>
                      <w:kern w:val="2"/>
                      <w:sz w:val="21"/>
                      <w:szCs w:val="21"/>
                      <w:lang w:eastAsia="zh-CN"/>
                    </w:rPr>
                    <w:t>（9）</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丙丁戊类物品生产厂</w:t>
                  </w:r>
                </w:p>
                <w:p>
                  <w:pPr>
                    <w:pStyle w:val="135"/>
                    <w:spacing w:line="240" w:lineRule="exact"/>
                    <w:jc w:val="center"/>
                    <w:rPr>
                      <w:kern w:val="2"/>
                      <w:sz w:val="21"/>
                      <w:szCs w:val="21"/>
                      <w:lang w:eastAsia="zh-CN"/>
                    </w:rPr>
                  </w:pPr>
                  <w:r>
                    <w:rPr>
                      <w:kern w:val="2"/>
                      <w:sz w:val="21"/>
                      <w:szCs w:val="21"/>
                      <w:lang w:eastAsia="zh-CN"/>
                    </w:rPr>
                    <w:t>房、库房和丙类液体储 罐，以及单罐容积不大 于50m</w:t>
                  </w:r>
                  <w:r>
                    <w:rPr>
                      <w:kern w:val="2"/>
                      <w:sz w:val="21"/>
                      <w:szCs w:val="21"/>
                      <w:vertAlign w:val="superscript"/>
                      <w:lang w:eastAsia="zh-CN"/>
                    </w:rPr>
                    <w:t>3</w:t>
                  </w:r>
                  <w:r>
                    <w:rPr>
                      <w:kern w:val="2"/>
                      <w:sz w:val="21"/>
                      <w:szCs w:val="21"/>
                      <w:lang w:eastAsia="zh-CN"/>
                    </w:rPr>
                    <w:t xml:space="preserve">的埋地甲乙类液体储罐 </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 xml:space="preserve"> 11</w:t>
                  </w:r>
                  <w:r>
                    <w:rPr>
                      <w:rFonts w:hint="eastAsia"/>
                      <w:kern w:val="2"/>
                      <w:sz w:val="21"/>
                      <w:szCs w:val="21"/>
                      <w:lang w:eastAsia="zh-CN"/>
                    </w:rPr>
                    <w:t>（9）</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10.5</w:t>
                  </w:r>
                  <w:r>
                    <w:rPr>
                      <w:rFonts w:hint="eastAsia"/>
                      <w:kern w:val="2"/>
                      <w:sz w:val="21"/>
                      <w:szCs w:val="21"/>
                      <w:lang w:eastAsia="zh-CN"/>
                    </w:rPr>
                    <w:t>（9）</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10.5</w:t>
                  </w:r>
                  <w:r>
                    <w:rPr>
                      <w:rFonts w:hint="eastAsia"/>
                      <w:kern w:val="2"/>
                      <w:sz w:val="21"/>
                      <w:szCs w:val="21"/>
                      <w:lang w:eastAsia="zh-CN"/>
                    </w:rPr>
                    <w:t>（9）</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室外变配电站</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15.5</w:t>
                  </w:r>
                  <w:r>
                    <w:rPr>
                      <w:rFonts w:hint="eastAsia"/>
                      <w:kern w:val="2"/>
                      <w:sz w:val="21"/>
                      <w:szCs w:val="21"/>
                      <w:lang w:eastAsia="zh-CN"/>
                    </w:rPr>
                    <w:t>（</w:t>
                  </w:r>
                  <w:r>
                    <w:rPr>
                      <w:kern w:val="2"/>
                      <w:sz w:val="21"/>
                      <w:szCs w:val="21"/>
                      <w:lang w:eastAsia="zh-CN"/>
                    </w:rPr>
                    <w:t>12.5</w:t>
                  </w:r>
                  <w:r>
                    <w:rPr>
                      <w:rFonts w:hint="eastAsia"/>
                      <w:kern w:val="2"/>
                      <w:sz w:val="21"/>
                      <w:szCs w:val="21"/>
                      <w:lang w:eastAsia="zh-CN"/>
                    </w:rPr>
                    <w:t>）</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12.5</w:t>
                  </w:r>
                  <w:r>
                    <w:rPr>
                      <w:rFonts w:hint="eastAsia"/>
                      <w:kern w:val="2"/>
                      <w:sz w:val="21"/>
                      <w:szCs w:val="21"/>
                      <w:lang w:eastAsia="zh-CN"/>
                    </w:rPr>
                    <w:t>（1</w:t>
                  </w:r>
                  <w:r>
                    <w:rPr>
                      <w:kern w:val="2"/>
                      <w:sz w:val="21"/>
                      <w:szCs w:val="21"/>
                      <w:lang w:eastAsia="zh-CN"/>
                    </w:rPr>
                    <w:t>2.5</w:t>
                  </w:r>
                  <w:r>
                    <w:rPr>
                      <w:rFonts w:hint="eastAsia"/>
                      <w:kern w:val="2"/>
                      <w:sz w:val="21"/>
                      <w:szCs w:val="21"/>
                      <w:lang w:eastAsia="zh-CN"/>
                    </w:rPr>
                    <w:t>）</w:t>
                  </w:r>
                </w:p>
              </w:tc>
              <w:tc>
                <w:tcPr>
                  <w:tcW w:w="592"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12.5</w:t>
                  </w:r>
                  <w:r>
                    <w:rPr>
                      <w:rFonts w:hint="eastAsia"/>
                      <w:kern w:val="2"/>
                      <w:sz w:val="21"/>
                      <w:szCs w:val="21"/>
                      <w:lang w:eastAsia="zh-CN"/>
                    </w:rPr>
                    <w:t>（1</w:t>
                  </w:r>
                  <w:r>
                    <w:rPr>
                      <w:kern w:val="2"/>
                      <w:sz w:val="21"/>
                      <w:szCs w:val="21"/>
                      <w:lang w:eastAsia="zh-CN"/>
                    </w:rPr>
                    <w:t>2.5</w:t>
                  </w:r>
                  <w:r>
                    <w:rPr>
                      <w:rFonts w:hint="eastAsia"/>
                      <w:kern w:val="2"/>
                      <w:sz w:val="21"/>
                      <w:szCs w:val="21"/>
                      <w:lang w:eastAsia="zh-CN"/>
                    </w:rPr>
                    <w:t>）</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铁路</w:t>
                  </w:r>
                  <w:r>
                    <w:rPr>
                      <w:rFonts w:hint="eastAsia"/>
                      <w:kern w:val="2"/>
                      <w:sz w:val="21"/>
                      <w:szCs w:val="21"/>
                      <w:lang w:eastAsia="zh-CN"/>
                    </w:rPr>
                    <w:t>、地上城市轨道线路</w:t>
                  </w:r>
                </w:p>
              </w:tc>
              <w:tc>
                <w:tcPr>
                  <w:tcW w:w="589" w:type="pct"/>
                  <w:noWrap w:val="0"/>
                  <w:vAlign w:val="center"/>
                </w:tcPr>
                <w:p>
                  <w:pPr>
                    <w:pStyle w:val="135"/>
                    <w:spacing w:line="240" w:lineRule="exact"/>
                    <w:jc w:val="center"/>
                    <w:rPr>
                      <w:rFonts w:hint="eastAsia"/>
                      <w:kern w:val="2"/>
                      <w:sz w:val="21"/>
                      <w:szCs w:val="21"/>
                      <w:lang w:eastAsia="zh-CN"/>
                    </w:rPr>
                  </w:pPr>
                  <w:r>
                    <w:rPr>
                      <w:kern w:val="2"/>
                      <w:sz w:val="21"/>
                      <w:szCs w:val="21"/>
                      <w:lang w:eastAsia="zh-CN"/>
                    </w:rPr>
                    <w:t>15.5</w:t>
                  </w:r>
                  <w:r>
                    <w:rPr>
                      <w:rFonts w:hint="eastAsia"/>
                      <w:kern w:val="2"/>
                      <w:sz w:val="21"/>
                      <w:szCs w:val="21"/>
                      <w:lang w:eastAsia="zh-CN"/>
                    </w:rPr>
                    <w:t>（1</w:t>
                  </w:r>
                  <w:r>
                    <w:rPr>
                      <w:kern w:val="2"/>
                      <w:sz w:val="21"/>
                      <w:szCs w:val="21"/>
                      <w:lang w:eastAsia="zh-CN"/>
                    </w:rPr>
                    <w:t>5</w:t>
                  </w:r>
                  <w:r>
                    <w:rPr>
                      <w:rFonts w:hint="eastAsia"/>
                      <w:kern w:val="2"/>
                      <w:sz w:val="21"/>
                      <w:szCs w:val="21"/>
                      <w:lang w:eastAsia="zh-CN"/>
                    </w:rPr>
                    <w:t>）</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15.5</w:t>
                  </w:r>
                  <w:r>
                    <w:rPr>
                      <w:rFonts w:hint="eastAsia"/>
                      <w:kern w:val="2"/>
                      <w:sz w:val="21"/>
                      <w:szCs w:val="21"/>
                      <w:lang w:eastAsia="zh-CN"/>
                    </w:rPr>
                    <w:t>（1</w:t>
                  </w:r>
                  <w:r>
                    <w:rPr>
                      <w:kern w:val="2"/>
                      <w:sz w:val="21"/>
                      <w:szCs w:val="21"/>
                      <w:lang w:eastAsia="zh-CN"/>
                    </w:rPr>
                    <w:t>5</w:t>
                  </w:r>
                  <w:r>
                    <w:rPr>
                      <w:rFonts w:hint="eastAsia"/>
                      <w:kern w:val="2"/>
                      <w:sz w:val="21"/>
                      <w:szCs w:val="21"/>
                      <w:lang w:eastAsia="zh-CN"/>
                    </w:rPr>
                    <w:t>）</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15.5</w:t>
                  </w:r>
                  <w:r>
                    <w:rPr>
                      <w:rFonts w:hint="eastAsia"/>
                      <w:kern w:val="2"/>
                      <w:sz w:val="21"/>
                      <w:szCs w:val="21"/>
                      <w:lang w:eastAsia="zh-CN"/>
                    </w:rPr>
                    <w:t>（1</w:t>
                  </w:r>
                  <w:r>
                    <w:rPr>
                      <w:kern w:val="2"/>
                      <w:sz w:val="21"/>
                      <w:szCs w:val="21"/>
                      <w:lang w:eastAsia="zh-CN"/>
                    </w:rPr>
                    <w:t>5</w:t>
                  </w:r>
                  <w:r>
                    <w:rPr>
                      <w:rFonts w:hint="eastAsia"/>
                      <w:kern w:val="2"/>
                      <w:sz w:val="21"/>
                      <w:szCs w:val="21"/>
                      <w:lang w:eastAsia="zh-CN"/>
                    </w:rPr>
                    <w:t>）</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城市快速路、主干道和高速公路、一级公路、二级公路</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5.5（3）</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5（3）</w:t>
                  </w:r>
                </w:p>
              </w:tc>
              <w:tc>
                <w:tcPr>
                  <w:tcW w:w="59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（3）</w:t>
                  </w:r>
                </w:p>
              </w:tc>
              <w:tc>
                <w:tcPr>
                  <w:tcW w:w="1657" w:type="pct"/>
                  <w:gridSpan w:val="3"/>
                  <w:noWrap w:val="0"/>
                  <w:vAlign w:val="center"/>
                </w:tcPr>
                <w:p>
                  <w:pPr>
                    <w:pStyle w:val="135"/>
                    <w:spacing w:line="240" w:lineRule="exact"/>
                    <w:jc w:val="center"/>
                    <w:rPr>
                      <w:kern w:val="2"/>
                      <w:sz w:val="21"/>
                      <w:szCs w:val="21"/>
                      <w:lang w:eastAsia="zh-CN"/>
                    </w:rPr>
                  </w:pPr>
                  <w:r>
                    <w:rPr>
                      <w:rFonts w:hint="eastAsia"/>
                      <w:sz w:val="21"/>
                      <w:szCs w:val="21"/>
                    </w:rPr>
                    <w:t>达陕高速G</w:t>
                  </w:r>
                  <w:r>
                    <w:rPr>
                      <w:sz w:val="21"/>
                      <w:szCs w:val="21"/>
                    </w:rPr>
                    <w:t>65</w:t>
                  </w:r>
                </w:p>
              </w:tc>
              <w:tc>
                <w:tcPr>
                  <w:tcW w:w="34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continue"/>
                  <w:noWrap w:val="0"/>
                  <w:vAlign w:val="center"/>
                </w:tcPr>
                <w:p>
                  <w:pPr>
                    <w:pStyle w:val="135"/>
                    <w:spacing w:line="240" w:lineRule="exact"/>
                    <w:jc w:val="center"/>
                    <w:rPr>
                      <w:rFonts w:hint="eastAsia"/>
                      <w:kern w:val="2"/>
                      <w:sz w:val="21"/>
                      <w:szCs w:val="21"/>
                      <w:lang w:eastAsia="zh-CN"/>
                    </w:rPr>
                  </w:pPr>
                </w:p>
              </w:tc>
              <w:tc>
                <w:tcPr>
                  <w:tcW w:w="589" w:type="pct"/>
                  <w:vMerge w:val="continue"/>
                  <w:noWrap w:val="0"/>
                  <w:vAlign w:val="center"/>
                </w:tcPr>
                <w:p>
                  <w:pPr>
                    <w:pStyle w:val="135"/>
                    <w:spacing w:line="240" w:lineRule="exact"/>
                    <w:jc w:val="center"/>
                    <w:rPr>
                      <w:rFonts w:hint="eastAsia"/>
                      <w:kern w:val="2"/>
                      <w:sz w:val="21"/>
                      <w:szCs w:val="21"/>
                      <w:lang w:eastAsia="zh-CN"/>
                    </w:rPr>
                  </w:pPr>
                </w:p>
              </w:tc>
              <w:tc>
                <w:tcPr>
                  <w:tcW w:w="589" w:type="pct"/>
                  <w:vMerge w:val="continue"/>
                  <w:noWrap w:val="0"/>
                  <w:vAlign w:val="center"/>
                </w:tcPr>
                <w:p>
                  <w:pPr>
                    <w:pStyle w:val="135"/>
                    <w:spacing w:line="240" w:lineRule="exact"/>
                    <w:jc w:val="center"/>
                    <w:rPr>
                      <w:rFonts w:hint="eastAsia"/>
                      <w:kern w:val="2"/>
                      <w:sz w:val="21"/>
                      <w:szCs w:val="21"/>
                      <w:lang w:eastAsia="zh-CN"/>
                    </w:rPr>
                  </w:pPr>
                </w:p>
              </w:tc>
              <w:tc>
                <w:tcPr>
                  <w:tcW w:w="592" w:type="pct"/>
                  <w:vMerge w:val="continue"/>
                  <w:noWrap w:val="0"/>
                  <w:vAlign w:val="center"/>
                </w:tcPr>
                <w:p>
                  <w:pPr>
                    <w:pStyle w:val="135"/>
                    <w:spacing w:line="240" w:lineRule="exact"/>
                    <w:jc w:val="center"/>
                    <w:rPr>
                      <w:kern w:val="2"/>
                      <w:sz w:val="21"/>
                      <w:szCs w:val="21"/>
                      <w:lang w:eastAsia="zh-CN"/>
                    </w:rPr>
                  </w:pP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60（56）</w:t>
                  </w: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75（7</w:t>
                  </w:r>
                  <w:r>
                    <w:rPr>
                      <w:kern w:val="2"/>
                      <w:sz w:val="21"/>
                      <w:szCs w:val="21"/>
                      <w:lang w:eastAsia="zh-CN"/>
                    </w:rPr>
                    <w:t>5</w:t>
                  </w:r>
                  <w:r>
                    <w:rPr>
                      <w:rFonts w:hint="eastAsia"/>
                      <w:kern w:val="2"/>
                      <w:sz w:val="21"/>
                      <w:szCs w:val="21"/>
                      <w:lang w:eastAsia="zh-CN"/>
                    </w:rPr>
                    <w:t>）</w:t>
                  </w:r>
                </w:p>
              </w:tc>
              <w:tc>
                <w:tcPr>
                  <w:tcW w:w="55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60（60）</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城市</w:t>
                  </w:r>
                  <w:r>
                    <w:rPr>
                      <w:kern w:val="2"/>
                      <w:sz w:val="21"/>
                      <w:szCs w:val="21"/>
                      <w:lang w:eastAsia="zh-CN"/>
                    </w:rPr>
                    <w:t>次干路、支路</w:t>
                  </w:r>
                  <w:r>
                    <w:rPr>
                      <w:rFonts w:hint="eastAsia"/>
                      <w:kern w:val="2"/>
                      <w:sz w:val="21"/>
                      <w:szCs w:val="21"/>
                      <w:lang w:eastAsia="zh-CN"/>
                    </w:rPr>
                    <w:t>和三级公路、四级公路</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5（3）</w:t>
                  </w:r>
                </w:p>
              </w:tc>
              <w:tc>
                <w:tcPr>
                  <w:tcW w:w="589"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5（3）</w:t>
                  </w:r>
                </w:p>
              </w:tc>
              <w:tc>
                <w:tcPr>
                  <w:tcW w:w="592"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5（3）</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环岛路</w:t>
                  </w:r>
                </w:p>
              </w:tc>
              <w:tc>
                <w:tcPr>
                  <w:tcW w:w="34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vMerge w:val="continue"/>
                  <w:noWrap w:val="0"/>
                  <w:vAlign w:val="center"/>
                </w:tcPr>
                <w:p>
                  <w:pPr>
                    <w:pStyle w:val="135"/>
                    <w:spacing w:line="240" w:lineRule="exact"/>
                    <w:jc w:val="center"/>
                    <w:rPr>
                      <w:rFonts w:hint="eastAsia"/>
                      <w:kern w:val="2"/>
                      <w:sz w:val="21"/>
                      <w:szCs w:val="21"/>
                      <w:lang w:eastAsia="zh-CN"/>
                    </w:rPr>
                  </w:pPr>
                </w:p>
              </w:tc>
              <w:tc>
                <w:tcPr>
                  <w:tcW w:w="589" w:type="pct"/>
                  <w:vMerge w:val="continue"/>
                  <w:noWrap w:val="0"/>
                  <w:vAlign w:val="center"/>
                </w:tcPr>
                <w:p>
                  <w:pPr>
                    <w:pStyle w:val="135"/>
                    <w:spacing w:line="240" w:lineRule="exact"/>
                    <w:jc w:val="center"/>
                    <w:rPr>
                      <w:rFonts w:hint="eastAsia"/>
                      <w:kern w:val="2"/>
                      <w:sz w:val="21"/>
                      <w:szCs w:val="21"/>
                      <w:lang w:eastAsia="zh-CN"/>
                    </w:rPr>
                  </w:pPr>
                </w:p>
              </w:tc>
              <w:tc>
                <w:tcPr>
                  <w:tcW w:w="589" w:type="pct"/>
                  <w:vMerge w:val="continue"/>
                  <w:noWrap w:val="0"/>
                  <w:vAlign w:val="center"/>
                </w:tcPr>
                <w:p>
                  <w:pPr>
                    <w:pStyle w:val="135"/>
                    <w:spacing w:line="240" w:lineRule="exact"/>
                    <w:jc w:val="center"/>
                    <w:rPr>
                      <w:rFonts w:hint="eastAsia"/>
                      <w:kern w:val="2"/>
                      <w:sz w:val="21"/>
                      <w:szCs w:val="21"/>
                      <w:lang w:eastAsia="zh-CN"/>
                    </w:rPr>
                  </w:pPr>
                </w:p>
              </w:tc>
              <w:tc>
                <w:tcPr>
                  <w:tcW w:w="592" w:type="pct"/>
                  <w:vMerge w:val="continue"/>
                  <w:noWrap w:val="0"/>
                  <w:vAlign w:val="center"/>
                </w:tcPr>
                <w:p>
                  <w:pPr>
                    <w:pStyle w:val="135"/>
                    <w:spacing w:line="240" w:lineRule="exact"/>
                    <w:jc w:val="center"/>
                    <w:rPr>
                      <w:rFonts w:hint="eastAsia"/>
                      <w:kern w:val="2"/>
                      <w:sz w:val="21"/>
                      <w:szCs w:val="21"/>
                      <w:lang w:eastAsia="zh-CN"/>
                    </w:rPr>
                  </w:pP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54.4（54.4）</w:t>
                  </w: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27.2（17.1）</w:t>
                  </w:r>
                </w:p>
              </w:tc>
              <w:tc>
                <w:tcPr>
                  <w:tcW w:w="55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65（65）</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31" w:type="pct"/>
                  <w:gridSpan w:val="2"/>
                  <w:noWrap w:val="0"/>
                  <w:vAlign w:val="center"/>
                </w:tcPr>
                <w:p>
                  <w:pPr>
                    <w:pStyle w:val="135"/>
                    <w:spacing w:line="240" w:lineRule="exact"/>
                    <w:jc w:val="center"/>
                    <w:rPr>
                      <w:kern w:val="2"/>
                      <w:sz w:val="21"/>
                      <w:szCs w:val="21"/>
                      <w:lang w:eastAsia="zh-CN"/>
                    </w:rPr>
                  </w:pPr>
                  <w:r>
                    <w:rPr>
                      <w:kern w:val="2"/>
                      <w:sz w:val="21"/>
                      <w:szCs w:val="21"/>
                      <w:lang w:eastAsia="zh-CN"/>
                    </w:rPr>
                    <w:t>架空通信线</w:t>
                  </w:r>
                  <w:r>
                    <w:rPr>
                      <w:rFonts w:hint="eastAsia"/>
                      <w:kern w:val="2"/>
                      <w:sz w:val="21"/>
                      <w:szCs w:val="21"/>
                      <w:lang w:eastAsia="zh-CN"/>
                    </w:rPr>
                    <w:t>路</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（5）</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（5）</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（5）</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架空电力线路</w:t>
                  </w:r>
                </w:p>
              </w:tc>
              <w:tc>
                <w:tcPr>
                  <w:tcW w:w="906"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无绝缘层</w:t>
                  </w:r>
                </w:p>
              </w:tc>
              <w:tc>
                <w:tcPr>
                  <w:tcW w:w="589"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1.0</w:t>
                  </w:r>
                  <w:r>
                    <w:rPr>
                      <w:rFonts w:hint="eastAsia"/>
                      <w:kern w:val="2"/>
                      <w:sz w:val="21"/>
                      <w:szCs w:val="21"/>
                      <w:lang w:eastAsia="zh-CN"/>
                    </w:rPr>
                    <w:t>（0.75）H，且≥6.5</w:t>
                  </w:r>
                </w:p>
              </w:tc>
              <w:tc>
                <w:tcPr>
                  <w:tcW w:w="589"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6.5</w:t>
                  </w:r>
                  <w:r>
                    <w:rPr>
                      <w:rFonts w:hint="eastAsia"/>
                      <w:kern w:val="2"/>
                      <w:sz w:val="21"/>
                      <w:szCs w:val="21"/>
                      <w:lang w:eastAsia="zh-CN"/>
                    </w:rPr>
                    <w:t>（6.5）</w:t>
                  </w:r>
                </w:p>
              </w:tc>
              <w:tc>
                <w:tcPr>
                  <w:tcW w:w="59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6.5</w:t>
                  </w:r>
                  <w:r>
                    <w:rPr>
                      <w:rFonts w:hint="eastAsia"/>
                      <w:kern w:val="2"/>
                      <w:sz w:val="21"/>
                      <w:szCs w:val="21"/>
                      <w:lang w:eastAsia="zh-CN"/>
                    </w:rPr>
                    <w:t>（6.5）</w:t>
                  </w:r>
                </w:p>
              </w:tc>
              <w:tc>
                <w:tcPr>
                  <w:tcW w:w="1657" w:type="pct"/>
                  <w:gridSpan w:val="3"/>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110kV架空线路</w:t>
                  </w:r>
                </w:p>
              </w:tc>
              <w:tc>
                <w:tcPr>
                  <w:tcW w:w="342"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continue"/>
                  <w:noWrap w:val="0"/>
                  <w:vAlign w:val="center"/>
                </w:tcPr>
                <w:p>
                  <w:pPr>
                    <w:pStyle w:val="135"/>
                    <w:spacing w:line="240" w:lineRule="exact"/>
                    <w:jc w:val="center"/>
                    <w:rPr>
                      <w:kern w:val="2"/>
                      <w:sz w:val="21"/>
                      <w:szCs w:val="21"/>
                      <w:lang w:eastAsia="zh-CN"/>
                    </w:rPr>
                  </w:pPr>
                </w:p>
              </w:tc>
              <w:tc>
                <w:tcPr>
                  <w:tcW w:w="906" w:type="pct"/>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89" w:type="pct"/>
                  <w:vMerge w:val="continue"/>
                  <w:noWrap w:val="0"/>
                  <w:vAlign w:val="center"/>
                </w:tcPr>
                <w:p>
                  <w:pPr>
                    <w:pStyle w:val="135"/>
                    <w:spacing w:line="240" w:lineRule="exact"/>
                    <w:jc w:val="center"/>
                    <w:rPr>
                      <w:kern w:val="2"/>
                      <w:sz w:val="21"/>
                      <w:szCs w:val="21"/>
                      <w:lang w:eastAsia="zh-CN"/>
                    </w:rPr>
                  </w:pPr>
                </w:p>
              </w:tc>
              <w:tc>
                <w:tcPr>
                  <w:tcW w:w="592" w:type="pct"/>
                  <w:vMerge w:val="continue"/>
                  <w:noWrap w:val="0"/>
                  <w:vAlign w:val="center"/>
                </w:tcPr>
                <w:p>
                  <w:pPr>
                    <w:pStyle w:val="135"/>
                    <w:spacing w:line="240" w:lineRule="exact"/>
                    <w:jc w:val="center"/>
                    <w:rPr>
                      <w:kern w:val="2"/>
                      <w:sz w:val="21"/>
                      <w:szCs w:val="21"/>
                      <w:lang w:eastAsia="zh-CN"/>
                    </w:rPr>
                  </w:pP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3</w:t>
                  </w:r>
                  <w:r>
                    <w:rPr>
                      <w:kern w:val="2"/>
                      <w:sz w:val="21"/>
                      <w:szCs w:val="21"/>
                      <w:lang w:eastAsia="zh-CN"/>
                    </w:rPr>
                    <w:t>5</w:t>
                  </w:r>
                  <w:r>
                    <w:rPr>
                      <w:rFonts w:hint="eastAsia"/>
                      <w:kern w:val="2"/>
                      <w:sz w:val="21"/>
                      <w:szCs w:val="21"/>
                      <w:lang w:eastAsia="zh-CN"/>
                    </w:rPr>
                    <w:t>（</w:t>
                  </w:r>
                  <w:r>
                    <w:rPr>
                      <w:kern w:val="2"/>
                      <w:sz w:val="21"/>
                      <w:szCs w:val="21"/>
                      <w:lang w:eastAsia="zh-CN"/>
                    </w:rPr>
                    <w:t>35</w:t>
                  </w:r>
                  <w:r>
                    <w:rPr>
                      <w:rFonts w:hint="eastAsia"/>
                      <w:kern w:val="2"/>
                      <w:sz w:val="21"/>
                      <w:szCs w:val="21"/>
                      <w:lang w:eastAsia="zh-CN"/>
                    </w:rPr>
                    <w:t>）</w:t>
                  </w:r>
                </w:p>
              </w:tc>
              <w:tc>
                <w:tcPr>
                  <w:tcW w:w="552"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47（47）</w:t>
                  </w:r>
                </w:p>
              </w:tc>
              <w:tc>
                <w:tcPr>
                  <w:tcW w:w="55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40（40）</w:t>
                  </w:r>
                </w:p>
              </w:tc>
              <w:tc>
                <w:tcPr>
                  <w:tcW w:w="342"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5" w:type="pct"/>
                  <w:vMerge w:val="continue"/>
                  <w:noWrap w:val="0"/>
                  <w:vAlign w:val="center"/>
                </w:tcPr>
                <w:p>
                  <w:pPr>
                    <w:pStyle w:val="135"/>
                    <w:spacing w:line="240" w:lineRule="exact"/>
                    <w:jc w:val="center"/>
                    <w:rPr>
                      <w:kern w:val="2"/>
                      <w:sz w:val="21"/>
                      <w:szCs w:val="21"/>
                      <w:lang w:eastAsia="zh-CN"/>
                    </w:rPr>
                  </w:pPr>
                </w:p>
              </w:tc>
              <w:tc>
                <w:tcPr>
                  <w:tcW w:w="906" w:type="pct"/>
                  <w:noWrap w:val="0"/>
                  <w:vAlign w:val="center"/>
                </w:tcPr>
                <w:p>
                  <w:pPr>
                    <w:pStyle w:val="135"/>
                    <w:spacing w:line="240" w:lineRule="exact"/>
                    <w:jc w:val="center"/>
                    <w:rPr>
                      <w:kern w:val="2"/>
                      <w:sz w:val="21"/>
                      <w:szCs w:val="21"/>
                      <w:lang w:eastAsia="zh-CN"/>
                    </w:rPr>
                  </w:pPr>
                  <w:r>
                    <w:rPr>
                      <w:kern w:val="2"/>
                      <w:sz w:val="21"/>
                      <w:szCs w:val="21"/>
                      <w:lang w:eastAsia="zh-CN"/>
                    </w:rPr>
                    <w:t>有绝缘层</w:t>
                  </w:r>
                </w:p>
              </w:tc>
              <w:tc>
                <w:tcPr>
                  <w:tcW w:w="589"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0.75（0.5）H，且≥5</w:t>
                  </w:r>
                </w:p>
              </w:tc>
              <w:tc>
                <w:tcPr>
                  <w:tcW w:w="589" w:type="pc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（5）</w:t>
                  </w:r>
                </w:p>
              </w:tc>
              <w:tc>
                <w:tcPr>
                  <w:tcW w:w="592" w:type="pct"/>
                  <w:noWrap w:val="0"/>
                  <w:vAlign w:val="center"/>
                </w:tcPr>
                <w:p>
                  <w:pPr>
                    <w:pStyle w:val="135"/>
                    <w:spacing w:line="240" w:lineRule="exact"/>
                    <w:jc w:val="center"/>
                    <w:rPr>
                      <w:kern w:val="2"/>
                      <w:sz w:val="21"/>
                      <w:szCs w:val="21"/>
                      <w:lang w:eastAsia="zh-CN"/>
                    </w:rPr>
                  </w:pPr>
                  <w:r>
                    <w:rPr>
                      <w:kern w:val="2"/>
                      <w:sz w:val="21"/>
                      <w:szCs w:val="21"/>
                      <w:lang w:eastAsia="zh-CN"/>
                    </w:rPr>
                    <w:t>5</w:t>
                  </w:r>
                  <w:r>
                    <w:rPr>
                      <w:rFonts w:hint="eastAsia"/>
                      <w:kern w:val="2"/>
                      <w:sz w:val="21"/>
                      <w:szCs w:val="21"/>
                      <w:lang w:eastAsia="zh-CN"/>
                    </w:rPr>
                    <w:t>（5）</w:t>
                  </w:r>
                </w:p>
              </w:tc>
              <w:tc>
                <w:tcPr>
                  <w:tcW w:w="1657" w:type="pct"/>
                  <w:gridSpan w:val="3"/>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342"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bl>
          <w:p>
            <w:pPr>
              <w:spacing w:line="360" w:lineRule="auto"/>
              <w:ind w:firstLine="422" w:firstLineChars="200"/>
              <w:rPr>
                <w:b/>
                <w:bCs/>
                <w:szCs w:val="21"/>
              </w:rPr>
            </w:pPr>
            <w:r>
              <w:rPr>
                <w:rFonts w:hint="eastAsia"/>
                <w:b/>
                <w:bCs/>
                <w:szCs w:val="21"/>
              </w:rPr>
              <w:t>注：110kV架空线塔高30</w:t>
            </w:r>
            <w:r>
              <w:rPr>
                <w:b/>
                <w:bCs/>
                <w:szCs w:val="21"/>
              </w:rPr>
              <w:t>m</w:t>
            </w:r>
            <w:r>
              <w:rPr>
                <w:rFonts w:hint="eastAsia"/>
                <w:b/>
                <w:bCs/>
                <w:szCs w:val="21"/>
              </w:rPr>
              <w:t>。</w:t>
            </w:r>
          </w:p>
          <w:p>
            <w:pPr>
              <w:spacing w:line="360" w:lineRule="auto"/>
              <w:ind w:firstLine="480" w:firstLineChars="200"/>
              <w:rPr>
                <w:sz w:val="24"/>
              </w:rPr>
            </w:pPr>
            <w:r>
              <w:rPr>
                <w:sz w:val="24"/>
              </w:rPr>
              <w:t>根据上表所述，本项目</w:t>
            </w:r>
            <w:r>
              <w:rPr>
                <w:rFonts w:hint="eastAsia"/>
                <w:sz w:val="24"/>
              </w:rPr>
              <w:t>汽柴油设备</w:t>
            </w:r>
            <w:r>
              <w:rPr>
                <w:sz w:val="24"/>
              </w:rPr>
              <w:t>选址情况能满足《</w:t>
            </w:r>
            <w:r>
              <w:rPr>
                <w:rFonts w:hint="eastAsia"/>
                <w:sz w:val="24"/>
              </w:rPr>
              <w:t>汽车加油加气加氢站技术标准</w:t>
            </w:r>
            <w:r>
              <w:rPr>
                <w:sz w:val="24"/>
              </w:rPr>
              <w:t>》（</w:t>
            </w:r>
            <w:r>
              <w:rPr>
                <w:rFonts w:hint="eastAsia"/>
                <w:sz w:val="24"/>
              </w:rPr>
              <w:t>GB50156-2021</w:t>
            </w:r>
            <w:r>
              <w:rPr>
                <w:sz w:val="24"/>
              </w:rPr>
              <w:t>）的选址要求。</w:t>
            </w:r>
          </w:p>
          <w:p>
            <w:pPr>
              <w:spacing w:line="360" w:lineRule="auto"/>
              <w:ind w:firstLine="480" w:firstLineChars="20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sz w:val="24"/>
              </w:rPr>
              <w:t>本项目</w:t>
            </w:r>
            <w:r>
              <w:rPr>
                <w:rFonts w:hint="eastAsia"/>
                <w:sz w:val="24"/>
              </w:rPr>
              <w:t>LNG工艺设备</w:t>
            </w:r>
            <w:r>
              <w:rPr>
                <w:sz w:val="24"/>
              </w:rPr>
              <w:t>与《汽车加油加气加氢站技术标准》</w:t>
            </w:r>
            <w:r>
              <w:rPr>
                <w:rFonts w:hint="eastAsia"/>
                <w:sz w:val="24"/>
              </w:rPr>
              <w:t>（</w:t>
            </w:r>
            <w:r>
              <w:rPr>
                <w:sz w:val="24"/>
              </w:rPr>
              <w:t>GB50156-2021</w:t>
            </w:r>
            <w:r>
              <w:rPr>
                <w:rFonts w:hint="eastAsia"/>
                <w:sz w:val="24"/>
              </w:rPr>
              <w:t>）</w:t>
            </w:r>
            <w:r>
              <w:rPr>
                <w:sz w:val="24"/>
              </w:rPr>
              <w:t>中</w:t>
            </w:r>
            <w:r>
              <w:rPr>
                <w:rFonts w:hint="eastAsia"/>
                <w:sz w:val="24"/>
              </w:rPr>
              <w:t>“</w:t>
            </w:r>
            <w:r>
              <w:rPr>
                <w:sz w:val="24"/>
              </w:rPr>
              <w:t>与站外建</w:t>
            </w:r>
            <w:r>
              <w:rPr>
                <w:rFonts w:hint="eastAsia"/>
                <w:sz w:val="24"/>
              </w:rPr>
              <w:t>（</w:t>
            </w:r>
            <w:r>
              <w:rPr>
                <w:sz w:val="24"/>
              </w:rPr>
              <w:t>构</w:t>
            </w:r>
            <w:r>
              <w:rPr>
                <w:rFonts w:hint="eastAsia"/>
                <w:sz w:val="24"/>
              </w:rPr>
              <w:t>）</w:t>
            </w:r>
            <w:r>
              <w:rPr>
                <w:sz w:val="24"/>
              </w:rPr>
              <w:t>筑物安全距离</w:t>
            </w:r>
            <w:r>
              <w:rPr>
                <w:rFonts w:hint="eastAsia"/>
                <w:sz w:val="24"/>
              </w:rPr>
              <w:t>”</w:t>
            </w:r>
            <w:r>
              <w:rPr>
                <w:sz w:val="24"/>
              </w:rPr>
              <w:t>的符合性分析见下表</w:t>
            </w:r>
            <w:r>
              <w:rPr>
                <w:rFonts w:hint="eastAsia"/>
                <w:sz w:val="24"/>
              </w:rPr>
              <w:t>1-1</w:t>
            </w:r>
            <w:r>
              <w:rPr>
                <w:sz w:val="24"/>
              </w:rPr>
              <w:t>5所示。</w:t>
            </w:r>
          </w:p>
          <w:p>
            <w:pPr>
              <w:pStyle w:val="775"/>
              <w:adjustRightInd w:val="0"/>
              <w:snapToGrid w:val="0"/>
              <w:spacing w:line="240" w:lineRule="auto"/>
              <w:ind w:firstLineChars="0"/>
              <w:jc w:val="center"/>
              <w:rPr>
                <w:b/>
                <w:bCs/>
                <w:sz w:val="21"/>
                <w:szCs w:val="21"/>
              </w:rPr>
            </w:pPr>
            <w:r>
              <w:rPr>
                <w:b/>
                <w:bCs/>
                <w:sz w:val="21"/>
                <w:szCs w:val="21"/>
              </w:rPr>
              <w:t>表</w:t>
            </w:r>
            <w:r>
              <w:rPr>
                <w:rFonts w:hint="eastAsia"/>
                <w:b/>
                <w:bCs/>
                <w:sz w:val="21"/>
                <w:szCs w:val="21"/>
              </w:rPr>
              <w:t>1-1</w:t>
            </w:r>
            <w:r>
              <w:rPr>
                <w:b/>
                <w:bCs/>
                <w:sz w:val="21"/>
                <w:szCs w:val="21"/>
              </w:rPr>
              <w:t>5 项目</w:t>
            </w:r>
            <w:r>
              <w:rPr>
                <w:rFonts w:hint="eastAsia"/>
                <w:b/>
                <w:bCs/>
                <w:sz w:val="21"/>
                <w:szCs w:val="21"/>
              </w:rPr>
              <w:t>LNG工艺设备</w:t>
            </w:r>
            <w:r>
              <w:rPr>
                <w:b/>
                <w:bCs/>
                <w:sz w:val="21"/>
                <w:szCs w:val="21"/>
              </w:rPr>
              <w:t>与站外建</w:t>
            </w:r>
            <w:r>
              <w:rPr>
                <w:rFonts w:hint="eastAsia"/>
                <w:b/>
                <w:bCs/>
                <w:sz w:val="21"/>
                <w:szCs w:val="21"/>
              </w:rPr>
              <w:t>（</w:t>
            </w:r>
            <w:r>
              <w:rPr>
                <w:b/>
                <w:bCs/>
                <w:sz w:val="21"/>
                <w:szCs w:val="21"/>
              </w:rPr>
              <w:t>构</w:t>
            </w:r>
            <w:r>
              <w:rPr>
                <w:rFonts w:hint="eastAsia"/>
                <w:b/>
                <w:bCs/>
                <w:sz w:val="21"/>
                <w:szCs w:val="21"/>
              </w:rPr>
              <w:t>）</w:t>
            </w:r>
            <w:r>
              <w:rPr>
                <w:b/>
                <w:bCs/>
                <w:sz w:val="21"/>
                <w:szCs w:val="21"/>
              </w:rPr>
              <w:t>筑物安全距离 (m)</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3"/>
              <w:gridCol w:w="1417"/>
              <w:gridCol w:w="1284"/>
              <w:gridCol w:w="1419"/>
              <w:gridCol w:w="875"/>
              <w:gridCol w:w="208"/>
              <w:gridCol w:w="666"/>
              <w:gridCol w:w="90"/>
              <w:gridCol w:w="784"/>
              <w:gridCol w:w="65"/>
              <w:gridCol w:w="810"/>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restart"/>
                  <w:noWrap w:val="0"/>
                  <w:vAlign w:val="center"/>
                </w:tcPr>
                <w:p>
                  <w:pPr>
                    <w:pStyle w:val="135"/>
                    <w:spacing w:line="240" w:lineRule="exact"/>
                    <w:jc w:val="center"/>
                    <w:rPr>
                      <w:b/>
                      <w:bCs/>
                      <w:kern w:val="2"/>
                      <w:sz w:val="21"/>
                      <w:szCs w:val="21"/>
                      <w:lang w:eastAsia="zh-CN"/>
                    </w:rPr>
                  </w:pPr>
                  <w:r>
                    <w:rPr>
                      <w:b/>
                      <w:bCs/>
                      <w:kern w:val="2"/>
                      <w:sz w:val="21"/>
                      <w:szCs w:val="21"/>
                      <w:lang w:eastAsia="zh-CN"/>
                    </w:rPr>
                    <w:t>站外建（构）筑物</w:t>
                  </w:r>
                </w:p>
              </w:tc>
              <w:tc>
                <w:tcPr>
                  <w:tcW w:w="1530" w:type="pct"/>
                  <w:gridSpan w:val="2"/>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（GB50156-2021）</w:t>
                  </w:r>
                  <w:r>
                    <w:rPr>
                      <w:b/>
                      <w:bCs/>
                      <w:kern w:val="2"/>
                      <w:sz w:val="21"/>
                      <w:szCs w:val="21"/>
                      <w:lang w:eastAsia="zh-CN"/>
                    </w:rPr>
                    <w:t>中</w:t>
                  </w:r>
                  <w:r>
                    <w:rPr>
                      <w:rFonts w:hint="eastAsia"/>
                      <w:b/>
                      <w:bCs/>
                      <w:kern w:val="2"/>
                      <w:sz w:val="21"/>
                      <w:szCs w:val="21"/>
                      <w:lang w:eastAsia="zh-CN"/>
                    </w:rPr>
                    <w:t>二</w:t>
                  </w:r>
                  <w:r>
                    <w:rPr>
                      <w:b/>
                      <w:bCs/>
                      <w:kern w:val="2"/>
                      <w:sz w:val="21"/>
                      <w:szCs w:val="21"/>
                      <w:lang w:eastAsia="zh-CN"/>
                    </w:rPr>
                    <w:t>级站</w:t>
                  </w:r>
                  <w:r>
                    <w:rPr>
                      <w:rFonts w:hint="eastAsia"/>
                      <w:b/>
                      <w:bCs/>
                      <w:kern w:val="2"/>
                      <w:sz w:val="21"/>
                      <w:szCs w:val="21"/>
                      <w:lang w:eastAsia="zh-CN"/>
                    </w:rPr>
                    <w:t>站内LNG工艺设备</w:t>
                  </w:r>
                  <w:r>
                    <w:rPr>
                      <w:b/>
                      <w:bCs/>
                      <w:kern w:val="2"/>
                      <w:sz w:val="21"/>
                      <w:szCs w:val="21"/>
                      <w:lang w:eastAsia="zh-CN"/>
                    </w:rPr>
                    <w:t>安全间距</w:t>
                  </w:r>
                </w:p>
              </w:tc>
              <w:tc>
                <w:tcPr>
                  <w:tcW w:w="1979" w:type="pct"/>
                  <w:gridSpan w:val="7"/>
                  <w:noWrap w:val="0"/>
                  <w:vAlign w:val="center"/>
                </w:tcPr>
                <w:p>
                  <w:pPr>
                    <w:pStyle w:val="135"/>
                    <w:spacing w:line="240" w:lineRule="exact"/>
                    <w:jc w:val="center"/>
                    <w:rPr>
                      <w:b/>
                      <w:bCs/>
                      <w:kern w:val="2"/>
                      <w:sz w:val="21"/>
                      <w:szCs w:val="21"/>
                      <w:lang w:eastAsia="zh-CN"/>
                    </w:rPr>
                  </w:pPr>
                  <w:r>
                    <w:rPr>
                      <w:b/>
                      <w:bCs/>
                      <w:kern w:val="2"/>
                      <w:sz w:val="21"/>
                      <w:szCs w:val="21"/>
                      <w:lang w:eastAsia="zh-CN"/>
                    </w:rPr>
                    <w:t>本项目（</w:t>
                  </w:r>
                  <w:r>
                    <w:rPr>
                      <w:rFonts w:hint="eastAsia"/>
                      <w:b/>
                      <w:bCs/>
                      <w:kern w:val="2"/>
                      <w:sz w:val="21"/>
                      <w:szCs w:val="21"/>
                      <w:lang w:eastAsia="zh-CN"/>
                    </w:rPr>
                    <w:t>LNG与加油站合建站</w:t>
                  </w:r>
                  <w:r>
                    <w:rPr>
                      <w:b/>
                      <w:bCs/>
                      <w:kern w:val="2"/>
                      <w:sz w:val="21"/>
                      <w:szCs w:val="21"/>
                      <w:lang w:eastAsia="zh-CN"/>
                    </w:rPr>
                    <w:t>）</w:t>
                  </w:r>
                  <w:r>
                    <w:rPr>
                      <w:rFonts w:hint="eastAsia"/>
                      <w:b/>
                      <w:bCs/>
                      <w:kern w:val="2"/>
                      <w:sz w:val="21"/>
                      <w:szCs w:val="21"/>
                      <w:lang w:eastAsia="zh-CN"/>
                    </w:rPr>
                    <w:t>内LNG工艺设备</w:t>
                  </w:r>
                </w:p>
              </w:tc>
              <w:tc>
                <w:tcPr>
                  <w:tcW w:w="291" w:type="pct"/>
                  <w:vMerge w:val="restart"/>
                  <w:noWrap w:val="0"/>
                  <w:vAlign w:val="center"/>
                </w:tcPr>
                <w:p>
                  <w:pPr>
                    <w:pStyle w:val="135"/>
                    <w:spacing w:line="240" w:lineRule="exact"/>
                    <w:jc w:val="center"/>
                    <w:rPr>
                      <w:b/>
                      <w:bCs/>
                      <w:kern w:val="2"/>
                      <w:sz w:val="21"/>
                      <w:szCs w:val="21"/>
                      <w:lang w:eastAsia="zh-CN"/>
                    </w:rPr>
                  </w:pPr>
                  <w:r>
                    <w:rPr>
                      <w:b/>
                      <w:bCs/>
                      <w:kern w:val="2"/>
                      <w:sz w:val="21"/>
                      <w:szCs w:val="21"/>
                      <w:lang w:eastAsia="zh-CN"/>
                    </w:rPr>
                    <w:t>是否 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continue"/>
                  <w:noWrap w:val="0"/>
                  <w:vAlign w:val="center"/>
                </w:tcPr>
                <w:p>
                  <w:pPr>
                    <w:pStyle w:val="135"/>
                    <w:spacing w:line="240" w:lineRule="exact"/>
                    <w:jc w:val="center"/>
                    <w:rPr>
                      <w:kern w:val="2"/>
                      <w:sz w:val="21"/>
                      <w:szCs w:val="21"/>
                      <w:lang w:eastAsia="zh-CN"/>
                    </w:rPr>
                  </w:pPr>
                </w:p>
              </w:tc>
              <w:tc>
                <w:tcPr>
                  <w:tcW w:w="727" w:type="pct"/>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地上LNG储罐</w:t>
                  </w:r>
                </w:p>
              </w:tc>
              <w:tc>
                <w:tcPr>
                  <w:tcW w:w="803" w:type="pct"/>
                  <w:noWrap w:val="0"/>
                  <w:vAlign w:val="center"/>
                </w:tcPr>
                <w:p>
                  <w:pPr>
                    <w:pStyle w:val="135"/>
                    <w:spacing w:line="240" w:lineRule="exact"/>
                    <w:jc w:val="center"/>
                    <w:rPr>
                      <w:rFonts w:hint="eastAsia"/>
                      <w:b/>
                      <w:bCs/>
                      <w:kern w:val="2"/>
                      <w:sz w:val="21"/>
                      <w:szCs w:val="21"/>
                      <w:lang w:eastAsia="zh-CN"/>
                    </w:rPr>
                  </w:pPr>
                  <w:r>
                    <w:rPr>
                      <w:rFonts w:hint="eastAsia"/>
                      <w:b/>
                      <w:bCs/>
                      <w:kern w:val="2"/>
                      <w:sz w:val="21"/>
                      <w:szCs w:val="21"/>
                      <w:lang w:eastAsia="zh-CN"/>
                    </w:rPr>
                    <w:t>防空管管口、LNG加气机、LNG卸车点</w:t>
                  </w:r>
                </w:p>
              </w:tc>
              <w:tc>
                <w:tcPr>
                  <w:tcW w:w="613" w:type="pct"/>
                  <w:gridSpan w:val="2"/>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LNG储罐</w:t>
                  </w:r>
                </w:p>
              </w:tc>
              <w:tc>
                <w:tcPr>
                  <w:tcW w:w="428" w:type="pct"/>
                  <w:gridSpan w:val="2"/>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放空管管口</w:t>
                  </w:r>
                  <w:r>
                    <w:rPr>
                      <w:b/>
                      <w:bCs/>
                      <w:kern w:val="2"/>
                      <w:sz w:val="21"/>
                      <w:szCs w:val="21"/>
                      <w:lang w:eastAsia="zh-CN"/>
                    </w:rPr>
                    <w:t xml:space="preserve"> </w:t>
                  </w:r>
                </w:p>
              </w:tc>
              <w:tc>
                <w:tcPr>
                  <w:tcW w:w="481" w:type="pct"/>
                  <w:gridSpan w:val="2"/>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LNG加气机</w:t>
                  </w:r>
                </w:p>
              </w:tc>
              <w:tc>
                <w:tcPr>
                  <w:tcW w:w="458" w:type="pct"/>
                  <w:noWrap w:val="0"/>
                  <w:vAlign w:val="center"/>
                </w:tcPr>
                <w:p>
                  <w:pPr>
                    <w:pStyle w:val="135"/>
                    <w:spacing w:line="240" w:lineRule="exact"/>
                    <w:jc w:val="center"/>
                    <w:rPr>
                      <w:b/>
                      <w:bCs/>
                      <w:kern w:val="2"/>
                      <w:sz w:val="21"/>
                      <w:szCs w:val="21"/>
                      <w:lang w:eastAsia="zh-CN"/>
                    </w:rPr>
                  </w:pPr>
                  <w:r>
                    <w:rPr>
                      <w:rFonts w:hint="eastAsia"/>
                      <w:b/>
                      <w:bCs/>
                      <w:kern w:val="2"/>
                      <w:sz w:val="21"/>
                      <w:szCs w:val="21"/>
                      <w:lang w:eastAsia="zh-CN"/>
                    </w:rPr>
                    <w:t>LNG卸车点</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restart"/>
                  <w:noWrap w:val="0"/>
                  <w:vAlign w:val="center"/>
                </w:tcPr>
                <w:p>
                  <w:pPr>
                    <w:pStyle w:val="135"/>
                    <w:spacing w:line="240" w:lineRule="exact"/>
                    <w:jc w:val="center"/>
                    <w:rPr>
                      <w:kern w:val="2"/>
                      <w:sz w:val="21"/>
                      <w:szCs w:val="21"/>
                      <w:lang w:eastAsia="zh-CN"/>
                    </w:rPr>
                  </w:pPr>
                  <w:r>
                    <w:rPr>
                      <w:kern w:val="2"/>
                      <w:sz w:val="21"/>
                      <w:szCs w:val="21"/>
                      <w:lang w:eastAsia="zh-CN"/>
                    </w:rPr>
                    <w:t>重要公共建筑物</w:t>
                  </w:r>
                </w:p>
              </w:tc>
              <w:tc>
                <w:tcPr>
                  <w:tcW w:w="727"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80</w:t>
                  </w:r>
                </w:p>
              </w:tc>
              <w:tc>
                <w:tcPr>
                  <w:tcW w:w="803"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50</w:t>
                  </w:r>
                </w:p>
              </w:tc>
              <w:tc>
                <w:tcPr>
                  <w:tcW w:w="1979" w:type="pct"/>
                  <w:gridSpan w:val="7"/>
                  <w:noWrap w:val="0"/>
                  <w:vAlign w:val="center"/>
                </w:tcPr>
                <w:p>
                  <w:pPr>
                    <w:pStyle w:val="135"/>
                    <w:spacing w:line="240" w:lineRule="exact"/>
                    <w:jc w:val="center"/>
                    <w:rPr>
                      <w:kern w:val="2"/>
                      <w:sz w:val="21"/>
                      <w:szCs w:val="21"/>
                      <w:lang w:eastAsia="zh-CN"/>
                    </w:rPr>
                  </w:pPr>
                  <w:r>
                    <w:rPr>
                      <w:rFonts w:hint="eastAsia"/>
                      <w:sz w:val="21"/>
                      <w:szCs w:val="21"/>
                      <w:lang w:eastAsia="zh-CN"/>
                    </w:rPr>
                    <w:t>通川区第一小学江湾城分校</w:t>
                  </w:r>
                </w:p>
              </w:tc>
              <w:tc>
                <w:tcPr>
                  <w:tcW w:w="29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continue"/>
                  <w:noWrap w:val="0"/>
                  <w:vAlign w:val="center"/>
                </w:tcPr>
                <w:p>
                  <w:pPr>
                    <w:pStyle w:val="135"/>
                    <w:spacing w:line="240" w:lineRule="exact"/>
                    <w:jc w:val="center"/>
                    <w:rPr>
                      <w:kern w:val="2"/>
                      <w:sz w:val="21"/>
                      <w:szCs w:val="21"/>
                      <w:lang w:eastAsia="zh-CN"/>
                    </w:rPr>
                  </w:pPr>
                </w:p>
              </w:tc>
              <w:tc>
                <w:tcPr>
                  <w:tcW w:w="727" w:type="pct"/>
                  <w:vMerge w:val="continue"/>
                  <w:noWrap w:val="0"/>
                  <w:vAlign w:val="center"/>
                </w:tcPr>
                <w:p>
                  <w:pPr>
                    <w:pStyle w:val="135"/>
                    <w:spacing w:line="240" w:lineRule="exact"/>
                    <w:jc w:val="center"/>
                    <w:rPr>
                      <w:kern w:val="2"/>
                      <w:sz w:val="21"/>
                      <w:szCs w:val="21"/>
                      <w:lang w:eastAsia="zh-CN"/>
                    </w:rPr>
                  </w:pPr>
                </w:p>
              </w:tc>
              <w:tc>
                <w:tcPr>
                  <w:tcW w:w="803" w:type="pct"/>
                  <w:vMerge w:val="continue"/>
                  <w:noWrap w:val="0"/>
                  <w:vAlign w:val="center"/>
                </w:tcPr>
                <w:p>
                  <w:pPr>
                    <w:pStyle w:val="135"/>
                    <w:spacing w:line="240" w:lineRule="exact"/>
                    <w:jc w:val="center"/>
                    <w:rPr>
                      <w:kern w:val="2"/>
                      <w:sz w:val="21"/>
                      <w:szCs w:val="21"/>
                      <w:lang w:eastAsia="zh-CN"/>
                    </w:rPr>
                  </w:pPr>
                </w:p>
              </w:tc>
              <w:tc>
                <w:tcPr>
                  <w:tcW w:w="613"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174</w:t>
                  </w:r>
                </w:p>
              </w:tc>
              <w:tc>
                <w:tcPr>
                  <w:tcW w:w="428"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172</w:t>
                  </w:r>
                </w:p>
              </w:tc>
              <w:tc>
                <w:tcPr>
                  <w:tcW w:w="481"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215</w:t>
                  </w:r>
                </w:p>
              </w:tc>
              <w:tc>
                <w:tcPr>
                  <w:tcW w:w="458"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171</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明火地点或散发火花地点</w:t>
                  </w:r>
                </w:p>
              </w:tc>
              <w:tc>
                <w:tcPr>
                  <w:tcW w:w="727"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30</w:t>
                  </w:r>
                </w:p>
              </w:tc>
              <w:tc>
                <w:tcPr>
                  <w:tcW w:w="803"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25</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民用建筑物保护类别</w:t>
                  </w:r>
                </w:p>
              </w:tc>
              <w:tc>
                <w:tcPr>
                  <w:tcW w:w="80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一类保护物</w:t>
                  </w:r>
                </w:p>
              </w:tc>
              <w:tc>
                <w:tcPr>
                  <w:tcW w:w="727" w:type="pct"/>
                  <w:vMerge w:val="continue"/>
                  <w:noWrap w:val="0"/>
                  <w:vAlign w:val="center"/>
                </w:tcPr>
                <w:p>
                  <w:pPr>
                    <w:pStyle w:val="135"/>
                    <w:spacing w:line="240" w:lineRule="exact"/>
                    <w:jc w:val="center"/>
                    <w:rPr>
                      <w:kern w:val="2"/>
                      <w:sz w:val="21"/>
                      <w:szCs w:val="21"/>
                      <w:lang w:eastAsia="zh-CN"/>
                    </w:rPr>
                  </w:pPr>
                </w:p>
              </w:tc>
              <w:tc>
                <w:tcPr>
                  <w:tcW w:w="803" w:type="pct"/>
                  <w:vMerge w:val="continue"/>
                  <w:noWrap w:val="0"/>
                  <w:vAlign w:val="center"/>
                </w:tcPr>
                <w:p>
                  <w:pPr>
                    <w:pStyle w:val="135"/>
                    <w:spacing w:line="240" w:lineRule="exact"/>
                    <w:jc w:val="center"/>
                    <w:rPr>
                      <w:kern w:val="2"/>
                      <w:sz w:val="21"/>
                      <w:szCs w:val="21"/>
                      <w:lang w:eastAsia="zh-CN"/>
                    </w:rPr>
                  </w:pPr>
                </w:p>
              </w:tc>
              <w:tc>
                <w:tcPr>
                  <w:tcW w:w="1979" w:type="pct"/>
                  <w:gridSpan w:val="7"/>
                  <w:noWrap w:val="0"/>
                  <w:vAlign w:val="center"/>
                </w:tcPr>
                <w:p>
                  <w:pPr>
                    <w:pStyle w:val="135"/>
                    <w:spacing w:line="240" w:lineRule="exact"/>
                    <w:jc w:val="center"/>
                    <w:rPr>
                      <w:kern w:val="2"/>
                      <w:sz w:val="21"/>
                      <w:szCs w:val="21"/>
                      <w:lang w:eastAsia="zh-CN"/>
                    </w:rPr>
                  </w:pPr>
                  <w:r>
                    <w:rPr>
                      <w:rFonts w:hint="eastAsia"/>
                      <w:sz w:val="21"/>
                      <w:szCs w:val="21"/>
                    </w:rPr>
                    <w:t>张家坝安置小区</w:t>
                  </w:r>
                </w:p>
              </w:tc>
              <w:tc>
                <w:tcPr>
                  <w:tcW w:w="29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continue"/>
                  <w:noWrap w:val="0"/>
                  <w:vAlign w:val="center"/>
                </w:tcPr>
                <w:p>
                  <w:pPr>
                    <w:pStyle w:val="135"/>
                    <w:spacing w:line="240" w:lineRule="exact"/>
                    <w:jc w:val="center"/>
                    <w:rPr>
                      <w:kern w:val="2"/>
                      <w:sz w:val="21"/>
                      <w:szCs w:val="21"/>
                      <w:lang w:eastAsia="zh-CN"/>
                    </w:rPr>
                  </w:pPr>
                </w:p>
              </w:tc>
              <w:tc>
                <w:tcPr>
                  <w:tcW w:w="801" w:type="pct"/>
                  <w:vMerge w:val="continue"/>
                  <w:noWrap w:val="0"/>
                  <w:vAlign w:val="center"/>
                </w:tcPr>
                <w:p>
                  <w:pPr>
                    <w:pStyle w:val="135"/>
                    <w:spacing w:line="240" w:lineRule="exact"/>
                    <w:jc w:val="center"/>
                    <w:rPr>
                      <w:kern w:val="2"/>
                      <w:sz w:val="21"/>
                      <w:szCs w:val="21"/>
                      <w:lang w:eastAsia="zh-CN"/>
                    </w:rPr>
                  </w:pPr>
                </w:p>
              </w:tc>
              <w:tc>
                <w:tcPr>
                  <w:tcW w:w="727" w:type="pct"/>
                  <w:vMerge w:val="continue"/>
                  <w:noWrap w:val="0"/>
                  <w:vAlign w:val="center"/>
                </w:tcPr>
                <w:p>
                  <w:pPr>
                    <w:pStyle w:val="135"/>
                    <w:spacing w:line="240" w:lineRule="exact"/>
                    <w:jc w:val="center"/>
                    <w:rPr>
                      <w:kern w:val="2"/>
                      <w:sz w:val="21"/>
                      <w:szCs w:val="21"/>
                      <w:lang w:eastAsia="zh-CN"/>
                    </w:rPr>
                  </w:pPr>
                </w:p>
              </w:tc>
              <w:tc>
                <w:tcPr>
                  <w:tcW w:w="803" w:type="pct"/>
                  <w:vMerge w:val="continue"/>
                  <w:noWrap w:val="0"/>
                  <w:vAlign w:val="center"/>
                </w:tcPr>
                <w:p>
                  <w:pPr>
                    <w:pStyle w:val="135"/>
                    <w:spacing w:line="240" w:lineRule="exact"/>
                    <w:jc w:val="center"/>
                    <w:rPr>
                      <w:kern w:val="2"/>
                      <w:sz w:val="21"/>
                      <w:szCs w:val="21"/>
                      <w:lang w:eastAsia="zh-CN"/>
                    </w:rPr>
                  </w:pPr>
                </w:p>
              </w:tc>
              <w:tc>
                <w:tcPr>
                  <w:tcW w:w="613"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122</w:t>
                  </w:r>
                </w:p>
              </w:tc>
              <w:tc>
                <w:tcPr>
                  <w:tcW w:w="428"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125</w:t>
                  </w:r>
                </w:p>
              </w:tc>
              <w:tc>
                <w:tcPr>
                  <w:tcW w:w="481"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113</w:t>
                  </w:r>
                </w:p>
              </w:tc>
              <w:tc>
                <w:tcPr>
                  <w:tcW w:w="458"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105</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continue"/>
                  <w:noWrap w:val="0"/>
                  <w:vAlign w:val="center"/>
                </w:tcPr>
                <w:p>
                  <w:pPr>
                    <w:pStyle w:val="135"/>
                    <w:spacing w:line="240" w:lineRule="exact"/>
                    <w:jc w:val="center"/>
                    <w:rPr>
                      <w:kern w:val="2"/>
                      <w:sz w:val="21"/>
                      <w:szCs w:val="21"/>
                      <w:lang w:eastAsia="zh-CN"/>
                    </w:rPr>
                  </w:pPr>
                </w:p>
              </w:tc>
              <w:tc>
                <w:tcPr>
                  <w:tcW w:w="801" w:type="pct"/>
                  <w:noWrap w:val="0"/>
                  <w:vAlign w:val="center"/>
                </w:tcPr>
                <w:p>
                  <w:pPr>
                    <w:pStyle w:val="135"/>
                    <w:spacing w:line="240" w:lineRule="exact"/>
                    <w:jc w:val="center"/>
                    <w:rPr>
                      <w:kern w:val="2"/>
                      <w:sz w:val="21"/>
                      <w:szCs w:val="21"/>
                      <w:lang w:eastAsia="zh-CN"/>
                    </w:rPr>
                  </w:pPr>
                  <w:r>
                    <w:rPr>
                      <w:kern w:val="2"/>
                      <w:sz w:val="21"/>
                      <w:szCs w:val="21"/>
                      <w:lang w:eastAsia="zh-CN"/>
                    </w:rPr>
                    <w:t>二类保护物</w:t>
                  </w:r>
                </w:p>
              </w:tc>
              <w:tc>
                <w:tcPr>
                  <w:tcW w:w="727"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20</w:t>
                  </w:r>
                </w:p>
              </w:tc>
              <w:tc>
                <w:tcPr>
                  <w:tcW w:w="80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16</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continue"/>
                  <w:noWrap w:val="0"/>
                  <w:vAlign w:val="center"/>
                </w:tcPr>
                <w:p>
                  <w:pPr>
                    <w:pStyle w:val="135"/>
                    <w:spacing w:line="240" w:lineRule="exact"/>
                    <w:jc w:val="center"/>
                    <w:rPr>
                      <w:kern w:val="2"/>
                      <w:sz w:val="21"/>
                      <w:szCs w:val="21"/>
                      <w:lang w:eastAsia="zh-CN"/>
                    </w:rPr>
                  </w:pPr>
                </w:p>
              </w:tc>
              <w:tc>
                <w:tcPr>
                  <w:tcW w:w="801" w:type="pct"/>
                  <w:noWrap w:val="0"/>
                  <w:vAlign w:val="center"/>
                </w:tcPr>
                <w:p>
                  <w:pPr>
                    <w:pStyle w:val="135"/>
                    <w:spacing w:line="240" w:lineRule="exact"/>
                    <w:jc w:val="center"/>
                    <w:rPr>
                      <w:kern w:val="2"/>
                      <w:sz w:val="21"/>
                      <w:szCs w:val="21"/>
                      <w:lang w:eastAsia="zh-CN"/>
                    </w:rPr>
                  </w:pPr>
                  <w:r>
                    <w:rPr>
                      <w:kern w:val="2"/>
                      <w:sz w:val="21"/>
                      <w:szCs w:val="21"/>
                      <w:lang w:eastAsia="zh-CN"/>
                    </w:rPr>
                    <w:t>三类保护物</w:t>
                  </w:r>
                </w:p>
              </w:tc>
              <w:tc>
                <w:tcPr>
                  <w:tcW w:w="727"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16</w:t>
                  </w:r>
                </w:p>
              </w:tc>
              <w:tc>
                <w:tcPr>
                  <w:tcW w:w="80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14</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甲、乙类物品生产厂房、库房和甲乙类液体储罐</w:t>
                  </w:r>
                </w:p>
              </w:tc>
              <w:tc>
                <w:tcPr>
                  <w:tcW w:w="727"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30</w:t>
                  </w:r>
                </w:p>
              </w:tc>
              <w:tc>
                <w:tcPr>
                  <w:tcW w:w="803"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25</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丙丁戊类物品生产厂</w:t>
                  </w:r>
                </w:p>
                <w:p>
                  <w:pPr>
                    <w:pStyle w:val="135"/>
                    <w:spacing w:line="240" w:lineRule="exact"/>
                    <w:jc w:val="center"/>
                    <w:rPr>
                      <w:kern w:val="2"/>
                      <w:sz w:val="21"/>
                      <w:szCs w:val="21"/>
                      <w:lang w:eastAsia="zh-CN"/>
                    </w:rPr>
                  </w:pPr>
                  <w:r>
                    <w:rPr>
                      <w:kern w:val="2"/>
                      <w:sz w:val="21"/>
                      <w:szCs w:val="21"/>
                      <w:lang w:eastAsia="zh-CN"/>
                    </w:rPr>
                    <w:t>房、库房和丙类液体储 罐，以及单罐容积不大 于50m</w:t>
                  </w:r>
                  <w:r>
                    <w:rPr>
                      <w:kern w:val="2"/>
                      <w:sz w:val="21"/>
                      <w:szCs w:val="21"/>
                      <w:vertAlign w:val="superscript"/>
                      <w:lang w:eastAsia="zh-CN"/>
                    </w:rPr>
                    <w:t>3</w:t>
                  </w:r>
                  <w:r>
                    <w:rPr>
                      <w:kern w:val="2"/>
                      <w:sz w:val="21"/>
                      <w:szCs w:val="21"/>
                      <w:lang w:eastAsia="zh-CN"/>
                    </w:rPr>
                    <w:t xml:space="preserve">的埋地甲乙类液体储罐 </w:t>
                  </w:r>
                </w:p>
              </w:tc>
              <w:tc>
                <w:tcPr>
                  <w:tcW w:w="727"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22</w:t>
                  </w:r>
                </w:p>
              </w:tc>
              <w:tc>
                <w:tcPr>
                  <w:tcW w:w="803"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20</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室外变配电站</w:t>
                  </w:r>
                </w:p>
              </w:tc>
              <w:tc>
                <w:tcPr>
                  <w:tcW w:w="727"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35</w:t>
                  </w:r>
                </w:p>
              </w:tc>
              <w:tc>
                <w:tcPr>
                  <w:tcW w:w="803"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30</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铁路</w:t>
                  </w:r>
                  <w:r>
                    <w:rPr>
                      <w:rFonts w:hint="eastAsia"/>
                      <w:kern w:val="2"/>
                      <w:sz w:val="21"/>
                      <w:szCs w:val="21"/>
                      <w:lang w:eastAsia="zh-CN"/>
                    </w:rPr>
                    <w:t>、地上城市轨道线路</w:t>
                  </w:r>
                </w:p>
              </w:tc>
              <w:tc>
                <w:tcPr>
                  <w:tcW w:w="727" w:type="pct"/>
                  <w:noWrap w:val="0"/>
                  <w:vAlign w:val="center"/>
                </w:tcPr>
                <w:p>
                  <w:pPr>
                    <w:pStyle w:val="135"/>
                    <w:spacing w:line="240" w:lineRule="exact"/>
                    <w:jc w:val="center"/>
                    <w:rPr>
                      <w:rFonts w:hint="eastAsia"/>
                      <w:kern w:val="2"/>
                      <w:sz w:val="21"/>
                      <w:szCs w:val="21"/>
                      <w:lang w:eastAsia="zh-CN"/>
                    </w:rPr>
                  </w:pPr>
                  <w:r>
                    <w:rPr>
                      <w:rFonts w:hint="eastAsia"/>
                      <w:kern w:val="2"/>
                      <w:sz w:val="21"/>
                      <w:szCs w:val="21"/>
                      <w:lang w:eastAsia="zh-CN"/>
                    </w:rPr>
                    <w:t>60</w:t>
                  </w:r>
                </w:p>
              </w:tc>
              <w:tc>
                <w:tcPr>
                  <w:tcW w:w="80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50</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城市快速路、主干道和高速公路、一级公路、二级公路</w:t>
                  </w:r>
                </w:p>
              </w:tc>
              <w:tc>
                <w:tcPr>
                  <w:tcW w:w="727"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10</w:t>
                  </w:r>
                </w:p>
              </w:tc>
              <w:tc>
                <w:tcPr>
                  <w:tcW w:w="803"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8</w:t>
                  </w:r>
                </w:p>
              </w:tc>
              <w:tc>
                <w:tcPr>
                  <w:tcW w:w="1979" w:type="pct"/>
                  <w:gridSpan w:val="7"/>
                  <w:noWrap w:val="0"/>
                  <w:vAlign w:val="center"/>
                </w:tcPr>
                <w:p>
                  <w:pPr>
                    <w:pStyle w:val="135"/>
                    <w:spacing w:line="240" w:lineRule="exact"/>
                    <w:jc w:val="center"/>
                    <w:rPr>
                      <w:kern w:val="2"/>
                      <w:sz w:val="21"/>
                      <w:szCs w:val="21"/>
                      <w:lang w:eastAsia="zh-CN"/>
                    </w:rPr>
                  </w:pPr>
                  <w:r>
                    <w:rPr>
                      <w:rFonts w:hint="eastAsia"/>
                      <w:sz w:val="21"/>
                      <w:szCs w:val="21"/>
                    </w:rPr>
                    <w:t>达陕高速G</w:t>
                  </w:r>
                  <w:r>
                    <w:rPr>
                      <w:sz w:val="21"/>
                      <w:szCs w:val="21"/>
                    </w:rPr>
                    <w:t>65</w:t>
                  </w:r>
                </w:p>
              </w:tc>
              <w:tc>
                <w:tcPr>
                  <w:tcW w:w="29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continue"/>
                  <w:noWrap w:val="0"/>
                  <w:vAlign w:val="center"/>
                </w:tcPr>
                <w:p>
                  <w:pPr>
                    <w:pStyle w:val="135"/>
                    <w:spacing w:line="240" w:lineRule="exact"/>
                    <w:jc w:val="center"/>
                    <w:rPr>
                      <w:rFonts w:hint="eastAsia"/>
                      <w:kern w:val="2"/>
                      <w:sz w:val="21"/>
                      <w:szCs w:val="21"/>
                      <w:lang w:eastAsia="zh-CN"/>
                    </w:rPr>
                  </w:pPr>
                </w:p>
              </w:tc>
              <w:tc>
                <w:tcPr>
                  <w:tcW w:w="727" w:type="pct"/>
                  <w:vMerge w:val="continue"/>
                  <w:noWrap w:val="0"/>
                  <w:vAlign w:val="center"/>
                </w:tcPr>
                <w:p>
                  <w:pPr>
                    <w:pStyle w:val="135"/>
                    <w:spacing w:line="240" w:lineRule="exact"/>
                    <w:jc w:val="center"/>
                    <w:rPr>
                      <w:rFonts w:hint="eastAsia"/>
                      <w:kern w:val="2"/>
                      <w:sz w:val="21"/>
                      <w:szCs w:val="21"/>
                      <w:lang w:eastAsia="zh-CN"/>
                    </w:rPr>
                  </w:pPr>
                </w:p>
              </w:tc>
              <w:tc>
                <w:tcPr>
                  <w:tcW w:w="803" w:type="pct"/>
                  <w:vMerge w:val="continue"/>
                  <w:noWrap w:val="0"/>
                  <w:vAlign w:val="center"/>
                </w:tcPr>
                <w:p>
                  <w:pPr>
                    <w:pStyle w:val="135"/>
                    <w:spacing w:line="240" w:lineRule="exact"/>
                    <w:jc w:val="center"/>
                    <w:rPr>
                      <w:rFonts w:hint="eastAsia"/>
                      <w:kern w:val="2"/>
                      <w:sz w:val="21"/>
                      <w:szCs w:val="21"/>
                      <w:lang w:eastAsia="zh-CN"/>
                    </w:rPr>
                  </w:pPr>
                </w:p>
              </w:tc>
              <w:tc>
                <w:tcPr>
                  <w:tcW w:w="495"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82</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93</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95</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105</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城市</w:t>
                  </w:r>
                  <w:r>
                    <w:rPr>
                      <w:kern w:val="2"/>
                      <w:sz w:val="21"/>
                      <w:szCs w:val="21"/>
                      <w:lang w:eastAsia="zh-CN"/>
                    </w:rPr>
                    <w:t>次干路、支路</w:t>
                  </w:r>
                  <w:r>
                    <w:rPr>
                      <w:rFonts w:hint="eastAsia"/>
                      <w:kern w:val="2"/>
                      <w:sz w:val="21"/>
                      <w:szCs w:val="21"/>
                      <w:lang w:eastAsia="zh-CN"/>
                    </w:rPr>
                    <w:t>和三级公路、四级公路</w:t>
                  </w:r>
                </w:p>
              </w:tc>
              <w:tc>
                <w:tcPr>
                  <w:tcW w:w="727"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8</w:t>
                  </w:r>
                </w:p>
              </w:tc>
              <w:tc>
                <w:tcPr>
                  <w:tcW w:w="803"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6</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环岛路</w:t>
                  </w:r>
                </w:p>
              </w:tc>
              <w:tc>
                <w:tcPr>
                  <w:tcW w:w="29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vMerge w:val="continue"/>
                  <w:noWrap w:val="0"/>
                  <w:vAlign w:val="center"/>
                </w:tcPr>
                <w:p>
                  <w:pPr>
                    <w:pStyle w:val="135"/>
                    <w:spacing w:line="240" w:lineRule="exact"/>
                    <w:jc w:val="center"/>
                    <w:rPr>
                      <w:rFonts w:hint="eastAsia"/>
                      <w:kern w:val="2"/>
                      <w:sz w:val="21"/>
                      <w:szCs w:val="21"/>
                      <w:lang w:eastAsia="zh-CN"/>
                    </w:rPr>
                  </w:pPr>
                </w:p>
              </w:tc>
              <w:tc>
                <w:tcPr>
                  <w:tcW w:w="727" w:type="pct"/>
                  <w:vMerge w:val="continue"/>
                  <w:noWrap w:val="0"/>
                  <w:vAlign w:val="center"/>
                </w:tcPr>
                <w:p>
                  <w:pPr>
                    <w:pStyle w:val="135"/>
                    <w:spacing w:line="240" w:lineRule="exact"/>
                    <w:jc w:val="center"/>
                    <w:rPr>
                      <w:rFonts w:hint="eastAsia"/>
                      <w:kern w:val="2"/>
                      <w:sz w:val="21"/>
                      <w:szCs w:val="21"/>
                      <w:lang w:eastAsia="zh-CN"/>
                    </w:rPr>
                  </w:pPr>
                </w:p>
              </w:tc>
              <w:tc>
                <w:tcPr>
                  <w:tcW w:w="803" w:type="pct"/>
                  <w:vMerge w:val="continue"/>
                  <w:noWrap w:val="0"/>
                  <w:vAlign w:val="center"/>
                </w:tcPr>
                <w:p>
                  <w:pPr>
                    <w:pStyle w:val="135"/>
                    <w:spacing w:line="240" w:lineRule="exact"/>
                    <w:jc w:val="center"/>
                    <w:rPr>
                      <w:rFonts w:hint="eastAsia"/>
                      <w:kern w:val="2"/>
                      <w:sz w:val="21"/>
                      <w:szCs w:val="21"/>
                      <w:lang w:eastAsia="zh-CN"/>
                    </w:rPr>
                  </w:pPr>
                </w:p>
              </w:tc>
              <w:tc>
                <w:tcPr>
                  <w:tcW w:w="495"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57</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63.8</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15.4</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52</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00" w:type="pct"/>
                  <w:gridSpan w:val="2"/>
                  <w:noWrap w:val="0"/>
                  <w:vAlign w:val="center"/>
                </w:tcPr>
                <w:p>
                  <w:pPr>
                    <w:pStyle w:val="135"/>
                    <w:spacing w:line="240" w:lineRule="exact"/>
                    <w:jc w:val="center"/>
                    <w:rPr>
                      <w:kern w:val="2"/>
                      <w:sz w:val="21"/>
                      <w:szCs w:val="21"/>
                      <w:lang w:eastAsia="zh-CN"/>
                    </w:rPr>
                  </w:pPr>
                  <w:r>
                    <w:rPr>
                      <w:kern w:val="2"/>
                      <w:sz w:val="21"/>
                      <w:szCs w:val="21"/>
                      <w:lang w:eastAsia="zh-CN"/>
                    </w:rPr>
                    <w:t>架空通信线</w:t>
                  </w:r>
                  <w:r>
                    <w:rPr>
                      <w:rFonts w:hint="eastAsia"/>
                      <w:kern w:val="2"/>
                      <w:sz w:val="21"/>
                      <w:szCs w:val="21"/>
                      <w:lang w:eastAsia="zh-CN"/>
                    </w:rPr>
                    <w:t>路</w:t>
                  </w:r>
                </w:p>
              </w:tc>
              <w:tc>
                <w:tcPr>
                  <w:tcW w:w="727"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0.75H</w:t>
                  </w:r>
                </w:p>
              </w:tc>
              <w:tc>
                <w:tcPr>
                  <w:tcW w:w="80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0.75H</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架空电力线路</w:t>
                  </w:r>
                </w:p>
              </w:tc>
              <w:tc>
                <w:tcPr>
                  <w:tcW w:w="80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无绝缘层</w:t>
                  </w:r>
                </w:p>
              </w:tc>
              <w:tc>
                <w:tcPr>
                  <w:tcW w:w="727"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w:t>
                  </w:r>
                  <w:r>
                    <w:rPr>
                      <w:kern w:val="2"/>
                      <w:sz w:val="21"/>
                      <w:szCs w:val="21"/>
                      <w:lang w:eastAsia="zh-CN"/>
                    </w:rPr>
                    <w:t>.5H</w:t>
                  </w:r>
                </w:p>
              </w:tc>
              <w:tc>
                <w:tcPr>
                  <w:tcW w:w="803" w:type="pct"/>
                  <w:vMerge w:val="restart"/>
                  <w:noWrap w:val="0"/>
                  <w:vAlign w:val="center"/>
                </w:tcPr>
                <w:p>
                  <w:pPr>
                    <w:pStyle w:val="135"/>
                    <w:spacing w:line="240" w:lineRule="exact"/>
                    <w:jc w:val="center"/>
                    <w:rPr>
                      <w:kern w:val="2"/>
                      <w:sz w:val="21"/>
                      <w:szCs w:val="21"/>
                      <w:lang w:eastAsia="zh-CN"/>
                    </w:rPr>
                  </w:pPr>
                  <w:r>
                    <w:rPr>
                      <w:rFonts w:hint="eastAsia"/>
                      <w:kern w:val="2"/>
                      <w:sz w:val="21"/>
                      <w:szCs w:val="21"/>
                      <w:lang w:eastAsia="zh-CN"/>
                    </w:rPr>
                    <w:t>1</w:t>
                  </w:r>
                  <w:r>
                    <w:rPr>
                      <w:kern w:val="2"/>
                      <w:sz w:val="21"/>
                      <w:szCs w:val="21"/>
                      <w:lang w:eastAsia="zh-CN"/>
                    </w:rPr>
                    <w:t>.0H</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110kV架空线路</w:t>
                  </w:r>
                </w:p>
              </w:tc>
              <w:tc>
                <w:tcPr>
                  <w:tcW w:w="291" w:type="pct"/>
                  <w:vMerge w:val="restart"/>
                  <w:noWrap w:val="0"/>
                  <w:vAlign w:val="center"/>
                </w:tcPr>
                <w:p>
                  <w:pPr>
                    <w:pStyle w:val="135"/>
                    <w:spacing w:line="240" w:lineRule="exact"/>
                    <w:jc w:val="center"/>
                    <w:rPr>
                      <w:kern w:val="2"/>
                      <w:sz w:val="21"/>
                      <w:szCs w:val="21"/>
                      <w:lang w:eastAsia="zh-CN"/>
                    </w:rPr>
                  </w:pPr>
                  <w:r>
                    <w:rPr>
                      <w:kern w:val="2"/>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continue"/>
                  <w:noWrap w:val="0"/>
                  <w:vAlign w:val="center"/>
                </w:tcPr>
                <w:p>
                  <w:pPr>
                    <w:pStyle w:val="135"/>
                    <w:spacing w:line="240" w:lineRule="exact"/>
                    <w:jc w:val="center"/>
                    <w:rPr>
                      <w:kern w:val="2"/>
                      <w:sz w:val="21"/>
                      <w:szCs w:val="21"/>
                      <w:lang w:eastAsia="zh-CN"/>
                    </w:rPr>
                  </w:pPr>
                </w:p>
              </w:tc>
              <w:tc>
                <w:tcPr>
                  <w:tcW w:w="801" w:type="pct"/>
                  <w:vMerge w:val="continue"/>
                  <w:noWrap w:val="0"/>
                  <w:vAlign w:val="center"/>
                </w:tcPr>
                <w:p>
                  <w:pPr>
                    <w:pStyle w:val="135"/>
                    <w:spacing w:line="240" w:lineRule="exact"/>
                    <w:jc w:val="center"/>
                    <w:rPr>
                      <w:kern w:val="2"/>
                      <w:sz w:val="21"/>
                      <w:szCs w:val="21"/>
                      <w:lang w:eastAsia="zh-CN"/>
                    </w:rPr>
                  </w:pPr>
                </w:p>
              </w:tc>
              <w:tc>
                <w:tcPr>
                  <w:tcW w:w="727" w:type="pct"/>
                  <w:vMerge w:val="continue"/>
                  <w:noWrap w:val="0"/>
                  <w:vAlign w:val="center"/>
                </w:tcPr>
                <w:p>
                  <w:pPr>
                    <w:pStyle w:val="135"/>
                    <w:spacing w:line="240" w:lineRule="exact"/>
                    <w:jc w:val="center"/>
                    <w:rPr>
                      <w:rFonts w:hint="eastAsia"/>
                      <w:kern w:val="2"/>
                      <w:sz w:val="21"/>
                      <w:szCs w:val="21"/>
                      <w:lang w:eastAsia="zh-CN"/>
                    </w:rPr>
                  </w:pPr>
                </w:p>
              </w:tc>
              <w:tc>
                <w:tcPr>
                  <w:tcW w:w="803" w:type="pct"/>
                  <w:vMerge w:val="continue"/>
                  <w:noWrap w:val="0"/>
                  <w:vAlign w:val="center"/>
                </w:tcPr>
                <w:p>
                  <w:pPr>
                    <w:pStyle w:val="135"/>
                    <w:spacing w:line="240" w:lineRule="exact"/>
                    <w:jc w:val="center"/>
                    <w:rPr>
                      <w:rFonts w:hint="eastAsia"/>
                      <w:kern w:val="2"/>
                      <w:sz w:val="21"/>
                      <w:szCs w:val="21"/>
                      <w:lang w:eastAsia="zh-CN"/>
                    </w:rPr>
                  </w:pPr>
                </w:p>
              </w:tc>
              <w:tc>
                <w:tcPr>
                  <w:tcW w:w="495"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63.8</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73.9</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64.3</w:t>
                  </w:r>
                </w:p>
              </w:tc>
              <w:tc>
                <w:tcPr>
                  <w:tcW w:w="495" w:type="pct"/>
                  <w:gridSpan w:val="2"/>
                  <w:noWrap w:val="0"/>
                  <w:vAlign w:val="center"/>
                </w:tcPr>
                <w:p>
                  <w:pPr>
                    <w:pStyle w:val="135"/>
                    <w:spacing w:line="240" w:lineRule="exact"/>
                    <w:jc w:val="center"/>
                    <w:rPr>
                      <w:kern w:val="2"/>
                      <w:sz w:val="21"/>
                      <w:szCs w:val="21"/>
                      <w:lang w:eastAsia="zh-CN"/>
                    </w:rPr>
                  </w:pPr>
                  <w:r>
                    <w:rPr>
                      <w:rFonts w:hint="eastAsia"/>
                      <w:kern w:val="2"/>
                      <w:sz w:val="21"/>
                      <w:szCs w:val="21"/>
                      <w:lang w:eastAsia="zh-CN"/>
                    </w:rPr>
                    <w:t>84.1</w:t>
                  </w:r>
                </w:p>
              </w:tc>
              <w:tc>
                <w:tcPr>
                  <w:tcW w:w="291" w:type="pct"/>
                  <w:vMerge w:val="continue"/>
                  <w:noWrap w:val="0"/>
                  <w:vAlign w:val="center"/>
                </w:tcPr>
                <w:p>
                  <w:pPr>
                    <w:pStyle w:val="135"/>
                    <w:spacing w:line="240" w:lineRule="exact"/>
                    <w:jc w:val="center"/>
                    <w:rPr>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8" w:type="pct"/>
                  <w:vMerge w:val="continue"/>
                  <w:noWrap w:val="0"/>
                  <w:vAlign w:val="center"/>
                </w:tcPr>
                <w:p>
                  <w:pPr>
                    <w:pStyle w:val="135"/>
                    <w:spacing w:line="240" w:lineRule="exact"/>
                    <w:jc w:val="center"/>
                    <w:rPr>
                      <w:kern w:val="2"/>
                      <w:sz w:val="21"/>
                      <w:szCs w:val="21"/>
                      <w:lang w:eastAsia="zh-CN"/>
                    </w:rPr>
                  </w:pPr>
                </w:p>
              </w:tc>
              <w:tc>
                <w:tcPr>
                  <w:tcW w:w="801" w:type="pct"/>
                  <w:noWrap w:val="0"/>
                  <w:vAlign w:val="center"/>
                </w:tcPr>
                <w:p>
                  <w:pPr>
                    <w:pStyle w:val="135"/>
                    <w:spacing w:line="240" w:lineRule="exact"/>
                    <w:jc w:val="center"/>
                    <w:rPr>
                      <w:kern w:val="2"/>
                      <w:sz w:val="21"/>
                      <w:szCs w:val="21"/>
                      <w:lang w:eastAsia="zh-CN"/>
                    </w:rPr>
                  </w:pPr>
                  <w:r>
                    <w:rPr>
                      <w:kern w:val="2"/>
                      <w:sz w:val="21"/>
                      <w:szCs w:val="21"/>
                      <w:lang w:eastAsia="zh-CN"/>
                    </w:rPr>
                    <w:t>有绝缘层</w:t>
                  </w:r>
                </w:p>
              </w:tc>
              <w:tc>
                <w:tcPr>
                  <w:tcW w:w="727"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1.0H</w:t>
                  </w:r>
                </w:p>
              </w:tc>
              <w:tc>
                <w:tcPr>
                  <w:tcW w:w="803" w:type="pct"/>
                  <w:noWrap w:val="0"/>
                  <w:vAlign w:val="center"/>
                </w:tcPr>
                <w:p>
                  <w:pPr>
                    <w:pStyle w:val="135"/>
                    <w:spacing w:line="240" w:lineRule="exact"/>
                    <w:jc w:val="center"/>
                    <w:rPr>
                      <w:kern w:val="2"/>
                      <w:sz w:val="21"/>
                      <w:szCs w:val="21"/>
                      <w:lang w:eastAsia="zh-CN"/>
                    </w:rPr>
                  </w:pPr>
                  <w:r>
                    <w:rPr>
                      <w:rFonts w:hint="eastAsia"/>
                      <w:kern w:val="2"/>
                      <w:sz w:val="21"/>
                      <w:szCs w:val="21"/>
                      <w:lang w:eastAsia="zh-CN"/>
                    </w:rPr>
                    <w:t>0</w:t>
                  </w:r>
                  <w:r>
                    <w:rPr>
                      <w:kern w:val="2"/>
                      <w:sz w:val="21"/>
                      <w:szCs w:val="21"/>
                      <w:lang w:eastAsia="zh-CN"/>
                    </w:rPr>
                    <w:t>.75H</w:t>
                  </w:r>
                </w:p>
              </w:tc>
              <w:tc>
                <w:tcPr>
                  <w:tcW w:w="1979" w:type="pct"/>
                  <w:gridSpan w:val="7"/>
                  <w:noWrap w:val="0"/>
                  <w:vAlign w:val="center"/>
                </w:tcPr>
                <w:p>
                  <w:pPr>
                    <w:pStyle w:val="135"/>
                    <w:spacing w:line="240" w:lineRule="exact"/>
                    <w:jc w:val="center"/>
                    <w:rPr>
                      <w:kern w:val="2"/>
                      <w:sz w:val="21"/>
                      <w:szCs w:val="21"/>
                      <w:lang w:eastAsia="zh-CN"/>
                    </w:rPr>
                  </w:pPr>
                  <w:r>
                    <w:rPr>
                      <w:rFonts w:hint="eastAsia"/>
                      <w:kern w:val="2"/>
                      <w:sz w:val="21"/>
                      <w:szCs w:val="21"/>
                      <w:lang w:eastAsia="zh-CN"/>
                    </w:rPr>
                    <w:t>不涉及</w:t>
                  </w:r>
                </w:p>
              </w:tc>
              <w:tc>
                <w:tcPr>
                  <w:tcW w:w="291" w:type="pct"/>
                  <w:noWrap w:val="0"/>
                  <w:vAlign w:val="center"/>
                </w:tcPr>
                <w:p>
                  <w:pPr>
                    <w:pStyle w:val="135"/>
                    <w:spacing w:line="240" w:lineRule="exact"/>
                    <w:jc w:val="center"/>
                    <w:rPr>
                      <w:kern w:val="2"/>
                      <w:sz w:val="21"/>
                      <w:szCs w:val="21"/>
                      <w:lang w:eastAsia="zh-CN"/>
                    </w:rPr>
                  </w:pPr>
                  <w:r>
                    <w:rPr>
                      <w:kern w:val="2"/>
                      <w:sz w:val="21"/>
                      <w:szCs w:val="21"/>
                      <w:lang w:eastAsia="zh-CN"/>
                    </w:rPr>
                    <w:t>是</w:t>
                  </w:r>
                </w:p>
              </w:tc>
            </w:tr>
          </w:tbl>
          <w:p>
            <w:pPr>
              <w:spacing w:line="360" w:lineRule="auto"/>
              <w:ind w:firstLine="422" w:firstLineChars="200"/>
              <w:rPr>
                <w:b/>
                <w:bCs/>
                <w:szCs w:val="21"/>
              </w:rPr>
            </w:pPr>
            <w:r>
              <w:rPr>
                <w:rFonts w:hint="eastAsia"/>
                <w:b/>
                <w:bCs/>
                <w:szCs w:val="21"/>
              </w:rPr>
              <w:t>注：110kV架空线塔高30</w:t>
            </w:r>
            <w:r>
              <w:rPr>
                <w:b/>
                <w:bCs/>
                <w:szCs w:val="21"/>
              </w:rPr>
              <w:t>m</w:t>
            </w:r>
            <w:r>
              <w:rPr>
                <w:rFonts w:hint="eastAsia"/>
                <w:b/>
                <w:bCs/>
                <w:szCs w:val="21"/>
              </w:rPr>
              <w:t>。</w:t>
            </w:r>
          </w:p>
          <w:p>
            <w:pPr>
              <w:spacing w:line="360" w:lineRule="auto"/>
              <w:ind w:firstLine="480" w:firstLineChars="200"/>
              <w:rPr>
                <w:sz w:val="24"/>
              </w:rPr>
            </w:pPr>
            <w:r>
              <w:rPr>
                <w:sz w:val="24"/>
              </w:rPr>
              <w:t>根据上表所述，本项目</w:t>
            </w:r>
            <w:r>
              <w:rPr>
                <w:rFonts w:hint="eastAsia"/>
                <w:sz w:val="24"/>
              </w:rPr>
              <w:t>LNG工艺设备</w:t>
            </w:r>
            <w:r>
              <w:rPr>
                <w:sz w:val="24"/>
              </w:rPr>
              <w:t>选址情况能满足《</w:t>
            </w:r>
            <w:r>
              <w:rPr>
                <w:rFonts w:hint="eastAsia"/>
                <w:sz w:val="24"/>
              </w:rPr>
              <w:t>汽车加油加气加氢站技术标准</w:t>
            </w:r>
            <w:r>
              <w:rPr>
                <w:sz w:val="24"/>
              </w:rPr>
              <w:t>》（</w:t>
            </w:r>
            <w:r>
              <w:rPr>
                <w:rFonts w:hint="eastAsia"/>
                <w:sz w:val="24"/>
              </w:rPr>
              <w:t>GB50156-2021</w:t>
            </w:r>
            <w:r>
              <w:rPr>
                <w:sz w:val="24"/>
              </w:rPr>
              <w:t>）的选址要求。</w:t>
            </w:r>
          </w:p>
          <w:p>
            <w:pPr>
              <w:spacing w:line="360" w:lineRule="auto"/>
              <w:ind w:firstLine="480" w:firstLineChars="200"/>
              <w:rPr>
                <w:sz w:val="24"/>
              </w:rPr>
            </w:pPr>
            <w:r>
              <w:rPr>
                <w:rFonts w:hint="eastAsia"/>
                <w:sz w:val="24"/>
              </w:rPr>
              <w:t>综上所述，本</w:t>
            </w:r>
            <w:r>
              <w:rPr>
                <w:sz w:val="24"/>
              </w:rPr>
              <w:t>项目评价范围内无自然保护区、</w:t>
            </w:r>
            <w:r>
              <w:rPr>
                <w:rFonts w:hint="eastAsia"/>
                <w:sz w:val="24"/>
              </w:rPr>
              <w:t>风景名胜区、森林公园</w:t>
            </w:r>
            <w:r>
              <w:rPr>
                <w:sz w:val="24"/>
              </w:rPr>
              <w:t>等</w:t>
            </w:r>
            <w:r>
              <w:rPr>
                <w:rFonts w:hint="eastAsia"/>
                <w:sz w:val="24"/>
              </w:rPr>
              <w:t>特殊敏感保护目标</w:t>
            </w:r>
            <w:r>
              <w:rPr>
                <w:sz w:val="24"/>
              </w:rPr>
              <w:t>，本项目实施建设无重大外环境制约因素。</w:t>
            </w:r>
            <w:r>
              <w:rPr>
                <w:rFonts w:hint="eastAsia"/>
                <w:sz w:val="24"/>
              </w:rPr>
              <w:t>项目</w:t>
            </w:r>
            <w:r>
              <w:rPr>
                <w:sz w:val="24"/>
              </w:rPr>
              <w:t>周边虽存在居民、</w:t>
            </w:r>
            <w:r>
              <w:rPr>
                <w:rFonts w:hint="eastAsia"/>
                <w:sz w:val="24"/>
              </w:rPr>
              <w:t>学校</w:t>
            </w:r>
            <w:r>
              <w:rPr>
                <w:sz w:val="24"/>
              </w:rPr>
              <w:t>等</w:t>
            </w:r>
            <w:r>
              <w:rPr>
                <w:rFonts w:hint="eastAsia"/>
                <w:sz w:val="24"/>
              </w:rPr>
              <w:t>敏感保护目标</w:t>
            </w:r>
            <w:r>
              <w:rPr>
                <w:sz w:val="24"/>
              </w:rPr>
              <w:t>，但防护距离符合要求，在严格落实项目的各项</w:t>
            </w:r>
            <w:r>
              <w:rPr>
                <w:rFonts w:hint="eastAsia"/>
                <w:sz w:val="24"/>
              </w:rPr>
              <w:t>污染防治及风险防范</w:t>
            </w:r>
            <w:r>
              <w:rPr>
                <w:sz w:val="24"/>
              </w:rPr>
              <w:t>措施后，</w:t>
            </w:r>
            <w:r>
              <w:rPr>
                <w:rFonts w:hint="eastAsia"/>
                <w:sz w:val="24"/>
              </w:rPr>
              <w:t>项目</w:t>
            </w:r>
            <w:r>
              <w:rPr>
                <w:sz w:val="24"/>
              </w:rPr>
              <w:t>各项污染物能</w:t>
            </w:r>
            <w:r>
              <w:rPr>
                <w:rFonts w:hint="eastAsia"/>
                <w:sz w:val="24"/>
              </w:rPr>
              <w:t>做到</w:t>
            </w:r>
            <w:r>
              <w:rPr>
                <w:sz w:val="24"/>
              </w:rPr>
              <w:t>达标排放、</w:t>
            </w:r>
            <w:r>
              <w:rPr>
                <w:rFonts w:hint="eastAsia"/>
                <w:sz w:val="24"/>
              </w:rPr>
              <w:t>环境风险可控，因此</w:t>
            </w:r>
            <w:r>
              <w:rPr>
                <w:sz w:val="24"/>
              </w:rPr>
              <w:t>从环境保护角度而言，本项目选址基本合理。</w:t>
            </w:r>
          </w:p>
          <w:p>
            <w:pPr>
              <w:spacing w:line="360" w:lineRule="auto"/>
              <w:ind w:firstLine="602" w:firstLineChars="200"/>
              <w:rPr>
                <w:b/>
                <w:bCs/>
                <w:snapToGrid w:val="0"/>
                <w:sz w:val="30"/>
                <w:szCs w:val="30"/>
              </w:rPr>
            </w:pPr>
          </w:p>
        </w:tc>
      </w:tr>
    </w:tbl>
    <w:p>
      <w:pPr>
        <w:pStyle w:val="65"/>
        <w:spacing w:before="0" w:beforeAutospacing="0" w:after="0" w:afterAutospacing="0" w:line="360" w:lineRule="auto"/>
        <w:jc w:val="center"/>
        <w:outlineLvl w:val="0"/>
        <w:rPr>
          <w:rFonts w:ascii="Times New Roman" w:hAnsi="Times New Roman"/>
          <w:b/>
          <w:bCs/>
          <w:snapToGrid w:val="0"/>
          <w:sz w:val="30"/>
          <w:szCs w:val="30"/>
        </w:rPr>
        <w:sectPr>
          <w:pgSz w:w="11906" w:h="16838"/>
          <w:pgMar w:top="1701" w:right="1531" w:bottom="1701" w:left="1531" w:header="851" w:footer="851" w:gutter="0"/>
          <w:cols w:space="720" w:num="1"/>
          <w:docGrid w:linePitch="312" w:charSpace="0"/>
        </w:sectPr>
      </w:pPr>
    </w:p>
    <w:p>
      <w:pPr>
        <w:pStyle w:val="65"/>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二、建设项目工程分析</w:t>
      </w:r>
    </w:p>
    <w:tbl>
      <w:tblPr>
        <w:tblStyle w:val="7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681" w:hRule="atLeast"/>
        </w:trPr>
        <w:tc>
          <w:tcPr>
            <w:tcW w:w="442" w:type="dxa"/>
            <w:noWrap w:val="0"/>
            <w:vAlign w:val="center"/>
          </w:tcPr>
          <w:p>
            <w:pPr>
              <w:pStyle w:val="65"/>
              <w:adjustRightInd w:val="0"/>
              <w:snapToGrid w:val="0"/>
              <w:spacing w:before="0" w:beforeAutospacing="0" w:after="0" w:afterAutospacing="0"/>
              <w:rPr>
                <w:rFonts w:ascii="Times New Roman" w:hAnsi="Times New Roman"/>
                <w:b/>
                <w:bCs/>
                <w:szCs w:val="24"/>
              </w:rPr>
            </w:pPr>
            <w:r>
              <w:rPr>
                <w:rFonts w:ascii="Times New Roman" w:hAnsi="Times New Roman"/>
                <w:b/>
                <w:bCs/>
                <w:kern w:val="2"/>
                <w:szCs w:val="24"/>
              </w:rPr>
              <w:t>建设内</w:t>
            </w:r>
            <w:r>
              <w:rPr>
                <w:rFonts w:ascii="Times New Roman" w:hAnsi="Times New Roman"/>
                <w:b/>
                <w:bCs/>
                <w:szCs w:val="24"/>
              </w:rPr>
              <w:t>容</w:t>
            </w:r>
          </w:p>
        </w:tc>
        <w:tc>
          <w:tcPr>
            <w:tcW w:w="8618" w:type="dxa"/>
            <w:noWrap w:val="0"/>
            <w:vAlign w:val="top"/>
          </w:tcPr>
          <w:p>
            <w:pPr>
              <w:adjustRightInd w:val="0"/>
              <w:snapToGrid w:val="0"/>
              <w:spacing w:line="360" w:lineRule="auto"/>
              <w:ind w:firstLine="482"/>
              <w:rPr>
                <w:b/>
                <w:snapToGrid w:val="0"/>
                <w:kern w:val="0"/>
                <w:sz w:val="24"/>
              </w:rPr>
            </w:pPr>
            <w:r>
              <w:rPr>
                <w:b/>
                <w:snapToGrid w:val="0"/>
                <w:kern w:val="0"/>
                <w:sz w:val="24"/>
              </w:rPr>
              <w:t>1、项目由来</w:t>
            </w:r>
          </w:p>
          <w:p>
            <w:pPr>
              <w:pStyle w:val="8"/>
            </w:pPr>
            <w:bookmarkStart w:id="3" w:name="_Hlk143261348"/>
            <w:r>
              <w:t>近年来，随着中国国民经济的快速发展、交通基础设施的不断改善和机动车保有量的快速增加，加油站已成为民众生活中不可或缺的一部分。同时，随着达州市通川区</w:t>
            </w:r>
            <w:r>
              <w:rPr>
                <w:rFonts w:hint="eastAsia"/>
              </w:rPr>
              <w:t>张家</w:t>
            </w:r>
            <w:r>
              <w:t>坝片区的开发建设，经济的快速发展和人民生活水平的不断提</w:t>
            </w:r>
            <w:r>
              <w:rPr>
                <w:rFonts w:hint="eastAsia"/>
              </w:rPr>
              <w:t>高</w:t>
            </w:r>
            <w:r>
              <w:t>，对成品油的需求量也迅速增长，作为成品油销售最前端的加油站被推到了市场最前沿。在我国，加油站经历了一个由少到多、由分散经营到规模经营、由单一经济成分向多种经济成分、由经验型管理向专业化管理、由单品种经营向多种经营转化的发展过程。</w:t>
            </w:r>
          </w:p>
          <w:p>
            <w:pPr>
              <w:pStyle w:val="8"/>
              <w:rPr>
                <w:rFonts w:ascii="宋体" w:hAnsi="宋体" w:cs="宋体"/>
                <w:spacing w:val="3"/>
                <w:sz w:val="23"/>
                <w:szCs w:val="23"/>
              </w:rPr>
            </w:pPr>
            <w:r>
              <w:t>在此背景下，</w:t>
            </w:r>
            <w:r>
              <w:rPr>
                <w:rFonts w:hint="eastAsia"/>
              </w:rPr>
              <w:t>达州市富源润滑油有限责任公司拟在通川区张家坝投资建设加油加气站项目，</w:t>
            </w:r>
            <w:r>
              <w:t>该</w:t>
            </w:r>
            <w:r>
              <w:rPr>
                <w:rFonts w:hint="eastAsia"/>
              </w:rPr>
              <w:t>站拟建场址位于通川区张家坝B</w:t>
            </w:r>
            <w:r>
              <w:t>03-05/02</w:t>
            </w:r>
            <w:r>
              <w:rPr>
                <w:rFonts w:hint="eastAsia"/>
              </w:rPr>
              <w:t>地块，土地使用权面积为2083</w:t>
            </w:r>
            <w:r>
              <w:t>m</w:t>
            </w:r>
            <w:r>
              <w:rPr>
                <w:vertAlign w:val="superscript"/>
              </w:rPr>
              <w:t>2</w:t>
            </w:r>
            <w:r>
              <w:rPr>
                <w:rFonts w:hint="eastAsia"/>
              </w:rPr>
              <w:t>，土地用途为加油加气站用地（</w:t>
            </w:r>
            <w:r>
              <w:t>B41</w:t>
            </w:r>
            <w:r>
              <w:rPr>
                <w:rFonts w:hint="eastAsia"/>
              </w:rPr>
              <w:t>），项目拟投资4000万元。并已通过通川区发展和改革局备案。</w:t>
            </w:r>
          </w:p>
          <w:bookmarkEnd w:id="3"/>
          <w:p>
            <w:pPr>
              <w:pStyle w:val="8"/>
            </w:pPr>
            <w:r>
              <w:t>根据《中华人民共和国环境保护法》《中华人民共和国环境影响评价法》 和《建设项目环境保护管理条例》</w:t>
            </w:r>
            <w:r>
              <w:rPr>
                <w:rFonts w:hint="eastAsia"/>
              </w:rPr>
              <w:t>（</w:t>
            </w:r>
            <w:r>
              <w:t>国务院令第682号</w:t>
            </w:r>
            <w:r>
              <w:rPr>
                <w:rFonts w:hint="eastAsia"/>
              </w:rPr>
              <w:t>）</w:t>
            </w:r>
            <w:r>
              <w:t>的要求，项目建设前应 该开展环境影响评价工作；依据生态环境部部令第16号《建设项目环境影响评价分类管理名录》（2021年版）</w:t>
            </w:r>
            <w:r>
              <w:rPr>
                <w:rFonts w:hint="eastAsia"/>
              </w:rPr>
              <w:t>，</w:t>
            </w:r>
            <w:r>
              <w:t>本项目</w:t>
            </w:r>
            <w:r>
              <w:rPr>
                <w:rFonts w:hint="eastAsia"/>
              </w:rPr>
              <w:t>属于“五十</w:t>
            </w:r>
            <w:r>
              <w:t>、</w:t>
            </w:r>
            <w:r>
              <w:rPr>
                <w:rFonts w:hint="eastAsia"/>
              </w:rPr>
              <w:t>社会事业与服务业</w:t>
            </w:r>
            <w:r>
              <w:t>，</w:t>
            </w:r>
            <w:r>
              <w:rPr>
                <w:rFonts w:hint="eastAsia"/>
              </w:rPr>
              <w:t>119加油、加气站”</w:t>
            </w:r>
            <w:r>
              <w:t>中</w:t>
            </w:r>
            <w:r>
              <w:rPr>
                <w:rFonts w:hint="eastAsia"/>
              </w:rPr>
              <w:t>“城市建成区新建、扩建加油站；涉及环境敏感区的”</w:t>
            </w:r>
            <w:r>
              <w:t>建设项目，应编制环境影响报告表。因此，</w:t>
            </w:r>
            <w:r>
              <w:rPr>
                <w:rFonts w:hint="eastAsia"/>
              </w:rPr>
              <w:t>达州市富源润滑油有限责任公司</w:t>
            </w:r>
            <w:r>
              <w:t>委托</w:t>
            </w:r>
            <w:r>
              <w:fldChar w:fldCharType="begin"/>
            </w:r>
            <w:r>
              <w:instrText xml:space="preserve">HYPERLINK "javascript:viewHomeCompanyInfoView('2032310234487205102')"</w:instrText>
            </w:r>
            <w:r>
              <w:fldChar w:fldCharType="separate"/>
            </w:r>
            <w:r>
              <w:rPr>
                <w:rFonts w:hint="eastAsia"/>
              </w:rPr>
              <w:t>四川汇方铭科技咨询服务有限公司</w:t>
            </w:r>
            <w:r>
              <w:fldChar w:fldCharType="end"/>
            </w:r>
            <w:r>
              <w:t>开展拟建项目的环境影响评价工作，评价单位接受委托后，立即开展了现场踏勘、资料收集及监测工作，按照环境影响评价技术导则的要求编制完成《</w:t>
            </w:r>
            <w:r>
              <w:rPr>
                <w:rFonts w:hint="eastAsia"/>
              </w:rPr>
              <w:t>达州市富源润滑油有限责任公司北外张家坝加油加气站项目</w:t>
            </w:r>
            <w:r>
              <w:t>环境影响报告表》，现上报审批。</w:t>
            </w:r>
          </w:p>
          <w:p>
            <w:pPr>
              <w:adjustRightInd w:val="0"/>
              <w:snapToGrid w:val="0"/>
              <w:spacing w:line="360" w:lineRule="auto"/>
              <w:ind w:firstLine="482"/>
              <w:rPr>
                <w:b/>
                <w:snapToGrid w:val="0"/>
                <w:kern w:val="0"/>
                <w:sz w:val="24"/>
              </w:rPr>
            </w:pPr>
            <w:r>
              <w:rPr>
                <w:b/>
                <w:snapToGrid w:val="0"/>
                <w:kern w:val="0"/>
                <w:sz w:val="24"/>
              </w:rPr>
              <w:t>2、项目基本情况</w:t>
            </w:r>
          </w:p>
          <w:p>
            <w:pPr>
              <w:spacing w:line="360" w:lineRule="auto"/>
              <w:ind w:firstLine="482" w:firstLineChars="200"/>
              <w:rPr>
                <w:sz w:val="24"/>
              </w:rPr>
            </w:pPr>
            <w:bookmarkStart w:id="4" w:name="_Toc457960089"/>
            <w:bookmarkStart w:id="5" w:name="_Toc464181538"/>
            <w:bookmarkStart w:id="6" w:name="_Toc457959601"/>
            <w:bookmarkStart w:id="7" w:name="_Toc465560756"/>
            <w:bookmarkStart w:id="8" w:name="_Toc464179527"/>
            <w:r>
              <w:rPr>
                <w:b/>
                <w:bCs/>
                <w:sz w:val="24"/>
              </w:rPr>
              <w:t>项目名称</w:t>
            </w:r>
            <w:r>
              <w:rPr>
                <w:sz w:val="24"/>
              </w:rPr>
              <w:t>：</w:t>
            </w:r>
            <w:r>
              <w:rPr>
                <w:rFonts w:hint="eastAsia"/>
                <w:sz w:val="24"/>
              </w:rPr>
              <w:t>达州市富源润滑油有限责任公司北外张家坝加油加气站项目</w:t>
            </w:r>
          </w:p>
          <w:p>
            <w:pPr>
              <w:spacing w:line="360" w:lineRule="auto"/>
              <w:ind w:firstLine="482" w:firstLineChars="200"/>
              <w:rPr>
                <w:sz w:val="24"/>
              </w:rPr>
            </w:pPr>
            <w:r>
              <w:rPr>
                <w:b/>
                <w:bCs/>
                <w:sz w:val="24"/>
              </w:rPr>
              <w:t>建设单位：</w:t>
            </w:r>
            <w:bookmarkEnd w:id="4"/>
            <w:bookmarkEnd w:id="5"/>
            <w:bookmarkEnd w:id="6"/>
            <w:bookmarkEnd w:id="7"/>
            <w:bookmarkEnd w:id="8"/>
            <w:r>
              <w:rPr>
                <w:rFonts w:hint="eastAsia"/>
                <w:sz w:val="24"/>
              </w:rPr>
              <w:t>达州市富源润滑油有限责任公司</w:t>
            </w:r>
          </w:p>
          <w:p>
            <w:pPr>
              <w:spacing w:line="360" w:lineRule="auto"/>
              <w:ind w:firstLine="482" w:firstLineChars="200"/>
              <w:rPr>
                <w:sz w:val="24"/>
              </w:rPr>
            </w:pPr>
            <w:r>
              <w:rPr>
                <w:b/>
                <w:bCs/>
                <w:sz w:val="24"/>
              </w:rPr>
              <w:t>建设地点：</w:t>
            </w:r>
            <w:r>
              <w:rPr>
                <w:rFonts w:hint="eastAsia"/>
                <w:sz w:val="24"/>
              </w:rPr>
              <w:t>达州市通川区北外镇张家坝</w:t>
            </w:r>
          </w:p>
          <w:p>
            <w:pPr>
              <w:pStyle w:val="8"/>
              <w:rPr>
                <w:szCs w:val="24"/>
              </w:rPr>
            </w:pPr>
            <w:r>
              <w:rPr>
                <w:b/>
                <w:szCs w:val="24"/>
              </w:rPr>
              <w:t>建设性质：</w:t>
            </w:r>
            <w:r>
              <w:rPr>
                <w:rFonts w:hint="eastAsia"/>
                <w:szCs w:val="24"/>
              </w:rPr>
              <w:t>新建</w:t>
            </w:r>
          </w:p>
          <w:p>
            <w:pPr>
              <w:pStyle w:val="8"/>
              <w:rPr>
                <w:szCs w:val="24"/>
              </w:rPr>
            </w:pPr>
            <w:bookmarkStart w:id="9" w:name="_Toc115259826"/>
            <w:bookmarkStart w:id="10" w:name="_Toc82857203"/>
            <w:bookmarkStart w:id="11" w:name="_Toc88466703"/>
            <w:bookmarkStart w:id="12" w:name="_Toc78362457"/>
            <w:bookmarkStart w:id="13" w:name="_Toc114997747"/>
            <w:r>
              <w:rPr>
                <w:b/>
                <w:szCs w:val="24"/>
              </w:rPr>
              <w:t>投资总额</w:t>
            </w:r>
            <w:bookmarkEnd w:id="9"/>
            <w:bookmarkEnd w:id="10"/>
            <w:bookmarkEnd w:id="11"/>
            <w:bookmarkEnd w:id="12"/>
            <w:bookmarkEnd w:id="13"/>
            <w:r>
              <w:rPr>
                <w:b/>
                <w:szCs w:val="24"/>
              </w:rPr>
              <w:t>：</w:t>
            </w:r>
            <w:r>
              <w:rPr>
                <w:rFonts w:hint="eastAsia"/>
                <w:szCs w:val="24"/>
              </w:rPr>
              <w:t>4000</w:t>
            </w:r>
            <w:r>
              <w:rPr>
                <w:szCs w:val="24"/>
              </w:rPr>
              <w:t>万元</w:t>
            </w:r>
          </w:p>
          <w:p>
            <w:pPr>
              <w:pStyle w:val="647"/>
              <w:ind w:firstLine="482"/>
              <w:rPr>
                <w:b/>
                <w:bCs/>
                <w:snapToGrid w:val="0"/>
              </w:rPr>
            </w:pPr>
            <w:r>
              <w:rPr>
                <w:b/>
                <w:bCs/>
                <w:snapToGrid w:val="0"/>
              </w:rPr>
              <w:t>3、</w:t>
            </w:r>
            <w:r>
              <w:rPr>
                <w:rFonts w:hint="eastAsia"/>
                <w:b/>
                <w:bCs/>
                <w:snapToGrid w:val="0"/>
              </w:rPr>
              <w:t>项目</w:t>
            </w:r>
            <w:r>
              <w:rPr>
                <w:b/>
                <w:bCs/>
                <w:snapToGrid w:val="0"/>
              </w:rPr>
              <w:t>建设内容</w:t>
            </w:r>
          </w:p>
          <w:p>
            <w:pPr>
              <w:spacing w:line="360" w:lineRule="auto"/>
              <w:ind w:firstLine="480" w:firstLineChars="200"/>
              <w:rPr>
                <w:rFonts w:hint="eastAsia"/>
                <w:sz w:val="24"/>
              </w:rPr>
            </w:pPr>
            <w:r>
              <w:rPr>
                <w:sz w:val="24"/>
              </w:rPr>
              <w:t>本项目占地面积2083m</w:t>
            </w:r>
            <w:r>
              <w:rPr>
                <w:sz w:val="24"/>
                <w:vertAlign w:val="superscript"/>
              </w:rPr>
              <w:t>2</w:t>
            </w:r>
            <w:r>
              <w:rPr>
                <w:sz w:val="24"/>
              </w:rPr>
              <w:t>，新建二级加油加气站1座，其中主体工程包括：</w:t>
            </w:r>
            <w:bookmarkStart w:id="14" w:name="_Hlk143261670"/>
            <w:r>
              <w:rPr>
                <w:sz w:val="24"/>
              </w:rPr>
              <w:t>加油加气区新建4台加油机、2台加气机；油罐区设置3台地埋卧式双层</w:t>
            </w:r>
            <w:r>
              <w:rPr>
                <w:rFonts w:hint="eastAsia"/>
                <w:sz w:val="24"/>
              </w:rPr>
              <w:t>防</w:t>
            </w:r>
            <w:r>
              <w:rPr>
                <w:sz w:val="24"/>
              </w:rPr>
              <w:t>渗透储油罐，其中92#汽油储罐1座，容积为30m</w:t>
            </w:r>
            <w:r>
              <w:rPr>
                <w:rFonts w:hint="eastAsia"/>
                <w:sz w:val="24"/>
                <w:vertAlign w:val="superscript"/>
              </w:rPr>
              <w:t>3</w:t>
            </w:r>
            <w:r>
              <w:rPr>
                <w:sz w:val="24"/>
              </w:rPr>
              <w:t>；95#汽油储罐1座，容积为30m</w:t>
            </w:r>
            <w:r>
              <w:rPr>
                <w:rFonts w:hint="eastAsia"/>
                <w:sz w:val="24"/>
                <w:vertAlign w:val="superscript"/>
              </w:rPr>
              <w:t>3</w:t>
            </w:r>
            <w:r>
              <w:rPr>
                <w:sz w:val="24"/>
              </w:rPr>
              <w:t>；0#柴油储罐1座，容积为50m</w:t>
            </w:r>
            <w:r>
              <w:rPr>
                <w:rFonts w:hint="eastAsia"/>
                <w:sz w:val="24"/>
                <w:vertAlign w:val="superscript"/>
              </w:rPr>
              <w:t>3</w:t>
            </w:r>
            <w:r>
              <w:rPr>
                <w:sz w:val="24"/>
              </w:rPr>
              <w:t>；油罐区总容积为 110m</w:t>
            </w:r>
            <w:r>
              <w:rPr>
                <w:rFonts w:hint="eastAsia"/>
                <w:sz w:val="24"/>
                <w:vertAlign w:val="superscript"/>
              </w:rPr>
              <w:t>3</w:t>
            </w:r>
            <w:r>
              <w:rPr>
                <w:sz w:val="24"/>
              </w:rPr>
              <w:t>，总储存能力为</w:t>
            </w:r>
            <w:r>
              <w:rPr>
                <w:rFonts w:hint="eastAsia"/>
                <w:sz w:val="24"/>
              </w:rPr>
              <w:t>8</w:t>
            </w:r>
            <w:r>
              <w:rPr>
                <w:sz w:val="24"/>
              </w:rPr>
              <w:t>5m</w:t>
            </w:r>
            <w:r>
              <w:rPr>
                <w:rFonts w:hint="eastAsia"/>
                <w:sz w:val="24"/>
                <w:vertAlign w:val="superscript"/>
              </w:rPr>
              <w:t>3</w:t>
            </w:r>
            <w:r>
              <w:rPr>
                <w:rFonts w:hint="eastAsia"/>
                <w:sz w:val="24"/>
              </w:rPr>
              <w:t>（</w:t>
            </w:r>
            <w:r>
              <w:rPr>
                <w:sz w:val="24"/>
              </w:rPr>
              <w:t>柴油折半计</w:t>
            </w:r>
            <w:r>
              <w:rPr>
                <w:rFonts w:hint="eastAsia"/>
                <w:sz w:val="24"/>
              </w:rPr>
              <w:t>）</w:t>
            </w:r>
            <w:r>
              <w:rPr>
                <w:sz w:val="24"/>
              </w:rPr>
              <w:t>；储气罐区设 60m</w:t>
            </w:r>
            <w:r>
              <w:rPr>
                <w:rFonts w:hint="eastAsia"/>
                <w:sz w:val="24"/>
                <w:vertAlign w:val="superscript"/>
              </w:rPr>
              <w:t>3</w:t>
            </w:r>
            <w:r>
              <w:rPr>
                <w:sz w:val="24"/>
              </w:rPr>
              <w:t>LNG储罐1座，油品与LNG总容积为145m</w:t>
            </w:r>
            <w:r>
              <w:rPr>
                <w:rFonts w:hint="eastAsia"/>
                <w:sz w:val="24"/>
                <w:vertAlign w:val="superscript"/>
              </w:rPr>
              <w:t>3</w:t>
            </w:r>
            <w:r>
              <w:rPr>
                <w:rFonts w:hint="eastAsia"/>
                <w:sz w:val="24"/>
              </w:rPr>
              <w:t>（</w:t>
            </w:r>
            <w:r>
              <w:rPr>
                <w:sz w:val="24"/>
              </w:rPr>
              <w:t>柴油折半计</w:t>
            </w:r>
            <w:r>
              <w:rPr>
                <w:rFonts w:hint="eastAsia"/>
                <w:sz w:val="24"/>
              </w:rPr>
              <w:t>）</w:t>
            </w:r>
            <w:r>
              <w:rPr>
                <w:sz w:val="24"/>
              </w:rPr>
              <w:t>，为二级加油与 LNG 合建站</w:t>
            </w:r>
            <w:bookmarkEnd w:id="14"/>
            <w:r>
              <w:rPr>
                <w:sz w:val="24"/>
              </w:rPr>
              <w:t>；</w:t>
            </w:r>
            <w:bookmarkStart w:id="15" w:name="_Hlk143261695"/>
            <w:r>
              <w:rPr>
                <w:sz w:val="24"/>
              </w:rPr>
              <w:t>辅助工程包括卸油</w:t>
            </w:r>
            <w:r>
              <w:rPr>
                <w:rFonts w:hint="eastAsia"/>
                <w:sz w:val="24"/>
              </w:rPr>
              <w:t>区</w:t>
            </w:r>
            <w:r>
              <w:rPr>
                <w:sz w:val="24"/>
              </w:rPr>
              <w:t>、</w:t>
            </w:r>
            <w:r>
              <w:rPr>
                <w:rFonts w:hint="eastAsia"/>
                <w:sz w:val="24"/>
              </w:rPr>
              <w:t>LNG卸车区、</w:t>
            </w:r>
            <w:r>
              <w:rPr>
                <w:sz w:val="24"/>
              </w:rPr>
              <w:t>加油加气车道和安全消防系统、洗车区等；公用工程包括新建给、排水系统和供电系统等；环保工程为新建</w:t>
            </w:r>
            <w:r>
              <w:rPr>
                <w:rFonts w:hint="eastAsia"/>
                <w:sz w:val="24"/>
              </w:rPr>
              <w:t>化粪池</w:t>
            </w:r>
            <w:r>
              <w:rPr>
                <w:sz w:val="24"/>
              </w:rPr>
              <w:t>、水封隔油池、环保沟及绿化，设置一、二次油气回收系统、洗车机预留等；办公生活设施主要为新建二层框架结构站房，建筑面积</w:t>
            </w:r>
            <w:r>
              <w:rPr>
                <w:rFonts w:hint="eastAsia"/>
                <w:sz w:val="24"/>
              </w:rPr>
              <w:t>656.88</w:t>
            </w:r>
            <w:r>
              <w:rPr>
                <w:sz w:val="24"/>
              </w:rPr>
              <w:t>m</w:t>
            </w:r>
            <w:r>
              <w:rPr>
                <w:rFonts w:hint="eastAsia"/>
                <w:sz w:val="24"/>
                <w:vertAlign w:val="superscript"/>
              </w:rPr>
              <w:t>2</w:t>
            </w:r>
            <w:r>
              <w:rPr>
                <w:sz w:val="24"/>
              </w:rPr>
              <w:t>，内设</w:t>
            </w:r>
            <w:r>
              <w:rPr>
                <w:rFonts w:hint="eastAsia"/>
                <w:sz w:val="24"/>
              </w:rPr>
              <w:t>调度室</w:t>
            </w:r>
            <w:r>
              <w:rPr>
                <w:sz w:val="24"/>
              </w:rPr>
              <w:t>、</w:t>
            </w:r>
            <w:r>
              <w:rPr>
                <w:rFonts w:hint="eastAsia"/>
                <w:sz w:val="24"/>
              </w:rPr>
              <w:t>休息室、</w:t>
            </w:r>
            <w:r>
              <w:rPr>
                <w:sz w:val="24"/>
              </w:rPr>
              <w:t>便利店、配电房、</w:t>
            </w:r>
            <w:r>
              <w:rPr>
                <w:rFonts w:hint="eastAsia"/>
                <w:sz w:val="24"/>
              </w:rPr>
              <w:t>柴油发电机室、备品备件库</w:t>
            </w:r>
            <w:r>
              <w:rPr>
                <w:sz w:val="24"/>
              </w:rPr>
              <w:t>等。</w:t>
            </w:r>
            <w:bookmarkEnd w:id="15"/>
            <w:r>
              <w:rPr>
                <w:sz w:val="24"/>
              </w:rPr>
              <w:t>该加油加气站建成投运后，年售汽油</w:t>
            </w:r>
            <w:r>
              <w:rPr>
                <w:rFonts w:hint="eastAsia"/>
                <w:sz w:val="24"/>
              </w:rPr>
              <w:t>1525.16</w:t>
            </w:r>
            <w:r>
              <w:rPr>
                <w:sz w:val="24"/>
              </w:rPr>
              <w:t>t，柴油</w:t>
            </w:r>
            <w:r>
              <w:rPr>
                <w:rFonts w:hint="eastAsia"/>
                <w:sz w:val="24"/>
              </w:rPr>
              <w:t>1083.75</w:t>
            </w:r>
            <w:r>
              <w:rPr>
                <w:sz w:val="24"/>
              </w:rPr>
              <w:t>t，年售液化天然气</w:t>
            </w:r>
            <w:r>
              <w:rPr>
                <w:rFonts w:hint="eastAsia"/>
                <w:sz w:val="24"/>
              </w:rPr>
              <w:t>1237.69</w:t>
            </w:r>
            <w:r>
              <w:rPr>
                <w:sz w:val="24"/>
              </w:rPr>
              <w:t>t。项目主要技术经济指标见下表2-1所示。</w:t>
            </w:r>
          </w:p>
          <w:p>
            <w:pPr>
              <w:spacing w:line="360" w:lineRule="auto"/>
              <w:ind w:firstLine="422" w:firstLineChars="200"/>
              <w:jc w:val="center"/>
              <w:rPr>
                <w:b/>
                <w:bCs/>
                <w:szCs w:val="21"/>
              </w:rPr>
            </w:pPr>
            <w:r>
              <w:rPr>
                <w:rFonts w:hint="eastAsia"/>
                <w:b/>
                <w:bCs/>
                <w:szCs w:val="21"/>
              </w:rPr>
              <w:t>表2-1</w:t>
            </w:r>
            <w:r>
              <w:rPr>
                <w:b/>
                <w:bCs/>
                <w:szCs w:val="21"/>
              </w:rPr>
              <w:t xml:space="preserve"> </w:t>
            </w:r>
            <w:r>
              <w:rPr>
                <w:rFonts w:hint="eastAsia"/>
                <w:b/>
                <w:bCs/>
                <w:szCs w:val="21"/>
              </w:rPr>
              <w:t>项目主要综合技术经济指标表</w:t>
            </w:r>
          </w:p>
          <w:tbl>
            <w:tblPr>
              <w:tblStyle w:val="7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3118"/>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b/>
                      <w:bCs/>
                      <w:szCs w:val="21"/>
                    </w:rPr>
                  </w:pPr>
                  <w:r>
                    <w:rPr>
                      <w:b/>
                      <w:bCs/>
                      <w:szCs w:val="21"/>
                    </w:rPr>
                    <w:t>序号</w:t>
                  </w:r>
                </w:p>
              </w:tc>
              <w:tc>
                <w:tcPr>
                  <w:tcW w:w="3118" w:type="dxa"/>
                  <w:noWrap w:val="0"/>
                  <w:vAlign w:val="center"/>
                </w:tcPr>
                <w:p>
                  <w:pPr>
                    <w:jc w:val="center"/>
                    <w:rPr>
                      <w:b/>
                      <w:bCs/>
                      <w:szCs w:val="21"/>
                    </w:rPr>
                  </w:pPr>
                  <w:r>
                    <w:rPr>
                      <w:b/>
                      <w:bCs/>
                      <w:szCs w:val="21"/>
                    </w:rPr>
                    <w:t>名称</w:t>
                  </w:r>
                </w:p>
              </w:tc>
              <w:tc>
                <w:tcPr>
                  <w:tcW w:w="3600" w:type="dxa"/>
                  <w:noWrap w:val="0"/>
                  <w:vAlign w:val="center"/>
                </w:tcPr>
                <w:p>
                  <w:pPr>
                    <w:jc w:val="center"/>
                    <w:rPr>
                      <w:b/>
                      <w:bCs/>
                      <w:szCs w:val="21"/>
                    </w:rPr>
                  </w:pPr>
                  <w:r>
                    <w:rPr>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1</w:t>
                  </w:r>
                </w:p>
              </w:tc>
              <w:tc>
                <w:tcPr>
                  <w:tcW w:w="3118" w:type="dxa"/>
                  <w:noWrap w:val="0"/>
                  <w:vAlign w:val="center"/>
                </w:tcPr>
                <w:p>
                  <w:pPr>
                    <w:jc w:val="center"/>
                    <w:rPr>
                      <w:szCs w:val="21"/>
                    </w:rPr>
                  </w:pPr>
                  <w:r>
                    <w:rPr>
                      <w:spacing w:val="7"/>
                      <w:szCs w:val="21"/>
                    </w:rPr>
                    <w:t>总用地面积</w:t>
                  </w:r>
                </w:p>
              </w:tc>
              <w:tc>
                <w:tcPr>
                  <w:tcW w:w="3600" w:type="dxa"/>
                  <w:noWrap w:val="0"/>
                  <w:vAlign w:val="center"/>
                </w:tcPr>
                <w:p>
                  <w:pPr>
                    <w:jc w:val="center"/>
                    <w:rPr>
                      <w:szCs w:val="21"/>
                    </w:rPr>
                  </w:pPr>
                  <w:r>
                    <w:rPr>
                      <w:szCs w:val="21"/>
                    </w:rPr>
                    <w:t>4916.457m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2</w:t>
                  </w:r>
                </w:p>
              </w:tc>
              <w:tc>
                <w:tcPr>
                  <w:tcW w:w="3118" w:type="dxa"/>
                  <w:noWrap w:val="0"/>
                  <w:vAlign w:val="center"/>
                </w:tcPr>
                <w:p>
                  <w:pPr>
                    <w:jc w:val="center"/>
                    <w:rPr>
                      <w:szCs w:val="21"/>
                    </w:rPr>
                  </w:pPr>
                  <w:r>
                    <w:rPr>
                      <w:szCs w:val="21"/>
                    </w:rPr>
                    <w:t>计容总建筑面积</w:t>
                  </w:r>
                </w:p>
              </w:tc>
              <w:tc>
                <w:tcPr>
                  <w:tcW w:w="3600" w:type="dxa"/>
                  <w:noWrap w:val="0"/>
                  <w:vAlign w:val="center"/>
                </w:tcPr>
                <w:p>
                  <w:pPr>
                    <w:jc w:val="center"/>
                    <w:rPr>
                      <w:szCs w:val="21"/>
                    </w:rPr>
                  </w:pPr>
                  <w:r>
                    <w:rPr>
                      <w:szCs w:val="21"/>
                    </w:rPr>
                    <w:t>1454.10m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2.1</w:t>
                  </w:r>
                </w:p>
              </w:tc>
              <w:tc>
                <w:tcPr>
                  <w:tcW w:w="3118" w:type="dxa"/>
                  <w:noWrap w:val="0"/>
                  <w:vAlign w:val="center"/>
                </w:tcPr>
                <w:p>
                  <w:pPr>
                    <w:jc w:val="center"/>
                    <w:rPr>
                      <w:szCs w:val="21"/>
                    </w:rPr>
                  </w:pPr>
                  <w:r>
                    <w:rPr>
                      <w:szCs w:val="21"/>
                    </w:rPr>
                    <w:t>站房建筑面积</w:t>
                  </w:r>
                </w:p>
              </w:tc>
              <w:tc>
                <w:tcPr>
                  <w:tcW w:w="3600" w:type="dxa"/>
                  <w:noWrap w:val="0"/>
                  <w:vAlign w:val="center"/>
                </w:tcPr>
                <w:p>
                  <w:pPr>
                    <w:jc w:val="center"/>
                    <w:rPr>
                      <w:szCs w:val="21"/>
                    </w:rPr>
                  </w:pPr>
                  <w:r>
                    <w:rPr>
                      <w:szCs w:val="21"/>
                    </w:rPr>
                    <w:t>656.88m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2.2</w:t>
                  </w:r>
                </w:p>
              </w:tc>
              <w:tc>
                <w:tcPr>
                  <w:tcW w:w="3118" w:type="dxa"/>
                  <w:noWrap w:val="0"/>
                  <w:vAlign w:val="center"/>
                </w:tcPr>
                <w:p>
                  <w:pPr>
                    <w:jc w:val="center"/>
                    <w:rPr>
                      <w:szCs w:val="21"/>
                    </w:rPr>
                  </w:pPr>
                  <w:r>
                    <w:rPr>
                      <w:szCs w:val="21"/>
                    </w:rPr>
                    <w:t>加油加气罩棚</w:t>
                  </w:r>
                </w:p>
              </w:tc>
              <w:tc>
                <w:tcPr>
                  <w:tcW w:w="3600" w:type="dxa"/>
                  <w:noWrap w:val="0"/>
                  <w:vAlign w:val="center"/>
                </w:tcPr>
                <w:p>
                  <w:pPr>
                    <w:jc w:val="center"/>
                    <w:rPr>
                      <w:szCs w:val="21"/>
                    </w:rPr>
                  </w:pPr>
                  <w:r>
                    <w:rPr>
                      <w:szCs w:val="21"/>
                    </w:rPr>
                    <w:t>398.61m</w:t>
                  </w:r>
                  <w:r>
                    <w:rPr>
                      <w:szCs w:val="21"/>
                      <w:vertAlign w:val="superscript"/>
                    </w:rPr>
                    <w:t>2</w:t>
                  </w:r>
                  <w:r>
                    <w:rPr>
                      <w:szCs w:val="21"/>
                    </w:rPr>
                    <w:t>（</w:t>
                  </w:r>
                  <w:r>
                    <w:rPr>
                      <w:rFonts w:hint="eastAsia"/>
                      <w:szCs w:val="21"/>
                    </w:rPr>
                    <w:t>占地</w:t>
                  </w:r>
                  <w:r>
                    <w:rPr>
                      <w:szCs w:val="21"/>
                    </w:rPr>
                    <w:t>面积</w:t>
                  </w:r>
                  <w:r>
                    <w:rPr>
                      <w:rFonts w:hint="eastAsia"/>
                      <w:szCs w:val="21"/>
                    </w:rPr>
                    <w:t>819.0</w:t>
                  </w:r>
                  <w:r>
                    <w:rPr>
                      <w:szCs w:val="21"/>
                    </w:rPr>
                    <w:t>m</w:t>
                  </w:r>
                  <w:r>
                    <w:rPr>
                      <w:szCs w:val="21"/>
                      <w:vertAlign w:val="superscript"/>
                    </w:rPr>
                    <w:t>2</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3</w:t>
                  </w:r>
                </w:p>
              </w:tc>
              <w:tc>
                <w:tcPr>
                  <w:tcW w:w="3118" w:type="dxa"/>
                  <w:noWrap w:val="0"/>
                  <w:vAlign w:val="center"/>
                </w:tcPr>
                <w:p>
                  <w:pPr>
                    <w:jc w:val="center"/>
                    <w:rPr>
                      <w:szCs w:val="21"/>
                    </w:rPr>
                  </w:pPr>
                  <w:r>
                    <w:rPr>
                      <w:szCs w:val="21"/>
                    </w:rPr>
                    <w:t>建筑物占地面积</w:t>
                  </w:r>
                </w:p>
              </w:tc>
              <w:tc>
                <w:tcPr>
                  <w:tcW w:w="3600" w:type="dxa"/>
                  <w:noWrap w:val="0"/>
                  <w:vAlign w:val="center"/>
                </w:tcPr>
                <w:p>
                  <w:pPr>
                    <w:jc w:val="center"/>
                    <w:rPr>
                      <w:szCs w:val="21"/>
                    </w:rPr>
                  </w:pPr>
                  <w:r>
                    <w:rPr>
                      <w:szCs w:val="21"/>
                    </w:rPr>
                    <w:t>1147.44m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4</w:t>
                  </w:r>
                </w:p>
              </w:tc>
              <w:tc>
                <w:tcPr>
                  <w:tcW w:w="3118" w:type="dxa"/>
                  <w:noWrap w:val="0"/>
                  <w:vAlign w:val="center"/>
                </w:tcPr>
                <w:p>
                  <w:pPr>
                    <w:jc w:val="center"/>
                    <w:rPr>
                      <w:szCs w:val="21"/>
                    </w:rPr>
                  </w:pPr>
                  <w:r>
                    <w:rPr>
                      <w:szCs w:val="21"/>
                    </w:rPr>
                    <w:t>容积率</w:t>
                  </w:r>
                </w:p>
              </w:tc>
              <w:tc>
                <w:tcPr>
                  <w:tcW w:w="3600" w:type="dxa"/>
                  <w:noWrap w:val="0"/>
                  <w:vAlign w:val="center"/>
                </w:tcPr>
                <w:p>
                  <w:pPr>
                    <w:jc w:val="center"/>
                    <w:rPr>
                      <w:szCs w:val="21"/>
                    </w:rPr>
                  </w:pPr>
                  <w:r>
                    <w:rPr>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5</w:t>
                  </w:r>
                </w:p>
              </w:tc>
              <w:tc>
                <w:tcPr>
                  <w:tcW w:w="3118" w:type="dxa"/>
                  <w:noWrap w:val="0"/>
                  <w:vAlign w:val="center"/>
                </w:tcPr>
                <w:p>
                  <w:pPr>
                    <w:jc w:val="center"/>
                    <w:rPr>
                      <w:szCs w:val="21"/>
                    </w:rPr>
                  </w:pPr>
                  <w:r>
                    <w:rPr>
                      <w:szCs w:val="21"/>
                    </w:rPr>
                    <w:t>建筑密度</w:t>
                  </w:r>
                </w:p>
              </w:tc>
              <w:tc>
                <w:tcPr>
                  <w:tcW w:w="3600" w:type="dxa"/>
                  <w:noWrap w:val="0"/>
                  <w:vAlign w:val="center"/>
                </w:tcPr>
                <w:p>
                  <w:pPr>
                    <w:jc w:val="center"/>
                    <w:rPr>
                      <w:szCs w:val="21"/>
                    </w:rPr>
                  </w:pPr>
                  <w:r>
                    <w:rPr>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6</w:t>
                  </w:r>
                </w:p>
              </w:tc>
              <w:tc>
                <w:tcPr>
                  <w:tcW w:w="3118" w:type="dxa"/>
                  <w:noWrap w:val="0"/>
                  <w:vAlign w:val="center"/>
                </w:tcPr>
                <w:p>
                  <w:pPr>
                    <w:jc w:val="center"/>
                    <w:rPr>
                      <w:szCs w:val="21"/>
                    </w:rPr>
                  </w:pPr>
                  <w:r>
                    <w:rPr>
                      <w:szCs w:val="21"/>
                    </w:rPr>
                    <w:t>站内绿化面积</w:t>
                  </w:r>
                </w:p>
              </w:tc>
              <w:tc>
                <w:tcPr>
                  <w:tcW w:w="3600" w:type="dxa"/>
                  <w:noWrap w:val="0"/>
                  <w:vAlign w:val="center"/>
                </w:tcPr>
                <w:p>
                  <w:pPr>
                    <w:jc w:val="center"/>
                    <w:rPr>
                      <w:szCs w:val="21"/>
                    </w:rPr>
                  </w:pPr>
                  <w:r>
                    <w:rPr>
                      <w:szCs w:val="21"/>
                    </w:rPr>
                    <w:t>991.0m</w:t>
                  </w:r>
                  <w:r>
                    <w:rPr>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1656" w:type="dxa"/>
                  <w:noWrap w:val="0"/>
                  <w:vAlign w:val="center"/>
                </w:tcPr>
                <w:p>
                  <w:pPr>
                    <w:jc w:val="center"/>
                    <w:rPr>
                      <w:szCs w:val="21"/>
                    </w:rPr>
                  </w:pPr>
                  <w:r>
                    <w:rPr>
                      <w:szCs w:val="21"/>
                    </w:rPr>
                    <w:t>7</w:t>
                  </w:r>
                </w:p>
              </w:tc>
              <w:tc>
                <w:tcPr>
                  <w:tcW w:w="3118" w:type="dxa"/>
                  <w:noWrap w:val="0"/>
                  <w:vAlign w:val="center"/>
                </w:tcPr>
                <w:p>
                  <w:pPr>
                    <w:jc w:val="center"/>
                    <w:rPr>
                      <w:szCs w:val="21"/>
                    </w:rPr>
                  </w:pPr>
                  <w:r>
                    <w:rPr>
                      <w:szCs w:val="21"/>
                    </w:rPr>
                    <w:t>站内绿化率</w:t>
                  </w:r>
                </w:p>
              </w:tc>
              <w:tc>
                <w:tcPr>
                  <w:tcW w:w="3600" w:type="dxa"/>
                  <w:noWrap w:val="0"/>
                  <w:vAlign w:val="center"/>
                </w:tcPr>
                <w:p>
                  <w:pPr>
                    <w:jc w:val="center"/>
                    <w:rPr>
                      <w:szCs w:val="21"/>
                    </w:rPr>
                  </w:pPr>
                  <w:r>
                    <w:rPr>
                      <w:szCs w:val="21"/>
                    </w:rPr>
                    <w:t>20.16%</w:t>
                  </w:r>
                </w:p>
              </w:tc>
            </w:tr>
          </w:tbl>
          <w:p>
            <w:pPr>
              <w:spacing w:line="360" w:lineRule="auto"/>
              <w:ind w:firstLine="480" w:firstLineChars="200"/>
              <w:rPr>
                <w:sz w:val="24"/>
              </w:rPr>
            </w:pPr>
            <w:r>
              <w:rPr>
                <w:sz w:val="24"/>
              </w:rPr>
              <w:t>本项目组成及主要环境问题如下表2-2所示。</w:t>
            </w:r>
          </w:p>
          <w:p>
            <w:pPr>
              <w:keepNext/>
              <w:keepLines/>
              <w:contextualSpacing/>
              <w:jc w:val="center"/>
              <w:outlineLvl w:val="3"/>
              <w:rPr>
                <w:rFonts w:hint="eastAsia"/>
                <w:b/>
                <w:bCs/>
                <w:kern w:val="0"/>
                <w:szCs w:val="21"/>
              </w:rPr>
            </w:pPr>
            <w:r>
              <w:rPr>
                <w:b/>
                <w:bCs/>
                <w:kern w:val="0"/>
                <w:szCs w:val="21"/>
              </w:rPr>
              <w:t>表2-2本项目组成一览表及主要环境问题</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219"/>
              <w:gridCol w:w="4079"/>
              <w:gridCol w:w="113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restart"/>
                  <w:noWrap w:val="0"/>
                  <w:vAlign w:val="center"/>
                </w:tcPr>
                <w:p>
                  <w:pPr>
                    <w:jc w:val="center"/>
                    <w:rPr>
                      <w:b/>
                      <w:szCs w:val="21"/>
                    </w:rPr>
                  </w:pPr>
                  <w:r>
                    <w:rPr>
                      <w:b/>
                      <w:szCs w:val="21"/>
                    </w:rPr>
                    <w:t>名称</w:t>
                  </w:r>
                </w:p>
              </w:tc>
              <w:tc>
                <w:tcPr>
                  <w:tcW w:w="3160" w:type="pct"/>
                  <w:gridSpan w:val="2"/>
                  <w:noWrap w:val="0"/>
                  <w:vAlign w:val="center"/>
                </w:tcPr>
                <w:p>
                  <w:pPr>
                    <w:jc w:val="center"/>
                    <w:rPr>
                      <w:b/>
                      <w:szCs w:val="21"/>
                    </w:rPr>
                  </w:pPr>
                  <w:r>
                    <w:rPr>
                      <w:b/>
                      <w:szCs w:val="21"/>
                    </w:rPr>
                    <w:t>建设内容及规模</w:t>
                  </w:r>
                </w:p>
              </w:tc>
              <w:tc>
                <w:tcPr>
                  <w:tcW w:w="1384" w:type="pct"/>
                  <w:gridSpan w:val="2"/>
                  <w:noWrap w:val="0"/>
                  <w:vAlign w:val="center"/>
                </w:tcPr>
                <w:p>
                  <w:pPr>
                    <w:jc w:val="center"/>
                    <w:rPr>
                      <w:b/>
                      <w:szCs w:val="21"/>
                    </w:rPr>
                  </w:pPr>
                  <w:r>
                    <w:rPr>
                      <w:b/>
                      <w:szCs w:val="21"/>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b/>
                      <w:szCs w:val="21"/>
                    </w:rPr>
                  </w:pPr>
                </w:p>
              </w:tc>
              <w:tc>
                <w:tcPr>
                  <w:tcW w:w="727" w:type="pct"/>
                  <w:noWrap w:val="0"/>
                  <w:vAlign w:val="center"/>
                </w:tcPr>
                <w:p>
                  <w:pPr>
                    <w:jc w:val="center"/>
                    <w:rPr>
                      <w:b/>
                      <w:szCs w:val="21"/>
                    </w:rPr>
                  </w:pPr>
                  <w:r>
                    <w:rPr>
                      <w:b/>
                      <w:szCs w:val="21"/>
                    </w:rPr>
                    <w:t>建设内容</w:t>
                  </w:r>
                </w:p>
              </w:tc>
              <w:tc>
                <w:tcPr>
                  <w:tcW w:w="2433" w:type="pct"/>
                  <w:noWrap w:val="0"/>
                  <w:vAlign w:val="center"/>
                </w:tcPr>
                <w:p>
                  <w:pPr>
                    <w:jc w:val="center"/>
                    <w:rPr>
                      <w:b/>
                      <w:szCs w:val="21"/>
                    </w:rPr>
                  </w:pPr>
                  <w:r>
                    <w:rPr>
                      <w:b/>
                      <w:szCs w:val="21"/>
                    </w:rPr>
                    <w:t>建设规模</w:t>
                  </w:r>
                </w:p>
              </w:tc>
              <w:tc>
                <w:tcPr>
                  <w:tcW w:w="677" w:type="pct"/>
                  <w:noWrap w:val="0"/>
                  <w:vAlign w:val="center"/>
                </w:tcPr>
                <w:p>
                  <w:pPr>
                    <w:jc w:val="center"/>
                    <w:rPr>
                      <w:b/>
                      <w:szCs w:val="21"/>
                    </w:rPr>
                  </w:pPr>
                  <w:r>
                    <w:rPr>
                      <w:rFonts w:hint="eastAsia"/>
                      <w:b/>
                      <w:szCs w:val="21"/>
                    </w:rPr>
                    <w:t>施工期</w:t>
                  </w:r>
                </w:p>
              </w:tc>
              <w:tc>
                <w:tcPr>
                  <w:tcW w:w="707" w:type="pct"/>
                  <w:noWrap w:val="0"/>
                  <w:vAlign w:val="center"/>
                </w:tcPr>
                <w:p>
                  <w:pPr>
                    <w:jc w:val="center"/>
                    <w:rPr>
                      <w:b/>
                      <w:szCs w:val="21"/>
                    </w:rPr>
                  </w:pPr>
                  <w:r>
                    <w:rPr>
                      <w:b/>
                      <w:szCs w:val="21"/>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restart"/>
                  <w:noWrap w:val="0"/>
                  <w:vAlign w:val="center"/>
                </w:tcPr>
                <w:p>
                  <w:pPr>
                    <w:jc w:val="center"/>
                    <w:rPr>
                      <w:szCs w:val="21"/>
                    </w:rPr>
                  </w:pPr>
                  <w:r>
                    <w:rPr>
                      <w:szCs w:val="21"/>
                    </w:rPr>
                    <w:t>主体</w:t>
                  </w:r>
                </w:p>
                <w:p>
                  <w:pPr>
                    <w:jc w:val="center"/>
                    <w:rPr>
                      <w:szCs w:val="21"/>
                    </w:rPr>
                  </w:pPr>
                  <w:r>
                    <w:rPr>
                      <w:szCs w:val="21"/>
                    </w:rPr>
                    <w:t>工程</w:t>
                  </w: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加油加气区</w:t>
                  </w:r>
                </w:p>
              </w:tc>
              <w:tc>
                <w:tcPr>
                  <w:tcW w:w="2433" w:type="pct"/>
                  <w:noWrap w:val="0"/>
                  <w:vAlign w:val="center"/>
                </w:tcPr>
                <w:p>
                  <w:pPr>
                    <w:jc w:val="left"/>
                    <w:rPr>
                      <w:szCs w:val="21"/>
                    </w:rPr>
                  </w:pPr>
                  <w:r>
                    <w:rPr>
                      <w:szCs w:val="21"/>
                    </w:rPr>
                    <w:t>罩棚及加油岛：型钢结构罩棚，投影面积</w:t>
                  </w:r>
                  <w:r>
                    <w:rPr>
                      <w:rFonts w:hint="eastAsia"/>
                      <w:szCs w:val="21"/>
                    </w:rPr>
                    <w:t>760</w:t>
                  </w:r>
                  <w:r>
                    <w:rPr>
                      <w:szCs w:val="21"/>
                    </w:rPr>
                    <w:t>m</w:t>
                  </w:r>
                  <w:r>
                    <w:rPr>
                      <w:szCs w:val="21"/>
                      <w:vertAlign w:val="superscript"/>
                    </w:rPr>
                    <w:t>2</w:t>
                  </w:r>
                  <w:r>
                    <w:rPr>
                      <w:szCs w:val="21"/>
                    </w:rPr>
                    <w:t>，净高9.0m；罩棚下设置4座独立加油岛、2座加气岛</w:t>
                  </w:r>
                  <w:r>
                    <w:rPr>
                      <w:rFonts w:hint="eastAsia"/>
                      <w:szCs w:val="21"/>
                    </w:rPr>
                    <w:t>。</w:t>
                  </w:r>
                </w:p>
                <w:p>
                  <w:pPr>
                    <w:jc w:val="left"/>
                    <w:rPr>
                      <w:szCs w:val="21"/>
                    </w:rPr>
                  </w:pPr>
                  <w:r>
                    <w:rPr>
                      <w:szCs w:val="21"/>
                    </w:rPr>
                    <w:t>加油机：设置</w:t>
                  </w:r>
                  <w:r>
                    <w:rPr>
                      <w:rFonts w:hint="eastAsia"/>
                      <w:szCs w:val="21"/>
                    </w:rPr>
                    <w:t>2</w:t>
                  </w:r>
                  <w:r>
                    <w:rPr>
                      <w:szCs w:val="21"/>
                    </w:rPr>
                    <w:t>台四枪</w:t>
                  </w:r>
                  <w:r>
                    <w:rPr>
                      <w:rFonts w:hint="eastAsia"/>
                      <w:szCs w:val="21"/>
                    </w:rPr>
                    <w:t>单</w:t>
                  </w:r>
                  <w:r>
                    <w:rPr>
                      <w:szCs w:val="21"/>
                    </w:rPr>
                    <w:t>油品潜油泵加油机</w:t>
                  </w:r>
                  <w:r>
                    <w:rPr>
                      <w:rFonts w:hint="eastAsia"/>
                      <w:szCs w:val="21"/>
                    </w:rPr>
                    <w:t>，2台</w:t>
                  </w:r>
                  <w:r>
                    <w:rPr>
                      <w:szCs w:val="21"/>
                    </w:rPr>
                    <w:t>四枪</w:t>
                  </w:r>
                  <w:r>
                    <w:rPr>
                      <w:rFonts w:hint="eastAsia"/>
                      <w:szCs w:val="21"/>
                    </w:rPr>
                    <w:t>双</w:t>
                  </w:r>
                  <w:r>
                    <w:rPr>
                      <w:szCs w:val="21"/>
                    </w:rPr>
                    <w:t>油品潜油泵加油机</w:t>
                  </w:r>
                  <w:r>
                    <w:rPr>
                      <w:rFonts w:hint="eastAsia"/>
                      <w:szCs w:val="21"/>
                    </w:rPr>
                    <w:t>，</w:t>
                  </w:r>
                  <w:r>
                    <w:rPr>
                      <w:szCs w:val="21"/>
                    </w:rPr>
                    <w:t>并设置油气回收系统</w:t>
                  </w:r>
                  <w:r>
                    <w:rPr>
                      <w:rFonts w:hint="eastAsia"/>
                      <w:szCs w:val="21"/>
                    </w:rPr>
                    <w:t>。</w:t>
                  </w:r>
                </w:p>
                <w:p>
                  <w:pPr>
                    <w:jc w:val="left"/>
                    <w:rPr>
                      <w:szCs w:val="21"/>
                    </w:rPr>
                  </w:pPr>
                  <w:r>
                    <w:rPr>
                      <w:szCs w:val="21"/>
                    </w:rPr>
                    <w:t>加气机：设置2台</w:t>
                  </w:r>
                  <w:r>
                    <w:rPr>
                      <w:rFonts w:hint="eastAsia"/>
                      <w:szCs w:val="21"/>
                    </w:rPr>
                    <w:t>双</w:t>
                  </w:r>
                  <w:r>
                    <w:rPr>
                      <w:szCs w:val="21"/>
                    </w:rPr>
                    <w:t>枪加气机</w:t>
                  </w:r>
                  <w:r>
                    <w:rPr>
                      <w:rFonts w:hint="eastAsia"/>
                      <w:szCs w:val="21"/>
                    </w:rPr>
                    <w:t>。</w:t>
                  </w:r>
                </w:p>
              </w:tc>
              <w:tc>
                <w:tcPr>
                  <w:tcW w:w="677" w:type="pct"/>
                  <w:vMerge w:val="restart"/>
                  <w:noWrap w:val="0"/>
                  <w:vAlign w:val="center"/>
                </w:tcPr>
                <w:p>
                  <w:pPr>
                    <w:spacing w:line="276" w:lineRule="auto"/>
                    <w:jc w:val="center"/>
                    <w:rPr>
                      <w:kern w:val="0"/>
                      <w:szCs w:val="21"/>
                    </w:rPr>
                  </w:pPr>
                  <w:r>
                    <w:rPr>
                      <w:kern w:val="0"/>
                      <w:szCs w:val="21"/>
                    </w:rPr>
                    <w:t>生态环境：</w:t>
                  </w:r>
                </w:p>
                <w:p>
                  <w:pPr>
                    <w:spacing w:line="276" w:lineRule="auto"/>
                    <w:jc w:val="center"/>
                    <w:rPr>
                      <w:kern w:val="0"/>
                      <w:szCs w:val="21"/>
                    </w:rPr>
                  </w:pPr>
                  <w:r>
                    <w:rPr>
                      <w:kern w:val="0"/>
                      <w:szCs w:val="21"/>
                    </w:rPr>
                    <w:t>水土</w:t>
                  </w:r>
                </w:p>
                <w:p>
                  <w:pPr>
                    <w:spacing w:line="276" w:lineRule="auto"/>
                    <w:jc w:val="center"/>
                    <w:rPr>
                      <w:kern w:val="0"/>
                      <w:szCs w:val="21"/>
                    </w:rPr>
                  </w:pPr>
                  <w:r>
                    <w:rPr>
                      <w:kern w:val="0"/>
                      <w:szCs w:val="21"/>
                    </w:rPr>
                    <w:t>流失；</w:t>
                  </w:r>
                </w:p>
                <w:p>
                  <w:pPr>
                    <w:spacing w:line="276" w:lineRule="auto"/>
                    <w:jc w:val="center"/>
                    <w:rPr>
                      <w:kern w:val="0"/>
                      <w:szCs w:val="21"/>
                    </w:rPr>
                  </w:pPr>
                  <w:r>
                    <w:rPr>
                      <w:kern w:val="0"/>
                      <w:szCs w:val="21"/>
                    </w:rPr>
                    <w:t>水环境：施工</w:t>
                  </w:r>
                </w:p>
                <w:p>
                  <w:pPr>
                    <w:spacing w:line="276" w:lineRule="auto"/>
                    <w:jc w:val="center"/>
                    <w:rPr>
                      <w:kern w:val="0"/>
                      <w:szCs w:val="21"/>
                    </w:rPr>
                  </w:pPr>
                  <w:r>
                    <w:rPr>
                      <w:kern w:val="0"/>
                      <w:szCs w:val="21"/>
                    </w:rPr>
                    <w:t>废水、施工人员</w:t>
                  </w:r>
                </w:p>
                <w:p>
                  <w:pPr>
                    <w:spacing w:line="276" w:lineRule="auto"/>
                    <w:jc w:val="center"/>
                    <w:rPr>
                      <w:kern w:val="0"/>
                      <w:szCs w:val="21"/>
                    </w:rPr>
                  </w:pPr>
                  <w:r>
                    <w:rPr>
                      <w:kern w:val="0"/>
                      <w:szCs w:val="21"/>
                    </w:rPr>
                    <w:t>生活污水；</w:t>
                  </w:r>
                </w:p>
                <w:p>
                  <w:pPr>
                    <w:spacing w:line="276" w:lineRule="auto"/>
                    <w:jc w:val="center"/>
                    <w:rPr>
                      <w:kern w:val="0"/>
                      <w:szCs w:val="21"/>
                    </w:rPr>
                  </w:pPr>
                  <w:r>
                    <w:rPr>
                      <w:kern w:val="0"/>
                      <w:szCs w:val="21"/>
                    </w:rPr>
                    <w:t>大气环境：施</w:t>
                  </w:r>
                </w:p>
                <w:p>
                  <w:pPr>
                    <w:spacing w:line="276" w:lineRule="auto"/>
                    <w:jc w:val="center"/>
                    <w:rPr>
                      <w:rFonts w:hint="eastAsia"/>
                      <w:kern w:val="0"/>
                      <w:szCs w:val="21"/>
                    </w:rPr>
                  </w:pPr>
                  <w:r>
                    <w:rPr>
                      <w:kern w:val="0"/>
                      <w:szCs w:val="21"/>
                    </w:rPr>
                    <w:t>工扬尘、施工机械废气</w:t>
                  </w:r>
                </w:p>
                <w:p>
                  <w:pPr>
                    <w:spacing w:line="276" w:lineRule="auto"/>
                    <w:jc w:val="center"/>
                    <w:rPr>
                      <w:kern w:val="0"/>
                      <w:szCs w:val="21"/>
                    </w:rPr>
                  </w:pPr>
                  <w:r>
                    <w:rPr>
                      <w:kern w:val="0"/>
                      <w:szCs w:val="21"/>
                    </w:rPr>
                    <w:t>声环境：施工</w:t>
                  </w:r>
                </w:p>
                <w:p>
                  <w:pPr>
                    <w:spacing w:line="276" w:lineRule="auto"/>
                    <w:jc w:val="center"/>
                    <w:rPr>
                      <w:kern w:val="0"/>
                      <w:szCs w:val="21"/>
                    </w:rPr>
                  </w:pPr>
                  <w:r>
                    <w:rPr>
                      <w:kern w:val="0"/>
                      <w:szCs w:val="21"/>
                    </w:rPr>
                    <w:t>机械和运输车辆噪声；</w:t>
                  </w:r>
                </w:p>
                <w:p>
                  <w:pPr>
                    <w:spacing w:line="276" w:lineRule="auto"/>
                    <w:jc w:val="center"/>
                    <w:rPr>
                      <w:kern w:val="0"/>
                      <w:szCs w:val="21"/>
                    </w:rPr>
                  </w:pPr>
                  <w:r>
                    <w:rPr>
                      <w:kern w:val="0"/>
                      <w:szCs w:val="21"/>
                    </w:rPr>
                    <w:t>固体废物：</w:t>
                  </w:r>
                </w:p>
                <w:p>
                  <w:pPr>
                    <w:spacing w:line="276" w:lineRule="auto"/>
                    <w:jc w:val="center"/>
                    <w:rPr>
                      <w:kern w:val="0"/>
                      <w:szCs w:val="21"/>
                    </w:rPr>
                  </w:pPr>
                  <w:r>
                    <w:rPr>
                      <w:kern w:val="0"/>
                      <w:szCs w:val="21"/>
                    </w:rPr>
                    <w:t>建筑</w:t>
                  </w:r>
                </w:p>
                <w:p>
                  <w:pPr>
                    <w:spacing w:line="276" w:lineRule="auto"/>
                    <w:jc w:val="center"/>
                    <w:rPr>
                      <w:rFonts w:hint="eastAsia"/>
                      <w:szCs w:val="21"/>
                    </w:rPr>
                  </w:pPr>
                  <w:r>
                    <w:rPr>
                      <w:kern w:val="0"/>
                      <w:szCs w:val="21"/>
                    </w:rPr>
                    <w:t>垃圾、施工人员生活垃圾</w:t>
                  </w:r>
                </w:p>
              </w:tc>
              <w:tc>
                <w:tcPr>
                  <w:tcW w:w="707" w:type="pct"/>
                  <w:noWrap w:val="0"/>
                  <w:vAlign w:val="center"/>
                </w:tcPr>
                <w:p>
                  <w:pPr>
                    <w:jc w:val="center"/>
                    <w:rPr>
                      <w:rFonts w:hint="eastAsia"/>
                      <w:szCs w:val="21"/>
                    </w:rPr>
                  </w:pPr>
                  <w:r>
                    <w:rPr>
                      <w:rFonts w:hint="eastAsia"/>
                      <w:szCs w:val="21"/>
                    </w:rPr>
                    <w:t>废气、噪声、固废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储油罐</w:t>
                  </w:r>
                </w:p>
              </w:tc>
              <w:tc>
                <w:tcPr>
                  <w:tcW w:w="2433" w:type="pct"/>
                  <w:noWrap w:val="0"/>
                  <w:vAlign w:val="center"/>
                </w:tcPr>
                <w:p>
                  <w:pPr>
                    <w:jc w:val="left"/>
                    <w:rPr>
                      <w:szCs w:val="21"/>
                    </w:rPr>
                  </w:pPr>
                  <w:r>
                    <w:rPr>
                      <w:szCs w:val="21"/>
                    </w:rPr>
                    <w:t>设置有</w:t>
                  </w:r>
                  <w:r>
                    <w:rPr>
                      <w:rFonts w:hint="eastAsia"/>
                      <w:szCs w:val="21"/>
                    </w:rPr>
                    <w:t>3</w:t>
                  </w:r>
                  <w:r>
                    <w:rPr>
                      <w:szCs w:val="21"/>
                    </w:rPr>
                    <w:t>座地埋卧式双层储油罐，其中，0#柴油储罐1座，容积为</w:t>
                  </w:r>
                  <w:r>
                    <w:rPr>
                      <w:rFonts w:hint="eastAsia"/>
                      <w:szCs w:val="21"/>
                    </w:rPr>
                    <w:t>5</w:t>
                  </w:r>
                  <w:r>
                    <w:rPr>
                      <w:szCs w:val="21"/>
                    </w:rPr>
                    <w:t>0m</w:t>
                  </w:r>
                  <w:r>
                    <w:rPr>
                      <w:szCs w:val="21"/>
                      <w:vertAlign w:val="superscript"/>
                    </w:rPr>
                    <w:t>3</w:t>
                  </w:r>
                  <w:r>
                    <w:rPr>
                      <w:szCs w:val="21"/>
                    </w:rPr>
                    <w:t>；92#汽油储罐1座，容积为30m</w:t>
                  </w:r>
                  <w:r>
                    <w:rPr>
                      <w:szCs w:val="21"/>
                      <w:vertAlign w:val="superscript"/>
                    </w:rPr>
                    <w:t>3</w:t>
                  </w:r>
                  <w:r>
                    <w:rPr>
                      <w:szCs w:val="21"/>
                    </w:rPr>
                    <w:t>；95#汽油储罐1座，容积为</w:t>
                  </w:r>
                  <w:r>
                    <w:rPr>
                      <w:rFonts w:hint="eastAsia"/>
                      <w:szCs w:val="21"/>
                    </w:rPr>
                    <w:t>3</w:t>
                  </w:r>
                  <w:r>
                    <w:rPr>
                      <w:szCs w:val="21"/>
                    </w:rPr>
                    <w:t>0m</w:t>
                  </w:r>
                  <w:r>
                    <w:rPr>
                      <w:szCs w:val="21"/>
                      <w:vertAlign w:val="superscript"/>
                    </w:rPr>
                    <w:t>3</w:t>
                  </w:r>
                  <w:r>
                    <w:rPr>
                      <w:szCs w:val="21"/>
                    </w:rPr>
                    <w:t>；油罐区总容积为1</w:t>
                  </w:r>
                  <w:r>
                    <w:rPr>
                      <w:rFonts w:hint="eastAsia"/>
                      <w:szCs w:val="21"/>
                    </w:rPr>
                    <w:t>1</w:t>
                  </w:r>
                  <w:r>
                    <w:rPr>
                      <w:szCs w:val="21"/>
                    </w:rPr>
                    <w:t>0m</w:t>
                  </w:r>
                  <w:r>
                    <w:rPr>
                      <w:szCs w:val="21"/>
                      <w:vertAlign w:val="superscript"/>
                    </w:rPr>
                    <w:t>3</w:t>
                  </w:r>
                  <w:r>
                    <w:rPr>
                      <w:szCs w:val="21"/>
                    </w:rPr>
                    <w:t>，总储存能力为85m</w:t>
                  </w:r>
                  <w:r>
                    <w:rPr>
                      <w:szCs w:val="21"/>
                      <w:vertAlign w:val="superscript"/>
                    </w:rPr>
                    <w:t>3</w:t>
                  </w:r>
                  <w:r>
                    <w:rPr>
                      <w:rFonts w:hint="eastAsia"/>
                      <w:szCs w:val="21"/>
                    </w:rPr>
                    <w:t>（</w:t>
                  </w:r>
                  <w:r>
                    <w:rPr>
                      <w:szCs w:val="21"/>
                    </w:rPr>
                    <w:t>柴油折半计</w:t>
                  </w:r>
                  <w:r>
                    <w:rPr>
                      <w:rFonts w:hint="eastAsia"/>
                      <w:szCs w:val="21"/>
                    </w:rPr>
                    <w:t>）。</w:t>
                  </w:r>
                </w:p>
              </w:tc>
              <w:tc>
                <w:tcPr>
                  <w:tcW w:w="677" w:type="pct"/>
                  <w:vMerge w:val="continue"/>
                  <w:noWrap w:val="0"/>
                  <w:vAlign w:val="center"/>
                </w:tcPr>
                <w:p>
                  <w:pPr>
                    <w:jc w:val="left"/>
                    <w:rPr>
                      <w:szCs w:val="21"/>
                    </w:rPr>
                  </w:pPr>
                </w:p>
              </w:tc>
              <w:tc>
                <w:tcPr>
                  <w:tcW w:w="707" w:type="pct"/>
                  <w:noWrap w:val="0"/>
                  <w:vAlign w:val="center"/>
                </w:tcPr>
                <w:p>
                  <w:pPr>
                    <w:jc w:val="center"/>
                    <w:rPr>
                      <w:szCs w:val="21"/>
                    </w:rPr>
                  </w:pPr>
                  <w:r>
                    <w:rPr>
                      <w:rFonts w:hint="eastAsia"/>
                      <w:szCs w:val="21"/>
                    </w:rPr>
                    <w:t>废气、环境风险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加气设备区</w:t>
                  </w:r>
                </w:p>
              </w:tc>
              <w:tc>
                <w:tcPr>
                  <w:tcW w:w="2433" w:type="pct"/>
                  <w:noWrap w:val="0"/>
                  <w:vAlign w:val="center"/>
                </w:tcPr>
                <w:p>
                  <w:pPr>
                    <w:jc w:val="left"/>
                    <w:rPr>
                      <w:szCs w:val="21"/>
                    </w:rPr>
                  </w:pPr>
                  <w:r>
                    <w:rPr>
                      <w:szCs w:val="21"/>
                    </w:rPr>
                    <w:t>设置60m</w:t>
                  </w:r>
                  <w:r>
                    <w:rPr>
                      <w:szCs w:val="21"/>
                      <w:vertAlign w:val="superscript"/>
                    </w:rPr>
                    <w:t>3</w:t>
                  </w:r>
                  <w:r>
                    <w:rPr>
                      <w:szCs w:val="21"/>
                    </w:rPr>
                    <w:t>LNG储罐1座，LNG</w:t>
                  </w:r>
                  <w:r>
                    <w:rPr>
                      <w:rFonts w:hint="eastAsia"/>
                      <w:szCs w:val="21"/>
                    </w:rPr>
                    <w:t>卸车</w:t>
                  </w:r>
                  <w:r>
                    <w:rPr>
                      <w:szCs w:val="21"/>
                    </w:rPr>
                    <w:t>泵撬1座，LNG储罐的放散管接入集中放散管</w:t>
                  </w:r>
                  <w:r>
                    <w:rPr>
                      <w:rFonts w:hint="eastAsia"/>
                      <w:szCs w:val="21"/>
                    </w:rPr>
                    <w:t>。</w:t>
                  </w:r>
                </w:p>
              </w:tc>
              <w:tc>
                <w:tcPr>
                  <w:tcW w:w="677" w:type="pct"/>
                  <w:vMerge w:val="continue"/>
                  <w:noWrap w:val="0"/>
                  <w:vAlign w:val="center"/>
                </w:tcPr>
                <w:p>
                  <w:pPr>
                    <w:jc w:val="left"/>
                    <w:rPr>
                      <w:szCs w:val="21"/>
                    </w:rPr>
                  </w:pPr>
                </w:p>
              </w:tc>
              <w:tc>
                <w:tcPr>
                  <w:tcW w:w="707" w:type="pct"/>
                  <w:noWrap w:val="0"/>
                  <w:vAlign w:val="center"/>
                </w:tcPr>
                <w:p>
                  <w:pPr>
                    <w:jc w:val="left"/>
                    <w:rPr>
                      <w:szCs w:val="21"/>
                    </w:rPr>
                  </w:pPr>
                  <w:r>
                    <w:rPr>
                      <w:rFonts w:hint="eastAsia"/>
                      <w:szCs w:val="21"/>
                    </w:rPr>
                    <w:t>废气、环境风险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rFonts w:hint="eastAsia"/>
                      <w:szCs w:val="21"/>
                    </w:rPr>
                    <w:t>汽车充电区</w:t>
                  </w:r>
                </w:p>
              </w:tc>
              <w:tc>
                <w:tcPr>
                  <w:tcW w:w="2433" w:type="pct"/>
                  <w:noWrap w:val="0"/>
                  <w:vAlign w:val="center"/>
                </w:tcPr>
                <w:p>
                  <w:pPr>
                    <w:jc w:val="left"/>
                    <w:rPr>
                      <w:rFonts w:hint="eastAsia"/>
                      <w:szCs w:val="21"/>
                    </w:rPr>
                  </w:pPr>
                  <w:r>
                    <w:rPr>
                      <w:rFonts w:hint="eastAsia"/>
                      <w:szCs w:val="21"/>
                    </w:rPr>
                    <w:t>在厂区东侧设置汽车充电区，设置有5个充电桩。</w:t>
                  </w:r>
                </w:p>
              </w:tc>
              <w:tc>
                <w:tcPr>
                  <w:tcW w:w="677" w:type="pct"/>
                  <w:vMerge w:val="continue"/>
                  <w:noWrap w:val="0"/>
                  <w:vAlign w:val="center"/>
                </w:tcPr>
                <w:p>
                  <w:pPr>
                    <w:jc w:val="left"/>
                    <w:rPr>
                      <w:szCs w:val="21"/>
                    </w:rPr>
                  </w:pPr>
                </w:p>
              </w:tc>
              <w:tc>
                <w:tcPr>
                  <w:tcW w:w="707" w:type="pct"/>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restart"/>
                  <w:noWrap w:val="0"/>
                  <w:vAlign w:val="center"/>
                </w:tcPr>
                <w:p>
                  <w:pPr>
                    <w:jc w:val="center"/>
                    <w:rPr>
                      <w:szCs w:val="21"/>
                    </w:rPr>
                  </w:pPr>
                  <w:r>
                    <w:rPr>
                      <w:szCs w:val="21"/>
                    </w:rPr>
                    <w:t>辅助</w:t>
                  </w:r>
                </w:p>
                <w:p>
                  <w:pPr>
                    <w:jc w:val="center"/>
                    <w:rPr>
                      <w:szCs w:val="21"/>
                    </w:rPr>
                  </w:pPr>
                  <w:r>
                    <w:rPr>
                      <w:szCs w:val="21"/>
                    </w:rPr>
                    <w:t>工程</w:t>
                  </w:r>
                </w:p>
              </w:tc>
              <w:tc>
                <w:tcPr>
                  <w:tcW w:w="727" w:type="pct"/>
                  <w:noWrap w:val="0"/>
                  <w:vAlign w:val="center"/>
                </w:tcPr>
                <w:p>
                  <w:pPr>
                    <w:jc w:val="center"/>
                    <w:rPr>
                      <w:szCs w:val="21"/>
                    </w:rPr>
                  </w:pPr>
                  <w:r>
                    <w:rPr>
                      <w:szCs w:val="21"/>
                    </w:rPr>
                    <w:t>卸油</w:t>
                  </w:r>
                  <w:r>
                    <w:rPr>
                      <w:rFonts w:hint="eastAsia"/>
                      <w:szCs w:val="21"/>
                    </w:rPr>
                    <w:t>区</w:t>
                  </w:r>
                </w:p>
              </w:tc>
              <w:tc>
                <w:tcPr>
                  <w:tcW w:w="2433" w:type="pct"/>
                  <w:noWrap w:val="0"/>
                  <w:vAlign w:val="center"/>
                </w:tcPr>
                <w:p>
                  <w:pPr>
                    <w:jc w:val="left"/>
                    <w:rPr>
                      <w:szCs w:val="21"/>
                    </w:rPr>
                  </w:pPr>
                  <w:r>
                    <w:rPr>
                      <w:szCs w:val="21"/>
                    </w:rPr>
                    <w:t>卸油平台1个，露天设置。</w:t>
                  </w:r>
                </w:p>
              </w:tc>
              <w:tc>
                <w:tcPr>
                  <w:tcW w:w="677" w:type="pct"/>
                  <w:vMerge w:val="continue"/>
                  <w:noWrap w:val="0"/>
                  <w:vAlign w:val="center"/>
                </w:tcPr>
                <w:p>
                  <w:pPr>
                    <w:jc w:val="left"/>
                    <w:rPr>
                      <w:szCs w:val="21"/>
                    </w:rPr>
                  </w:pPr>
                </w:p>
              </w:tc>
              <w:tc>
                <w:tcPr>
                  <w:tcW w:w="707" w:type="pct"/>
                  <w:noWrap w:val="0"/>
                  <w:vAlign w:val="center"/>
                </w:tcPr>
                <w:p>
                  <w:pPr>
                    <w:jc w:val="center"/>
                    <w:rPr>
                      <w:rFonts w:hint="eastAsia"/>
                      <w:szCs w:val="21"/>
                    </w:rPr>
                  </w:pPr>
                  <w:r>
                    <w:rPr>
                      <w:rFonts w:hint="eastAsia"/>
                      <w:szCs w:val="21"/>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rFonts w:hint="eastAsia"/>
                      <w:szCs w:val="21"/>
                    </w:rPr>
                    <w:t>LN</w:t>
                  </w:r>
                  <w:r>
                    <w:rPr>
                      <w:szCs w:val="21"/>
                    </w:rPr>
                    <w:t>G卸车</w:t>
                  </w:r>
                  <w:r>
                    <w:rPr>
                      <w:rFonts w:hint="eastAsia"/>
                      <w:szCs w:val="21"/>
                    </w:rPr>
                    <w:t>区</w:t>
                  </w:r>
                </w:p>
              </w:tc>
              <w:tc>
                <w:tcPr>
                  <w:tcW w:w="2433" w:type="pct"/>
                  <w:noWrap w:val="0"/>
                  <w:vAlign w:val="center"/>
                </w:tcPr>
                <w:p>
                  <w:pPr>
                    <w:jc w:val="left"/>
                    <w:rPr>
                      <w:szCs w:val="21"/>
                    </w:rPr>
                  </w:pPr>
                  <w:r>
                    <w:rPr>
                      <w:szCs w:val="21"/>
                    </w:rPr>
                    <w:t>卸车平台1个，露天设置。</w:t>
                  </w:r>
                </w:p>
              </w:tc>
              <w:tc>
                <w:tcPr>
                  <w:tcW w:w="677" w:type="pct"/>
                  <w:vMerge w:val="continue"/>
                  <w:noWrap w:val="0"/>
                  <w:vAlign w:val="center"/>
                </w:tcPr>
                <w:p>
                  <w:pPr>
                    <w:jc w:val="left"/>
                    <w:rPr>
                      <w:szCs w:val="21"/>
                    </w:rPr>
                  </w:pPr>
                </w:p>
              </w:tc>
              <w:tc>
                <w:tcPr>
                  <w:tcW w:w="707" w:type="pct"/>
                  <w:noWrap w:val="0"/>
                  <w:vAlign w:val="center"/>
                </w:tcPr>
                <w:p>
                  <w:pPr>
                    <w:jc w:val="center"/>
                    <w:rPr>
                      <w:szCs w:val="21"/>
                    </w:rPr>
                  </w:pPr>
                  <w:r>
                    <w:rPr>
                      <w:rFonts w:hint="eastAsia"/>
                      <w:szCs w:val="21"/>
                    </w:rPr>
                    <w:t>废气、噪声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加油加气车道</w:t>
                  </w:r>
                </w:p>
              </w:tc>
              <w:tc>
                <w:tcPr>
                  <w:tcW w:w="2433" w:type="pct"/>
                  <w:noWrap w:val="0"/>
                  <w:vAlign w:val="center"/>
                </w:tcPr>
                <w:p>
                  <w:pPr>
                    <w:jc w:val="left"/>
                    <w:rPr>
                      <w:szCs w:val="21"/>
                    </w:rPr>
                  </w:pPr>
                  <w:r>
                    <w:rPr>
                      <w:szCs w:val="21"/>
                    </w:rPr>
                    <w:t>行车道宽度均</w:t>
                  </w:r>
                  <w:r>
                    <w:rPr>
                      <w:rFonts w:hint="eastAsia"/>
                      <w:szCs w:val="21"/>
                    </w:rPr>
                    <w:t>不小于</w:t>
                  </w:r>
                  <w:r>
                    <w:rPr>
                      <w:szCs w:val="21"/>
                    </w:rPr>
                    <w:t>4m，转弯半径不小于9m</w:t>
                  </w:r>
                  <w:r>
                    <w:rPr>
                      <w:rFonts w:hint="eastAsia"/>
                      <w:szCs w:val="21"/>
                    </w:rPr>
                    <w:t>，</w:t>
                  </w:r>
                  <w:r>
                    <w:rPr>
                      <w:szCs w:val="21"/>
                    </w:rPr>
                    <w:t>方便加油车辆及应急消防车辆进出</w:t>
                  </w:r>
                  <w:r>
                    <w:rPr>
                      <w:rFonts w:hint="eastAsia"/>
                      <w:szCs w:val="21"/>
                    </w:rPr>
                    <w:t>。</w:t>
                  </w:r>
                </w:p>
              </w:tc>
              <w:tc>
                <w:tcPr>
                  <w:tcW w:w="677" w:type="pct"/>
                  <w:vMerge w:val="continue"/>
                  <w:noWrap w:val="0"/>
                  <w:vAlign w:val="center"/>
                </w:tcPr>
                <w:p>
                  <w:pPr>
                    <w:rPr>
                      <w:szCs w:val="21"/>
                    </w:rPr>
                  </w:pPr>
                </w:p>
              </w:tc>
              <w:tc>
                <w:tcPr>
                  <w:tcW w:w="707" w:type="pct"/>
                  <w:noWrap w:val="0"/>
                  <w:vAlign w:val="center"/>
                </w:tcPr>
                <w:p>
                  <w:pPr>
                    <w:jc w:val="center"/>
                    <w:rPr>
                      <w:szCs w:val="21"/>
                    </w:rPr>
                  </w:pPr>
                  <w:r>
                    <w:rPr>
                      <w:rFonts w:hint="eastAsia"/>
                      <w:szCs w:val="21"/>
                    </w:rPr>
                    <w:t>汽车尾气、噪声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油品储罐区通气管</w:t>
                  </w:r>
                </w:p>
              </w:tc>
              <w:tc>
                <w:tcPr>
                  <w:tcW w:w="2433" w:type="pct"/>
                  <w:noWrap w:val="0"/>
                  <w:vAlign w:val="center"/>
                </w:tcPr>
                <w:p>
                  <w:pPr>
                    <w:jc w:val="left"/>
                    <w:rPr>
                      <w:szCs w:val="21"/>
                    </w:rPr>
                  </w:pPr>
                  <w:r>
                    <w:rPr>
                      <w:szCs w:val="21"/>
                    </w:rPr>
                    <w:t>站内共设置3根</w:t>
                  </w:r>
                  <w:r>
                    <w:rPr>
                      <w:rFonts w:hint="eastAsia"/>
                      <w:szCs w:val="21"/>
                    </w:rPr>
                    <w:t>油品储罐</w:t>
                  </w:r>
                  <w:r>
                    <w:rPr>
                      <w:szCs w:val="21"/>
                    </w:rPr>
                    <w:t>通气管，立管高出地平面4 m，汽油通气管管口安装机械呼吸阀。</w:t>
                  </w:r>
                </w:p>
              </w:tc>
              <w:tc>
                <w:tcPr>
                  <w:tcW w:w="677" w:type="pct"/>
                  <w:vMerge w:val="continue"/>
                  <w:noWrap w:val="0"/>
                  <w:vAlign w:val="center"/>
                </w:tcPr>
                <w:p>
                  <w:pPr>
                    <w:rPr>
                      <w:szCs w:val="21"/>
                    </w:rPr>
                  </w:pPr>
                </w:p>
              </w:tc>
              <w:tc>
                <w:tcPr>
                  <w:tcW w:w="707" w:type="pct"/>
                  <w:noWrap w:val="0"/>
                  <w:vAlign w:val="center"/>
                </w:tcPr>
                <w:p>
                  <w:pPr>
                    <w:jc w:val="center"/>
                    <w:rPr>
                      <w:szCs w:val="21"/>
                    </w:rPr>
                  </w:pPr>
                  <w:r>
                    <w:rPr>
                      <w:rFonts w:hint="eastAsia"/>
                      <w:szCs w:val="21"/>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rFonts w:hint="eastAsia"/>
                      <w:szCs w:val="21"/>
                    </w:rPr>
                    <w:t>LNG储罐区放散管</w:t>
                  </w:r>
                </w:p>
              </w:tc>
              <w:tc>
                <w:tcPr>
                  <w:tcW w:w="2433" w:type="pct"/>
                  <w:noWrap w:val="0"/>
                  <w:vAlign w:val="center"/>
                </w:tcPr>
                <w:p>
                  <w:pPr>
                    <w:ind w:left="105" w:hanging="105" w:hangingChars="50"/>
                    <w:jc w:val="left"/>
                    <w:rPr>
                      <w:szCs w:val="21"/>
                    </w:rPr>
                  </w:pPr>
                  <w:r>
                    <w:rPr>
                      <w:szCs w:val="21"/>
                    </w:rPr>
                    <w:t>站内设置</w:t>
                  </w:r>
                  <w:r>
                    <w:rPr>
                      <w:rFonts w:hint="eastAsia"/>
                      <w:szCs w:val="21"/>
                    </w:rPr>
                    <w:t>1根D</w:t>
                  </w:r>
                  <w:r>
                    <w:rPr>
                      <w:szCs w:val="21"/>
                    </w:rPr>
                    <w:t>89</w:t>
                  </w:r>
                  <w:r>
                    <w:rPr>
                      <w:rFonts w:hint="eastAsia"/>
                      <w:szCs w:val="21"/>
                    </w:rPr>
                    <w:t>LNG放散立</w:t>
                  </w:r>
                  <w:r>
                    <w:rPr>
                      <w:szCs w:val="21"/>
                    </w:rPr>
                    <w:t>管，</w:t>
                  </w:r>
                  <w:r>
                    <w:rPr>
                      <w:rFonts w:hint="eastAsia"/>
                      <w:szCs w:val="21"/>
                    </w:rPr>
                    <w:t>高度为9m。</w:t>
                  </w:r>
                </w:p>
              </w:tc>
              <w:tc>
                <w:tcPr>
                  <w:tcW w:w="677" w:type="pct"/>
                  <w:vMerge w:val="continue"/>
                  <w:noWrap w:val="0"/>
                  <w:vAlign w:val="center"/>
                </w:tcPr>
                <w:p>
                  <w:pPr>
                    <w:rPr>
                      <w:szCs w:val="21"/>
                    </w:rPr>
                  </w:pPr>
                </w:p>
              </w:tc>
              <w:tc>
                <w:tcPr>
                  <w:tcW w:w="707" w:type="pct"/>
                  <w:noWrap w:val="0"/>
                  <w:vAlign w:val="center"/>
                </w:tcPr>
                <w:p>
                  <w:pPr>
                    <w:jc w:val="center"/>
                    <w:rPr>
                      <w:rFonts w:hint="eastAsia"/>
                      <w:szCs w:val="21"/>
                    </w:rPr>
                  </w:pPr>
                  <w:r>
                    <w:rPr>
                      <w:rFonts w:hint="eastAsia"/>
                      <w:szCs w:val="21"/>
                    </w:rPr>
                    <w:t>放散废气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洗车区</w:t>
                  </w:r>
                </w:p>
              </w:tc>
              <w:tc>
                <w:tcPr>
                  <w:tcW w:w="2433" w:type="pct"/>
                  <w:noWrap w:val="0"/>
                  <w:vAlign w:val="center"/>
                </w:tcPr>
                <w:p>
                  <w:pPr>
                    <w:jc w:val="left"/>
                    <w:rPr>
                      <w:szCs w:val="21"/>
                    </w:rPr>
                  </w:pPr>
                  <w:r>
                    <w:rPr>
                      <w:szCs w:val="21"/>
                    </w:rPr>
                    <w:t>加油加气站出口附近设通过式洗车机1台。</w:t>
                  </w:r>
                </w:p>
              </w:tc>
              <w:tc>
                <w:tcPr>
                  <w:tcW w:w="677" w:type="pct"/>
                  <w:vMerge w:val="continue"/>
                  <w:noWrap w:val="0"/>
                  <w:vAlign w:val="center"/>
                </w:tcPr>
                <w:p>
                  <w:pPr>
                    <w:rPr>
                      <w:szCs w:val="21"/>
                    </w:rPr>
                  </w:pPr>
                </w:p>
              </w:tc>
              <w:tc>
                <w:tcPr>
                  <w:tcW w:w="707" w:type="pct"/>
                  <w:noWrap w:val="0"/>
                  <w:vAlign w:val="center"/>
                </w:tcPr>
                <w:p>
                  <w:pPr>
                    <w:jc w:val="center"/>
                    <w:rPr>
                      <w:szCs w:val="21"/>
                    </w:rPr>
                  </w:pPr>
                  <w:r>
                    <w:rPr>
                      <w:rFonts w:hint="eastAsia"/>
                      <w:szCs w:val="21"/>
                    </w:rPr>
                    <w:t>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实体围墙</w:t>
                  </w:r>
                </w:p>
              </w:tc>
              <w:tc>
                <w:tcPr>
                  <w:tcW w:w="2433" w:type="pct"/>
                  <w:noWrap w:val="0"/>
                  <w:vAlign w:val="center"/>
                </w:tcPr>
                <w:p>
                  <w:pPr>
                    <w:jc w:val="left"/>
                    <w:rPr>
                      <w:szCs w:val="21"/>
                    </w:rPr>
                  </w:pPr>
                  <w:r>
                    <w:rPr>
                      <w:szCs w:val="21"/>
                    </w:rPr>
                    <w:t>L=</w:t>
                  </w:r>
                  <w:r>
                    <w:rPr>
                      <w:rFonts w:hint="eastAsia"/>
                      <w:szCs w:val="21"/>
                    </w:rPr>
                    <w:t>112.5</w:t>
                  </w:r>
                  <w:r>
                    <w:rPr>
                      <w:szCs w:val="21"/>
                    </w:rPr>
                    <w:t>m</w:t>
                  </w:r>
                  <w:r>
                    <w:rPr>
                      <w:rFonts w:hint="eastAsia"/>
                      <w:szCs w:val="21"/>
                    </w:rPr>
                    <w:t>，</w:t>
                  </w:r>
                  <w:r>
                    <w:rPr>
                      <w:szCs w:val="21"/>
                    </w:rPr>
                    <w:t>H=2.2m</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消防设施</w:t>
                  </w:r>
                </w:p>
              </w:tc>
              <w:tc>
                <w:tcPr>
                  <w:tcW w:w="2433" w:type="pct"/>
                  <w:noWrap w:val="0"/>
                  <w:vAlign w:val="center"/>
                </w:tcPr>
                <w:p>
                  <w:pPr>
                    <w:jc w:val="left"/>
                    <w:rPr>
                      <w:szCs w:val="21"/>
                    </w:rPr>
                  </w:pPr>
                  <w:r>
                    <w:rPr>
                      <w:szCs w:val="21"/>
                    </w:rPr>
                    <w:t>设置2m</w:t>
                  </w:r>
                  <w:r>
                    <w:rPr>
                      <w:szCs w:val="21"/>
                      <w:vertAlign w:val="superscript"/>
                    </w:rPr>
                    <w:t>3</w:t>
                  </w:r>
                  <w:r>
                    <w:rPr>
                      <w:szCs w:val="21"/>
                    </w:rPr>
                    <w:t>消防沙箱1个，灭火毯5张，5kg手提式干粉灭火器2</w:t>
                  </w:r>
                  <w:r>
                    <w:rPr>
                      <w:rFonts w:hint="eastAsia"/>
                      <w:szCs w:val="21"/>
                    </w:rPr>
                    <w:t>0</w:t>
                  </w:r>
                  <w:r>
                    <w:rPr>
                      <w:szCs w:val="21"/>
                    </w:rPr>
                    <w:t>具、35kg推车式干粉灭火器3具，消防桶5个、消防铲5把、以及报警器等消防器材</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CellMar>
                  <w:top w:w="0" w:type="dxa"/>
                  <w:left w:w="108" w:type="dxa"/>
                  <w:bottom w:w="0" w:type="dxa"/>
                  <w:right w:w="108" w:type="dxa"/>
                </w:tblCellMar>
              </w:tblPrEx>
              <w:trPr>
                <w:trHeight w:val="20" w:hRule="atLeast"/>
              </w:trPr>
              <w:tc>
                <w:tcPr>
                  <w:tcW w:w="456" w:type="pct"/>
                  <w:vMerge w:val="restart"/>
                  <w:noWrap w:val="0"/>
                  <w:vAlign w:val="center"/>
                </w:tcPr>
                <w:p>
                  <w:pPr>
                    <w:jc w:val="center"/>
                    <w:rPr>
                      <w:szCs w:val="21"/>
                    </w:rPr>
                  </w:pPr>
                  <w:r>
                    <w:rPr>
                      <w:rFonts w:hint="eastAsia"/>
                      <w:szCs w:val="21"/>
                    </w:rPr>
                    <w:t>公用工程</w:t>
                  </w: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szCs w:val="21"/>
                    </w:rPr>
                    <w:t>给</w:t>
                  </w:r>
                  <w:r>
                    <w:rPr>
                      <w:rFonts w:hint="eastAsia"/>
                      <w:szCs w:val="21"/>
                    </w:rPr>
                    <w:t>水</w:t>
                  </w:r>
                  <w:r>
                    <w:rPr>
                      <w:szCs w:val="21"/>
                    </w:rPr>
                    <w:t>系统</w:t>
                  </w:r>
                </w:p>
              </w:tc>
              <w:tc>
                <w:tcPr>
                  <w:tcW w:w="2433" w:type="pct"/>
                  <w:noWrap w:val="0"/>
                  <w:vAlign w:val="center"/>
                </w:tcPr>
                <w:p>
                  <w:pPr>
                    <w:jc w:val="left"/>
                    <w:rPr>
                      <w:szCs w:val="21"/>
                    </w:rPr>
                  </w:pPr>
                  <w:r>
                    <w:rPr>
                      <w:szCs w:val="21"/>
                    </w:rPr>
                    <w:t>给水由市政给水管网供给</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rFonts w:hint="eastAsia"/>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szCs w:val="21"/>
                    </w:rPr>
                  </w:pPr>
                  <w:r>
                    <w:rPr>
                      <w:rFonts w:hint="eastAsia"/>
                      <w:szCs w:val="21"/>
                    </w:rPr>
                    <w:t>排水系统</w:t>
                  </w:r>
                </w:p>
              </w:tc>
              <w:tc>
                <w:tcPr>
                  <w:tcW w:w="2433" w:type="pct"/>
                  <w:noWrap w:val="0"/>
                  <w:vAlign w:val="center"/>
                </w:tcPr>
                <w:p>
                  <w:pPr>
                    <w:jc w:val="left"/>
                    <w:rPr>
                      <w:szCs w:val="21"/>
                    </w:rPr>
                  </w:pPr>
                  <w:r>
                    <w:rPr>
                      <w:szCs w:val="21"/>
                    </w:rPr>
                    <w:t>站内排水采用雨污分流制</w:t>
                  </w:r>
                  <w:r>
                    <w:rPr>
                      <w:rFonts w:hint="eastAsia"/>
                      <w:szCs w:val="21"/>
                    </w:rPr>
                    <w:t>，废水经站内预处理后排入市政污水管网。</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pStyle w:val="900"/>
                    <w:tabs>
                      <w:tab w:val="left" w:pos="420"/>
                      <w:tab w:val="left" w:pos="870"/>
                      <w:tab w:val="left" w:pos="3150"/>
                    </w:tabs>
                    <w:spacing w:after="0"/>
                    <w:ind w:left="0" w:leftChars="0" w:firstLine="0" w:firstLineChars="0"/>
                    <w:jc w:val="center"/>
                    <w:rPr>
                      <w:rFonts w:hint="eastAsia"/>
                      <w:szCs w:val="21"/>
                    </w:rPr>
                  </w:pPr>
                  <w:r>
                    <w:rPr>
                      <w:rFonts w:hint="eastAsia"/>
                      <w:szCs w:val="21"/>
                    </w:rPr>
                    <w:t>供电</w:t>
                  </w:r>
                </w:p>
              </w:tc>
              <w:tc>
                <w:tcPr>
                  <w:tcW w:w="2433" w:type="pct"/>
                  <w:noWrap w:val="0"/>
                  <w:vAlign w:val="center"/>
                </w:tcPr>
                <w:p>
                  <w:pPr>
                    <w:jc w:val="left"/>
                    <w:rPr>
                      <w:szCs w:val="21"/>
                    </w:rPr>
                  </w:pPr>
                  <w:r>
                    <w:rPr>
                      <w:szCs w:val="21"/>
                    </w:rPr>
                    <w:t>供电由市政电网供给，</w:t>
                  </w:r>
                  <w:r>
                    <w:rPr>
                      <w:rFonts w:hint="eastAsia"/>
                      <w:szCs w:val="21"/>
                    </w:rPr>
                    <w:t>厂区</w:t>
                  </w:r>
                  <w:r>
                    <w:rPr>
                      <w:szCs w:val="21"/>
                    </w:rPr>
                    <w:t>拟设柴油发电机1台；值班室、办公室、卫生间等内设置应急照明系统</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noWrap w:val="0"/>
                  <w:vAlign w:val="center"/>
                </w:tcPr>
                <w:p>
                  <w:pPr>
                    <w:jc w:val="center"/>
                    <w:rPr>
                      <w:rFonts w:hint="eastAsia"/>
                      <w:szCs w:val="21"/>
                    </w:rPr>
                  </w:pPr>
                  <w:r>
                    <w:rPr>
                      <w:rFonts w:hint="eastAsia"/>
                      <w:szCs w:val="21"/>
                    </w:rPr>
                    <w:t>办公生活设施</w:t>
                  </w:r>
                </w:p>
              </w:tc>
              <w:tc>
                <w:tcPr>
                  <w:tcW w:w="727" w:type="pct"/>
                  <w:noWrap w:val="0"/>
                  <w:vAlign w:val="center"/>
                </w:tcPr>
                <w:p>
                  <w:pPr>
                    <w:pStyle w:val="900"/>
                    <w:tabs>
                      <w:tab w:val="left" w:pos="420"/>
                      <w:tab w:val="left" w:pos="870"/>
                      <w:tab w:val="left" w:pos="3150"/>
                    </w:tabs>
                    <w:spacing w:after="0"/>
                    <w:ind w:left="0" w:leftChars="0" w:firstLine="0" w:firstLineChars="0"/>
                    <w:jc w:val="center"/>
                    <w:rPr>
                      <w:rFonts w:hint="eastAsia"/>
                      <w:szCs w:val="21"/>
                    </w:rPr>
                  </w:pPr>
                  <w:r>
                    <w:rPr>
                      <w:rFonts w:hint="eastAsia"/>
                      <w:szCs w:val="21"/>
                    </w:rPr>
                    <w:t>站房</w:t>
                  </w:r>
                </w:p>
              </w:tc>
              <w:tc>
                <w:tcPr>
                  <w:tcW w:w="2433" w:type="pct"/>
                  <w:noWrap w:val="0"/>
                  <w:vAlign w:val="center"/>
                </w:tcPr>
                <w:p>
                  <w:pPr>
                    <w:jc w:val="left"/>
                    <w:rPr>
                      <w:szCs w:val="21"/>
                    </w:rPr>
                  </w:pPr>
                  <w:r>
                    <w:rPr>
                      <w:szCs w:val="21"/>
                    </w:rPr>
                    <w:t>1栋二层框架结构站房，建筑面积约</w:t>
                  </w:r>
                  <w:r>
                    <w:rPr>
                      <w:rFonts w:hint="eastAsia"/>
                      <w:szCs w:val="21"/>
                    </w:rPr>
                    <w:t>656.88</w:t>
                  </w:r>
                  <w:r>
                    <w:rPr>
                      <w:szCs w:val="21"/>
                    </w:rPr>
                    <w:t>m</w:t>
                  </w:r>
                  <w:r>
                    <w:rPr>
                      <w:szCs w:val="21"/>
                      <w:vertAlign w:val="superscript"/>
                    </w:rPr>
                    <w:t>2</w:t>
                  </w:r>
                  <w:r>
                    <w:rPr>
                      <w:rFonts w:hint="eastAsia"/>
                      <w:szCs w:val="21"/>
                    </w:rPr>
                    <w:t>，内设调度室</w:t>
                  </w:r>
                  <w:r>
                    <w:rPr>
                      <w:szCs w:val="21"/>
                    </w:rPr>
                    <w:t>、</w:t>
                  </w:r>
                  <w:r>
                    <w:rPr>
                      <w:rFonts w:hint="eastAsia"/>
                      <w:szCs w:val="21"/>
                    </w:rPr>
                    <w:t>休息室、</w:t>
                  </w:r>
                  <w:r>
                    <w:rPr>
                      <w:szCs w:val="21"/>
                    </w:rPr>
                    <w:t>便利店、配电房、</w:t>
                  </w:r>
                  <w:r>
                    <w:rPr>
                      <w:rFonts w:hint="eastAsia"/>
                      <w:szCs w:val="21"/>
                    </w:rPr>
                    <w:t>柴油发电机室、备品备件库、卫生间等办公生活设施。</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生活污水、生活垃圾、噪声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restart"/>
                  <w:noWrap w:val="0"/>
                  <w:vAlign w:val="center"/>
                </w:tcPr>
                <w:p>
                  <w:pPr>
                    <w:jc w:val="center"/>
                    <w:rPr>
                      <w:rFonts w:hint="eastAsia"/>
                      <w:szCs w:val="21"/>
                    </w:rPr>
                  </w:pPr>
                  <w:r>
                    <w:rPr>
                      <w:szCs w:val="21"/>
                    </w:rPr>
                    <w:t>环保工程</w:t>
                  </w:r>
                </w:p>
              </w:tc>
              <w:tc>
                <w:tcPr>
                  <w:tcW w:w="727" w:type="pct"/>
                  <w:vMerge w:val="restart"/>
                  <w:noWrap w:val="0"/>
                  <w:vAlign w:val="center"/>
                </w:tcPr>
                <w:p>
                  <w:pPr>
                    <w:jc w:val="center"/>
                    <w:rPr>
                      <w:rFonts w:hint="eastAsia"/>
                      <w:szCs w:val="21"/>
                    </w:rPr>
                  </w:pPr>
                  <w:r>
                    <w:rPr>
                      <w:rFonts w:hint="eastAsia"/>
                      <w:szCs w:val="21"/>
                    </w:rPr>
                    <w:t>废水治理设施</w:t>
                  </w:r>
                </w:p>
              </w:tc>
              <w:tc>
                <w:tcPr>
                  <w:tcW w:w="2433" w:type="pct"/>
                  <w:noWrap w:val="0"/>
                  <w:vAlign w:val="center"/>
                </w:tcPr>
                <w:p>
                  <w:pPr>
                    <w:jc w:val="left"/>
                    <w:rPr>
                      <w:rFonts w:hint="eastAsia"/>
                      <w:szCs w:val="21"/>
                    </w:rPr>
                  </w:pPr>
                  <w:r>
                    <w:rPr>
                      <w:rFonts w:hint="eastAsia"/>
                    </w:rPr>
                    <w:t>生活污水：设置化粪池1座，容积18</w:t>
                  </w:r>
                  <w:r>
                    <w:t>m</w:t>
                  </w:r>
                  <w:r>
                    <w:rPr>
                      <w:rFonts w:hint="eastAsia"/>
                      <w:vertAlign w:val="superscript"/>
                    </w:rPr>
                    <w:t>3</w:t>
                  </w:r>
                  <w:r>
                    <w:rPr>
                      <w:rFonts w:hint="eastAsia"/>
                    </w:rPr>
                    <w:t>，化粪池出水排至市政污水管网。</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rFonts w:hint="eastAsia"/>
                      <w:szCs w:val="21"/>
                    </w:rPr>
                  </w:pPr>
                </w:p>
              </w:tc>
              <w:tc>
                <w:tcPr>
                  <w:tcW w:w="2433" w:type="pct"/>
                  <w:noWrap w:val="0"/>
                  <w:vAlign w:val="center"/>
                </w:tcPr>
                <w:p>
                  <w:pPr>
                    <w:jc w:val="left"/>
                    <w:rPr>
                      <w:szCs w:val="21"/>
                    </w:rPr>
                  </w:pPr>
                  <w:r>
                    <w:rPr>
                      <w:rFonts w:hint="eastAsia"/>
                    </w:rPr>
                    <w:t>洗车废水：两格式隔油沉淀池1座，单格容积不小于1</w:t>
                  </w:r>
                  <w:r>
                    <w:t>m</w:t>
                  </w:r>
                  <w:r>
                    <w:rPr>
                      <w:rFonts w:hint="eastAsia"/>
                      <w:vertAlign w:val="superscript"/>
                    </w:rPr>
                    <w:t>3</w:t>
                  </w:r>
                  <w:r>
                    <w:rPr>
                      <w:rFonts w:hint="eastAsia"/>
                    </w:rPr>
                    <w:t>，废水经隔油沉淀处理后上清液回用（回用率约为60%），下层废水排入化粪池，</w:t>
                  </w:r>
                  <w:r>
                    <w:t>与生活污水一并排入市政</w:t>
                  </w:r>
                  <w:r>
                    <w:rPr>
                      <w:rFonts w:hint="eastAsia"/>
                    </w:rPr>
                    <w:t>污水</w:t>
                  </w:r>
                  <w:r>
                    <w:t>管网</w:t>
                  </w:r>
                  <w:r>
                    <w:rPr>
                      <w:rFonts w:hint="eastAsia"/>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废油、</w:t>
                  </w:r>
                  <w:r>
                    <w:rPr>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szCs w:val="21"/>
                    </w:rPr>
                  </w:pPr>
                </w:p>
              </w:tc>
              <w:tc>
                <w:tcPr>
                  <w:tcW w:w="2433" w:type="pct"/>
                  <w:noWrap w:val="0"/>
                  <w:vAlign w:val="center"/>
                </w:tcPr>
                <w:p>
                  <w:pPr>
                    <w:jc w:val="left"/>
                    <w:rPr>
                      <w:rFonts w:hint="eastAsia"/>
                      <w:szCs w:val="21"/>
                    </w:rPr>
                  </w:pPr>
                  <w:r>
                    <w:rPr>
                      <w:rFonts w:hint="eastAsia"/>
                    </w:rPr>
                    <w:t>初期雨水、地面冲洗废水：</w:t>
                  </w:r>
                  <w:r>
                    <w:t>加油区罩棚投影下设废水收集沟，接入水封隔油池1个</w:t>
                  </w:r>
                  <w:r>
                    <w:rPr>
                      <w:rFonts w:hint="eastAsia"/>
                    </w:rPr>
                    <w:t>（</w:t>
                  </w:r>
                  <w:r>
                    <w:t>容积</w:t>
                  </w:r>
                  <w:r>
                    <w:rPr>
                      <w:rFonts w:hint="eastAsia"/>
                    </w:rPr>
                    <w:t>4.5</w:t>
                  </w:r>
                  <w:r>
                    <w:t>m</w:t>
                  </w:r>
                  <w:r>
                    <w:rPr>
                      <w:vertAlign w:val="superscript"/>
                    </w:rPr>
                    <w:t>3</w:t>
                  </w:r>
                  <w:r>
                    <w:rPr>
                      <w:rFonts w:hint="eastAsia"/>
                    </w:rPr>
                    <w:t>）</w:t>
                  </w:r>
                  <w:r>
                    <w:t>，预处理后排入化粪池，与生活污水一并排入市政</w:t>
                  </w:r>
                  <w:r>
                    <w:rPr>
                      <w:rFonts w:hint="eastAsia"/>
                    </w:rPr>
                    <w:t>污水</w:t>
                  </w:r>
                  <w:r>
                    <w:t>管网</w:t>
                  </w:r>
                  <w:r>
                    <w:rPr>
                      <w:rFonts w:hint="eastAsia"/>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废油、</w:t>
                  </w:r>
                  <w:r>
                    <w:rPr>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restart"/>
                  <w:noWrap w:val="0"/>
                  <w:vAlign w:val="center"/>
                </w:tcPr>
                <w:p>
                  <w:pPr>
                    <w:jc w:val="center"/>
                    <w:rPr>
                      <w:szCs w:val="21"/>
                    </w:rPr>
                  </w:pPr>
                  <w:r>
                    <w:rPr>
                      <w:rFonts w:hint="eastAsia"/>
                      <w:szCs w:val="21"/>
                    </w:rPr>
                    <w:t>废气治理设施</w:t>
                  </w:r>
                </w:p>
              </w:tc>
              <w:tc>
                <w:tcPr>
                  <w:tcW w:w="2433" w:type="pct"/>
                  <w:noWrap w:val="0"/>
                  <w:vAlign w:val="top"/>
                </w:tcPr>
                <w:p>
                  <w:pPr>
                    <w:jc w:val="left"/>
                    <w:rPr>
                      <w:szCs w:val="21"/>
                    </w:rPr>
                  </w:pPr>
                  <w:r>
                    <w:t>安装一次、二次</w:t>
                  </w:r>
                  <w:r>
                    <w:rPr>
                      <w:rFonts w:hint="eastAsia"/>
                    </w:rPr>
                    <w:t>、三次</w:t>
                  </w:r>
                  <w:r>
                    <w:t>油气回收系统</w:t>
                  </w:r>
                  <w:r>
                    <w:rPr>
                      <w:rFonts w:hint="eastAsia"/>
                    </w:rPr>
                    <w:t>及</w:t>
                  </w:r>
                  <w:r>
                    <w:t>配套的输油管线</w:t>
                  </w:r>
                  <w:r>
                    <w:rPr>
                      <w:rFonts w:hint="eastAsia"/>
                    </w:rPr>
                    <w:t>，储油罐设置</w:t>
                  </w:r>
                  <w:r>
                    <w:rPr>
                      <w:szCs w:val="21"/>
                    </w:rPr>
                    <w:t>高出地面4.0m</w:t>
                  </w:r>
                  <w:r>
                    <w:rPr>
                      <w:rFonts w:hint="eastAsia"/>
                      <w:szCs w:val="21"/>
                    </w:rPr>
                    <w:t>的</w:t>
                  </w:r>
                  <w:r>
                    <w:rPr>
                      <w:szCs w:val="21"/>
                    </w:rPr>
                    <w:t>通气立管</w:t>
                  </w:r>
                  <w:r>
                    <w:rPr>
                      <w:rFonts w:hint="eastAsia"/>
                      <w:szCs w:val="21"/>
                    </w:rPr>
                    <w:t>，</w:t>
                  </w:r>
                  <w:r>
                    <w:rPr>
                      <w:szCs w:val="21"/>
                    </w:rPr>
                    <w:t>管口设置呼吸阀。</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szCs w:val="21"/>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szCs w:val="21"/>
                    </w:rPr>
                  </w:pPr>
                </w:p>
              </w:tc>
              <w:tc>
                <w:tcPr>
                  <w:tcW w:w="2433" w:type="pct"/>
                  <w:noWrap w:val="0"/>
                  <w:vAlign w:val="top"/>
                </w:tcPr>
                <w:p>
                  <w:pPr>
                    <w:jc w:val="left"/>
                    <w:rPr>
                      <w:szCs w:val="21"/>
                    </w:rPr>
                  </w:pPr>
                  <w:r>
                    <w:rPr>
                      <w:szCs w:val="21"/>
                    </w:rPr>
                    <w:t>拟设柴油发电机1台，发电机废气通过自 带的烟气净化装置处理后达标排放</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szCs w:val="21"/>
                    </w:rPr>
                    <w:t>废气、废活性炭、噪声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szCs w:val="21"/>
                    </w:rPr>
                  </w:pPr>
                </w:p>
              </w:tc>
              <w:tc>
                <w:tcPr>
                  <w:tcW w:w="2433" w:type="pct"/>
                  <w:noWrap w:val="0"/>
                  <w:vAlign w:val="top"/>
                </w:tcPr>
                <w:p>
                  <w:pPr>
                    <w:jc w:val="left"/>
                    <w:rPr>
                      <w:szCs w:val="21"/>
                    </w:rPr>
                  </w:pPr>
                  <w:r>
                    <w:rPr>
                      <w:rFonts w:hint="eastAsia"/>
                      <w:szCs w:val="21"/>
                    </w:rPr>
                    <w:t>埋地油罐区设置</w:t>
                  </w:r>
                  <w:r>
                    <w:rPr>
                      <w:szCs w:val="21"/>
                    </w:rPr>
                    <w:t>通气立管</w:t>
                  </w:r>
                  <w:r>
                    <w:rPr>
                      <w:rFonts w:hint="eastAsia"/>
                      <w:szCs w:val="21"/>
                    </w:rPr>
                    <w:t>，</w:t>
                  </w:r>
                  <w:r>
                    <w:rPr>
                      <w:szCs w:val="21"/>
                    </w:rPr>
                    <w:t>高出地面4.0m</w:t>
                  </w:r>
                  <w:r>
                    <w:rPr>
                      <w:rFonts w:hint="eastAsia"/>
                      <w:szCs w:val="21"/>
                    </w:rPr>
                    <w:t>，</w:t>
                  </w:r>
                  <w:r>
                    <w:rPr>
                      <w:szCs w:val="21"/>
                    </w:rPr>
                    <w:t>管口设置呼吸阀。</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呼吸废气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szCs w:val="21"/>
                    </w:rPr>
                  </w:pPr>
                </w:p>
              </w:tc>
              <w:tc>
                <w:tcPr>
                  <w:tcW w:w="2433" w:type="pct"/>
                  <w:noWrap w:val="0"/>
                  <w:vAlign w:val="top"/>
                </w:tcPr>
                <w:p>
                  <w:pPr>
                    <w:jc w:val="left"/>
                    <w:rPr>
                      <w:rFonts w:hint="eastAsia"/>
                      <w:szCs w:val="21"/>
                    </w:rPr>
                  </w:pPr>
                  <w:r>
                    <w:rPr>
                      <w:rFonts w:hint="eastAsia"/>
                      <w:szCs w:val="21"/>
                    </w:rPr>
                    <w:t>LNG储罐区设置放散管1根，高度为9m。</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放散废气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jc w:val="center"/>
                    <w:rPr>
                      <w:szCs w:val="21"/>
                    </w:rPr>
                  </w:pPr>
                  <w:r>
                    <w:rPr>
                      <w:rFonts w:hint="eastAsia"/>
                      <w:szCs w:val="21"/>
                    </w:rPr>
                    <w:t>噪声治理措施</w:t>
                  </w:r>
                </w:p>
              </w:tc>
              <w:tc>
                <w:tcPr>
                  <w:tcW w:w="2433" w:type="pct"/>
                  <w:noWrap w:val="0"/>
                  <w:vAlign w:val="center"/>
                </w:tcPr>
                <w:p>
                  <w:pPr>
                    <w:jc w:val="left"/>
                    <w:rPr>
                      <w:szCs w:val="21"/>
                    </w:rPr>
                  </w:pPr>
                  <w:r>
                    <w:t>选用低噪声设备、</w:t>
                  </w:r>
                  <w:r>
                    <w:rPr>
                      <w:rFonts w:hint="eastAsia"/>
                    </w:rPr>
                    <w:t>设备基础减震、</w:t>
                  </w:r>
                  <w:r>
                    <w:t>备用柴油发电机设置专用房间；设备定期检查、维修油泵、加油机等设备；加强对进站车辆、人员的引导；设置紧鸣限速标识等</w:t>
                  </w:r>
                  <w:r>
                    <w:rPr>
                      <w:rFonts w:hint="eastAsia"/>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restart"/>
                  <w:noWrap w:val="0"/>
                  <w:vAlign w:val="center"/>
                </w:tcPr>
                <w:p>
                  <w:pPr>
                    <w:jc w:val="center"/>
                    <w:rPr>
                      <w:rFonts w:hint="eastAsia"/>
                      <w:szCs w:val="21"/>
                    </w:rPr>
                  </w:pPr>
                  <w:r>
                    <w:rPr>
                      <w:rFonts w:hint="eastAsia"/>
                      <w:szCs w:val="21"/>
                    </w:rPr>
                    <w:t>固废治理措施</w:t>
                  </w:r>
                </w:p>
              </w:tc>
              <w:tc>
                <w:tcPr>
                  <w:tcW w:w="2433" w:type="pct"/>
                  <w:noWrap w:val="0"/>
                  <w:vAlign w:val="center"/>
                </w:tcPr>
                <w:p>
                  <w:pPr>
                    <w:jc w:val="left"/>
                    <w:rPr>
                      <w:szCs w:val="21"/>
                    </w:rPr>
                  </w:pPr>
                  <w:r>
                    <w:rPr>
                      <w:szCs w:val="21"/>
                    </w:rPr>
                    <w:t>设置生活垃圾收集圾桶，生活垃圾收集后 交由环卫部门统一清运</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rFonts w:hint="eastAsia"/>
                      <w:szCs w:val="21"/>
                    </w:rPr>
                  </w:pPr>
                </w:p>
              </w:tc>
              <w:tc>
                <w:tcPr>
                  <w:tcW w:w="2433" w:type="pct"/>
                  <w:noWrap w:val="0"/>
                  <w:vAlign w:val="center"/>
                </w:tcPr>
                <w:p>
                  <w:pPr>
                    <w:jc w:val="left"/>
                    <w:rPr>
                      <w:szCs w:val="21"/>
                    </w:rPr>
                  </w:pPr>
                  <w:r>
                    <w:rPr>
                      <w:szCs w:val="21"/>
                    </w:rPr>
                    <w:t>新建危险废物暂存间1处，并进行相应的 防渗漏处理，面积约2m</w:t>
                  </w:r>
                  <w:r>
                    <w:rPr>
                      <w:szCs w:val="21"/>
                      <w:vertAlign w:val="superscript"/>
                    </w:rPr>
                    <w:t>2</w:t>
                  </w:r>
                  <w:r>
                    <w:rPr>
                      <w:szCs w:val="21"/>
                    </w:rPr>
                    <w:t>，要求做到地面防渗、防雨、防水，并设置相关标识标牌，建立危险废物台账，并设置相关标示、标 牌</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restart"/>
                  <w:noWrap w:val="0"/>
                  <w:vAlign w:val="center"/>
                </w:tcPr>
                <w:p>
                  <w:pPr>
                    <w:jc w:val="center"/>
                    <w:rPr>
                      <w:szCs w:val="21"/>
                    </w:rPr>
                  </w:pPr>
                  <w:r>
                    <w:rPr>
                      <w:rFonts w:hint="eastAsia"/>
                      <w:szCs w:val="21"/>
                    </w:rPr>
                    <w:t>地下水、土壤污染</w:t>
                  </w:r>
                  <w:r>
                    <w:rPr>
                      <w:rFonts w:hint="eastAsia"/>
                      <w:szCs w:val="21"/>
                      <w:lang w:val="en-US" w:eastAsia="zh-CN"/>
                    </w:rPr>
                    <w:t>整</w:t>
                  </w:r>
                  <w:r>
                    <w:rPr>
                      <w:rFonts w:hint="eastAsia"/>
                      <w:szCs w:val="21"/>
                    </w:rPr>
                    <w:t>治措施</w:t>
                  </w:r>
                </w:p>
              </w:tc>
              <w:tc>
                <w:tcPr>
                  <w:tcW w:w="2433" w:type="pct"/>
                  <w:noWrap w:val="0"/>
                  <w:vAlign w:val="center"/>
                </w:tcPr>
                <w:p>
                  <w:pPr>
                    <w:jc w:val="left"/>
                    <w:rPr>
                      <w:szCs w:val="21"/>
                    </w:rPr>
                  </w:pPr>
                  <w:r>
                    <w:rPr>
                      <w:rFonts w:hint="eastAsia"/>
                      <w:szCs w:val="21"/>
                    </w:rPr>
                    <w:t>站内埋地油罐</w:t>
                  </w:r>
                  <w:r>
                    <w:rPr>
                      <w:szCs w:val="21"/>
                    </w:rPr>
                    <w:t>按照国家标准《地下金属油罐防水防腐技术规范》的有关规定进行设计、施工；站内加油管道表面进行试压和防腐处理</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rFonts w:hint="eastAsia"/>
                      <w:szCs w:val="21"/>
                    </w:rPr>
                  </w:pPr>
                </w:p>
              </w:tc>
              <w:tc>
                <w:tcPr>
                  <w:tcW w:w="2433" w:type="pct"/>
                  <w:noWrap w:val="0"/>
                  <w:vAlign w:val="center"/>
                </w:tcPr>
                <w:p>
                  <w:pPr>
                    <w:jc w:val="left"/>
                    <w:rPr>
                      <w:rFonts w:hint="eastAsia"/>
                      <w:szCs w:val="21"/>
                    </w:rPr>
                  </w:pPr>
                  <w:r>
                    <w:rPr>
                      <w:szCs w:val="21"/>
                    </w:rPr>
                    <w:t>设置在线液位渗漏检测报警仪等监控系统、液位报警装置、油罐渗漏检测报警仪等</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rFonts w:hint="eastAsia"/>
                      <w:szCs w:val="21"/>
                    </w:rPr>
                  </w:pPr>
                </w:p>
              </w:tc>
              <w:tc>
                <w:tcPr>
                  <w:tcW w:w="2433" w:type="pct"/>
                  <w:noWrap w:val="0"/>
                  <w:vAlign w:val="center"/>
                </w:tcPr>
                <w:p>
                  <w:pPr>
                    <w:jc w:val="left"/>
                    <w:rPr>
                      <w:rFonts w:hint="eastAsia"/>
                      <w:szCs w:val="21"/>
                    </w:rPr>
                  </w:pPr>
                  <w:r>
                    <w:rPr>
                      <w:szCs w:val="21"/>
                    </w:rPr>
                    <w:t>站内进行分区防渗：</w:t>
                  </w:r>
                  <w:r>
                    <w:rPr>
                      <w:rFonts w:hint="eastAsia" w:ascii="宋体" w:hAnsi="宋体" w:cs="宋体"/>
                      <w:szCs w:val="21"/>
                    </w:rPr>
                    <w:t>①</w:t>
                  </w:r>
                  <w:r>
                    <w:rPr>
                      <w:szCs w:val="21"/>
                    </w:rPr>
                    <w:t>重点防渗区：</w:t>
                  </w:r>
                  <w:r>
                    <w:rPr>
                      <w:rFonts w:hint="eastAsia"/>
                      <w:szCs w:val="21"/>
                    </w:rPr>
                    <w:t>油罐区、加油管道、柴油</w:t>
                  </w:r>
                  <w:r>
                    <w:rPr>
                      <w:rFonts w:hint="eastAsia" w:ascii="宋体" w:hAnsi="宋体" w:cs="宋体"/>
                      <w:szCs w:val="21"/>
                    </w:rPr>
                    <w:t>发电机房、危废暂存间</w:t>
                  </w:r>
                  <w:r>
                    <w:rPr>
                      <w:rFonts w:ascii="宋体" w:hAnsi="宋体" w:cs="宋体"/>
                      <w:szCs w:val="21"/>
                    </w:rPr>
                    <w:t>；</w:t>
                  </w:r>
                  <w:r>
                    <w:rPr>
                      <w:rFonts w:hint="eastAsia" w:ascii="宋体" w:hAnsi="宋体" w:cs="宋体"/>
                      <w:szCs w:val="21"/>
                    </w:rPr>
                    <w:t>②</w:t>
                  </w:r>
                  <w:r>
                    <w:rPr>
                      <w:rFonts w:ascii="宋体" w:hAnsi="宋体" w:cs="宋体"/>
                      <w:szCs w:val="21"/>
                    </w:rPr>
                    <w:t>一般防渗区：</w:t>
                  </w:r>
                  <w:r>
                    <w:rPr>
                      <w:rFonts w:hint="eastAsia" w:ascii="宋体" w:hAnsi="宋体" w:cs="宋体"/>
                      <w:szCs w:val="21"/>
                    </w:rPr>
                    <w:t>加油区、洗车区、隔油池、化粪池</w:t>
                  </w:r>
                  <w:r>
                    <w:rPr>
                      <w:rFonts w:ascii="宋体" w:hAnsi="宋体" w:cs="宋体"/>
                      <w:szCs w:val="21"/>
                    </w:rPr>
                    <w:t xml:space="preserve">； </w:t>
                  </w:r>
                  <w:r>
                    <w:rPr>
                      <w:rFonts w:hint="eastAsia" w:ascii="宋体" w:hAnsi="宋体" w:cs="宋体"/>
                      <w:szCs w:val="21"/>
                    </w:rPr>
                    <w:t>③</w:t>
                  </w:r>
                  <w:r>
                    <w:rPr>
                      <w:rFonts w:ascii="宋体" w:hAnsi="宋体" w:cs="宋体"/>
                      <w:szCs w:val="21"/>
                    </w:rPr>
                    <w:t>简单防渗区：</w:t>
                  </w:r>
                  <w:r>
                    <w:rPr>
                      <w:rFonts w:hint="eastAsia" w:ascii="宋体" w:hAnsi="宋体" w:cs="宋体"/>
                      <w:szCs w:val="21"/>
                    </w:rPr>
                    <w:t>场区站房及站内道路地面等除绿化带以外的其他区域</w:t>
                  </w:r>
                  <w:r>
                    <w:rPr>
                      <w:rFonts w:ascii="宋体" w:hAnsi="宋体" w:cs="宋体"/>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vMerge w:val="continue"/>
                  <w:noWrap w:val="0"/>
                  <w:vAlign w:val="center"/>
                </w:tcPr>
                <w:p>
                  <w:pPr>
                    <w:jc w:val="center"/>
                    <w:rPr>
                      <w:rFonts w:hint="eastAsia"/>
                      <w:szCs w:val="21"/>
                    </w:rPr>
                  </w:pPr>
                </w:p>
              </w:tc>
              <w:tc>
                <w:tcPr>
                  <w:tcW w:w="2433" w:type="pct"/>
                  <w:noWrap w:val="0"/>
                  <w:vAlign w:val="center"/>
                </w:tcPr>
                <w:p>
                  <w:pPr>
                    <w:jc w:val="left"/>
                    <w:rPr>
                      <w:szCs w:val="21"/>
                    </w:rPr>
                  </w:pPr>
                  <w:r>
                    <w:rPr>
                      <w:szCs w:val="21"/>
                    </w:rPr>
                    <w:t>设地下水监测井1座，定期进行地下水常规监测。</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jc w:val="center"/>
                    <w:rPr>
                      <w:rFonts w:hint="eastAsia"/>
                      <w:szCs w:val="21"/>
                    </w:rPr>
                  </w:pPr>
                  <w:r>
                    <w:rPr>
                      <w:rFonts w:hint="eastAsia"/>
                      <w:szCs w:val="21"/>
                    </w:rPr>
                    <w:t>风险防范</w:t>
                  </w:r>
                </w:p>
              </w:tc>
              <w:tc>
                <w:tcPr>
                  <w:tcW w:w="2433" w:type="pct"/>
                  <w:noWrap w:val="0"/>
                  <w:vAlign w:val="center"/>
                </w:tcPr>
                <w:p>
                  <w:pPr>
                    <w:jc w:val="left"/>
                    <w:rPr>
                      <w:szCs w:val="21"/>
                    </w:rPr>
                  </w:pPr>
                  <w:r>
                    <w:t>用双层油罐、采取分区防渗等措施；安装泄漏报警装置；配备灭火器、消防砂 池等消防器材；加强站区进出车辆管理以及各类设备输油管线的维护；站区设置 安全警示标识，加强员工安全培训，编制《事故应急预案》等</w:t>
                  </w:r>
                  <w:r>
                    <w:rPr>
                      <w:rFonts w:hint="eastAsia"/>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6" w:type="pct"/>
                  <w:vMerge w:val="continue"/>
                  <w:noWrap w:val="0"/>
                  <w:vAlign w:val="center"/>
                </w:tcPr>
                <w:p>
                  <w:pPr>
                    <w:jc w:val="center"/>
                    <w:rPr>
                      <w:szCs w:val="21"/>
                    </w:rPr>
                  </w:pPr>
                </w:p>
              </w:tc>
              <w:tc>
                <w:tcPr>
                  <w:tcW w:w="727" w:type="pct"/>
                  <w:noWrap w:val="0"/>
                  <w:vAlign w:val="center"/>
                </w:tcPr>
                <w:p>
                  <w:pPr>
                    <w:jc w:val="center"/>
                    <w:rPr>
                      <w:szCs w:val="21"/>
                    </w:rPr>
                  </w:pPr>
                  <w:r>
                    <w:rPr>
                      <w:rFonts w:hint="eastAsia"/>
                      <w:szCs w:val="21"/>
                    </w:rPr>
                    <w:t>绿化</w:t>
                  </w:r>
                </w:p>
              </w:tc>
              <w:tc>
                <w:tcPr>
                  <w:tcW w:w="2433" w:type="pct"/>
                  <w:noWrap w:val="0"/>
                  <w:vAlign w:val="center"/>
                </w:tcPr>
                <w:p>
                  <w:pPr>
                    <w:jc w:val="left"/>
                    <w:rPr>
                      <w:szCs w:val="21"/>
                    </w:rPr>
                  </w:pPr>
                  <w:r>
                    <w:rPr>
                      <w:szCs w:val="21"/>
                    </w:rPr>
                    <w:t>绿化面积约991.0m</w:t>
                  </w:r>
                  <w:r>
                    <w:rPr>
                      <w:szCs w:val="21"/>
                      <w:vertAlign w:val="superscript"/>
                    </w:rPr>
                    <w:t>2</w:t>
                  </w:r>
                  <w:r>
                    <w:rPr>
                      <w:szCs w:val="21"/>
                    </w:rPr>
                    <w:t>，绿化率</w:t>
                  </w:r>
                  <w:r>
                    <w:rPr>
                      <w:rFonts w:hint="eastAsia"/>
                      <w:szCs w:val="21"/>
                    </w:rPr>
                    <w:t>20.16</w:t>
                  </w:r>
                  <w:r>
                    <w:rPr>
                      <w:szCs w:val="21"/>
                    </w:rPr>
                    <w:t>%</w:t>
                  </w:r>
                  <w:r>
                    <w:rPr>
                      <w:rFonts w:hint="eastAsia"/>
                      <w:szCs w:val="21"/>
                    </w:rPr>
                    <w:t>。</w:t>
                  </w:r>
                </w:p>
              </w:tc>
              <w:tc>
                <w:tcPr>
                  <w:tcW w:w="677" w:type="pct"/>
                  <w:vMerge w:val="continue"/>
                  <w:noWrap w:val="0"/>
                  <w:vAlign w:val="center"/>
                </w:tcPr>
                <w:p>
                  <w:pPr>
                    <w:spacing w:line="360" w:lineRule="auto"/>
                    <w:jc w:val="center"/>
                    <w:rPr>
                      <w:szCs w:val="21"/>
                    </w:rPr>
                  </w:pPr>
                </w:p>
              </w:tc>
              <w:tc>
                <w:tcPr>
                  <w:tcW w:w="707" w:type="pct"/>
                  <w:noWrap w:val="0"/>
                  <w:vAlign w:val="center"/>
                </w:tcPr>
                <w:p>
                  <w:pPr>
                    <w:jc w:val="center"/>
                    <w:rPr>
                      <w:szCs w:val="21"/>
                    </w:rPr>
                  </w:pPr>
                  <w:r>
                    <w:rPr>
                      <w:rFonts w:hint="eastAsia"/>
                      <w:szCs w:val="21"/>
                    </w:rPr>
                    <w:t>/</w:t>
                  </w:r>
                </w:p>
              </w:tc>
            </w:tr>
          </w:tbl>
          <w:p>
            <w:pPr>
              <w:pStyle w:val="647"/>
              <w:ind w:firstLine="422"/>
              <w:rPr>
                <w:b/>
                <w:bCs/>
                <w:sz w:val="21"/>
                <w:szCs w:val="21"/>
              </w:rPr>
            </w:pPr>
            <w:r>
              <w:rPr>
                <w:rFonts w:hint="eastAsia"/>
                <w:b/>
                <w:bCs/>
                <w:sz w:val="21"/>
                <w:szCs w:val="21"/>
              </w:rPr>
              <w:t>备注：本项目不设食堂。</w:t>
            </w:r>
          </w:p>
          <w:p>
            <w:pPr>
              <w:pStyle w:val="647"/>
              <w:ind w:firstLine="482"/>
              <w:rPr>
                <w:b/>
                <w:bCs/>
                <w:snapToGrid w:val="0"/>
              </w:rPr>
            </w:pPr>
            <w:r>
              <w:rPr>
                <w:rFonts w:hint="eastAsia"/>
                <w:b/>
                <w:bCs/>
                <w:snapToGrid w:val="0"/>
              </w:rPr>
              <w:t>4、产品方案及产能</w:t>
            </w:r>
          </w:p>
          <w:p>
            <w:pPr>
              <w:pStyle w:val="647"/>
              <w:ind w:firstLine="480"/>
            </w:pPr>
            <w:r>
              <w:t>本项目是对成品油</w:t>
            </w:r>
            <w:r>
              <w:rPr>
                <w:rFonts w:hint="eastAsia"/>
              </w:rPr>
              <w:t>及液化天然气</w:t>
            </w:r>
            <w:r>
              <w:t>的销售，汽油</w:t>
            </w:r>
            <w:r>
              <w:rPr>
                <w:rFonts w:hint="eastAsia"/>
              </w:rPr>
              <w:t>、</w:t>
            </w:r>
            <w:r>
              <w:t>柴油</w:t>
            </w:r>
            <w:r>
              <w:rPr>
                <w:rFonts w:hint="eastAsia"/>
              </w:rPr>
              <w:t>及液化天然气均</w:t>
            </w:r>
            <w:r>
              <w:t xml:space="preserve">在站内暂存后即外售，不进行生产加工，在站内暂存的油品量如下表所示。 </w:t>
            </w:r>
          </w:p>
          <w:p>
            <w:pPr>
              <w:keepNext/>
              <w:keepLines/>
              <w:contextualSpacing/>
              <w:jc w:val="center"/>
              <w:outlineLvl w:val="3"/>
              <w:rPr>
                <w:b/>
                <w:bCs/>
                <w:kern w:val="0"/>
                <w:szCs w:val="21"/>
              </w:rPr>
            </w:pPr>
          </w:p>
          <w:p>
            <w:pPr>
              <w:keepNext/>
              <w:keepLines/>
              <w:contextualSpacing/>
              <w:jc w:val="center"/>
              <w:outlineLvl w:val="3"/>
              <w:rPr>
                <w:rFonts w:hint="eastAsia"/>
                <w:b/>
                <w:bCs/>
                <w:kern w:val="0"/>
                <w:szCs w:val="21"/>
              </w:rPr>
            </w:pPr>
            <w:r>
              <w:rPr>
                <w:b/>
                <w:bCs/>
                <w:kern w:val="0"/>
                <w:szCs w:val="21"/>
              </w:rPr>
              <w:t>表2-</w:t>
            </w:r>
            <w:r>
              <w:rPr>
                <w:rFonts w:hint="eastAsia"/>
                <w:b/>
                <w:bCs/>
                <w:kern w:val="0"/>
                <w:szCs w:val="21"/>
              </w:rPr>
              <w:t>3</w:t>
            </w:r>
            <w:r>
              <w:rPr>
                <w:b/>
                <w:bCs/>
                <w:kern w:val="0"/>
                <w:szCs w:val="21"/>
              </w:rPr>
              <w:t xml:space="preserve"> 产品</w:t>
            </w:r>
            <w:r>
              <w:rPr>
                <w:rFonts w:hint="eastAsia"/>
                <w:b/>
                <w:bCs/>
                <w:kern w:val="0"/>
                <w:szCs w:val="21"/>
              </w:rPr>
              <w:t>方案</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395"/>
              <w:gridCol w:w="1146"/>
              <w:gridCol w:w="1646"/>
              <w:gridCol w:w="1396"/>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5" w:type="dxa"/>
                  <w:noWrap w:val="0"/>
                  <w:vAlign w:val="center"/>
                </w:tcPr>
                <w:p>
                  <w:pPr>
                    <w:widowControl/>
                    <w:spacing w:line="240" w:lineRule="exact"/>
                    <w:jc w:val="center"/>
                    <w:rPr>
                      <w:rFonts w:hint="eastAsia"/>
                      <w:b/>
                      <w:bCs/>
                      <w:kern w:val="0"/>
                      <w:szCs w:val="21"/>
                    </w:rPr>
                  </w:pPr>
                  <w:r>
                    <w:rPr>
                      <w:rFonts w:hint="eastAsia"/>
                      <w:b/>
                      <w:bCs/>
                      <w:kern w:val="0"/>
                      <w:szCs w:val="21"/>
                    </w:rPr>
                    <w:t>产品方案</w:t>
                  </w:r>
                </w:p>
              </w:tc>
              <w:tc>
                <w:tcPr>
                  <w:tcW w:w="1395" w:type="dxa"/>
                  <w:noWrap w:val="0"/>
                  <w:vAlign w:val="center"/>
                </w:tcPr>
                <w:p>
                  <w:pPr>
                    <w:widowControl/>
                    <w:spacing w:line="240" w:lineRule="exact"/>
                    <w:jc w:val="center"/>
                    <w:rPr>
                      <w:rFonts w:hint="eastAsia"/>
                      <w:b/>
                      <w:bCs/>
                      <w:kern w:val="0"/>
                      <w:szCs w:val="21"/>
                    </w:rPr>
                  </w:pPr>
                  <w:r>
                    <w:rPr>
                      <w:rFonts w:hint="eastAsia"/>
                      <w:b/>
                      <w:bCs/>
                      <w:kern w:val="0"/>
                      <w:szCs w:val="21"/>
                    </w:rPr>
                    <w:t>型号</w:t>
                  </w:r>
                </w:p>
              </w:tc>
              <w:tc>
                <w:tcPr>
                  <w:tcW w:w="1146" w:type="dxa"/>
                  <w:noWrap w:val="0"/>
                  <w:vAlign w:val="center"/>
                </w:tcPr>
                <w:p>
                  <w:pPr>
                    <w:widowControl/>
                    <w:spacing w:line="240" w:lineRule="exact"/>
                    <w:jc w:val="center"/>
                    <w:rPr>
                      <w:rFonts w:hint="eastAsia"/>
                      <w:b/>
                      <w:bCs/>
                      <w:kern w:val="0"/>
                      <w:szCs w:val="21"/>
                    </w:rPr>
                  </w:pPr>
                  <w:r>
                    <w:rPr>
                      <w:rFonts w:hint="eastAsia"/>
                      <w:b/>
                      <w:bCs/>
                      <w:kern w:val="0"/>
                      <w:szCs w:val="21"/>
                    </w:rPr>
                    <w:t>储罐体积（m</w:t>
                  </w:r>
                  <w:r>
                    <w:rPr>
                      <w:rFonts w:hint="eastAsia"/>
                      <w:b/>
                      <w:bCs/>
                      <w:kern w:val="0"/>
                      <w:szCs w:val="21"/>
                      <w:vertAlign w:val="superscript"/>
                    </w:rPr>
                    <w:t>3</w:t>
                  </w:r>
                  <w:r>
                    <w:rPr>
                      <w:rFonts w:hint="eastAsia"/>
                      <w:b/>
                      <w:bCs/>
                      <w:kern w:val="0"/>
                      <w:szCs w:val="21"/>
                    </w:rPr>
                    <w:t>）</w:t>
                  </w:r>
                </w:p>
              </w:tc>
              <w:tc>
                <w:tcPr>
                  <w:tcW w:w="1646" w:type="dxa"/>
                  <w:noWrap w:val="0"/>
                  <w:vAlign w:val="center"/>
                </w:tcPr>
                <w:p>
                  <w:pPr>
                    <w:widowControl/>
                    <w:spacing w:line="240" w:lineRule="exact"/>
                    <w:jc w:val="center"/>
                    <w:rPr>
                      <w:rFonts w:hint="eastAsia"/>
                      <w:b/>
                      <w:bCs/>
                      <w:kern w:val="0"/>
                      <w:szCs w:val="21"/>
                    </w:rPr>
                  </w:pPr>
                  <w:r>
                    <w:rPr>
                      <w:rFonts w:hint="eastAsia"/>
                      <w:b/>
                      <w:bCs/>
                      <w:kern w:val="0"/>
                      <w:szCs w:val="21"/>
                    </w:rPr>
                    <w:t>储存量（充装系数取90%，m</w:t>
                  </w:r>
                  <w:r>
                    <w:rPr>
                      <w:rFonts w:hint="eastAsia"/>
                      <w:b/>
                      <w:bCs/>
                      <w:kern w:val="0"/>
                      <w:szCs w:val="21"/>
                      <w:vertAlign w:val="superscript"/>
                    </w:rPr>
                    <w:t>3</w:t>
                  </w:r>
                  <w:r>
                    <w:rPr>
                      <w:rFonts w:hint="eastAsia"/>
                      <w:b/>
                      <w:bCs/>
                      <w:kern w:val="0"/>
                      <w:szCs w:val="21"/>
                    </w:rPr>
                    <w:t>）</w:t>
                  </w:r>
                </w:p>
              </w:tc>
              <w:tc>
                <w:tcPr>
                  <w:tcW w:w="1396" w:type="dxa"/>
                  <w:noWrap w:val="0"/>
                  <w:vAlign w:val="center"/>
                </w:tcPr>
                <w:p>
                  <w:pPr>
                    <w:widowControl/>
                    <w:spacing w:line="240" w:lineRule="exact"/>
                    <w:jc w:val="center"/>
                    <w:rPr>
                      <w:rFonts w:hint="eastAsia"/>
                      <w:b/>
                      <w:bCs/>
                      <w:kern w:val="0"/>
                      <w:szCs w:val="21"/>
                    </w:rPr>
                  </w:pPr>
                  <w:r>
                    <w:rPr>
                      <w:rFonts w:hint="eastAsia"/>
                      <w:b/>
                      <w:bCs/>
                      <w:kern w:val="0"/>
                      <w:szCs w:val="21"/>
                    </w:rPr>
                    <w:t>年销售量（m</w:t>
                  </w:r>
                  <w:r>
                    <w:rPr>
                      <w:b/>
                      <w:bCs/>
                      <w:kern w:val="0"/>
                      <w:szCs w:val="21"/>
                      <w:vertAlign w:val="superscript"/>
                    </w:rPr>
                    <w:t>3</w:t>
                  </w:r>
                  <w:r>
                    <w:rPr>
                      <w:rFonts w:hint="eastAsia"/>
                      <w:b/>
                      <w:bCs/>
                      <w:kern w:val="0"/>
                      <w:szCs w:val="21"/>
                    </w:rPr>
                    <w:t>）</w:t>
                  </w:r>
                </w:p>
              </w:tc>
              <w:tc>
                <w:tcPr>
                  <w:tcW w:w="1396" w:type="dxa"/>
                  <w:noWrap w:val="0"/>
                  <w:vAlign w:val="center"/>
                </w:tcPr>
                <w:p>
                  <w:pPr>
                    <w:widowControl/>
                    <w:spacing w:line="240" w:lineRule="exact"/>
                    <w:jc w:val="center"/>
                    <w:rPr>
                      <w:rFonts w:hint="eastAsia"/>
                      <w:b/>
                      <w:bCs/>
                      <w:kern w:val="0"/>
                      <w:szCs w:val="21"/>
                    </w:rPr>
                  </w:pPr>
                  <w:r>
                    <w:rPr>
                      <w:rFonts w:hint="eastAsia"/>
                      <w:b/>
                      <w:bCs/>
                      <w:kern w:val="0"/>
                      <w:szCs w:val="21"/>
                    </w:rPr>
                    <w:t>年销售量（</w:t>
                  </w:r>
                  <w:r>
                    <w:rPr>
                      <w:b/>
                      <w:bCs/>
                      <w:kern w:val="0"/>
                      <w:szCs w:val="21"/>
                    </w:rPr>
                    <w:t>t</w:t>
                  </w:r>
                  <w:r>
                    <w:rPr>
                      <w:rFonts w:hint="eastAsia"/>
                      <w:b/>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5" w:type="dxa"/>
                  <w:noWrap w:val="0"/>
                  <w:vAlign w:val="center"/>
                </w:tcPr>
                <w:p>
                  <w:pPr>
                    <w:widowControl/>
                    <w:spacing w:line="240" w:lineRule="exact"/>
                    <w:jc w:val="center"/>
                    <w:rPr>
                      <w:rFonts w:hint="eastAsia"/>
                      <w:kern w:val="0"/>
                      <w:szCs w:val="21"/>
                    </w:rPr>
                  </w:pPr>
                  <w:r>
                    <w:rPr>
                      <w:rFonts w:hint="eastAsia"/>
                      <w:kern w:val="0"/>
                      <w:szCs w:val="21"/>
                    </w:rPr>
                    <w:t>汽油</w:t>
                  </w:r>
                </w:p>
              </w:tc>
              <w:tc>
                <w:tcPr>
                  <w:tcW w:w="1395" w:type="dxa"/>
                  <w:noWrap w:val="0"/>
                  <w:vAlign w:val="center"/>
                </w:tcPr>
                <w:p>
                  <w:pPr>
                    <w:widowControl/>
                    <w:spacing w:line="240" w:lineRule="exact"/>
                    <w:jc w:val="center"/>
                    <w:rPr>
                      <w:rFonts w:hint="eastAsia"/>
                      <w:kern w:val="0"/>
                      <w:szCs w:val="21"/>
                    </w:rPr>
                  </w:pPr>
                  <w:r>
                    <w:rPr>
                      <w:rFonts w:hint="eastAsia"/>
                      <w:kern w:val="0"/>
                      <w:szCs w:val="21"/>
                    </w:rPr>
                    <w:t>92#</w:t>
                  </w:r>
                </w:p>
              </w:tc>
              <w:tc>
                <w:tcPr>
                  <w:tcW w:w="1146" w:type="dxa"/>
                  <w:noWrap w:val="0"/>
                  <w:vAlign w:val="center"/>
                </w:tcPr>
                <w:p>
                  <w:pPr>
                    <w:widowControl/>
                    <w:spacing w:line="240" w:lineRule="exact"/>
                    <w:jc w:val="center"/>
                    <w:rPr>
                      <w:rFonts w:hint="eastAsia"/>
                      <w:kern w:val="0"/>
                      <w:szCs w:val="21"/>
                    </w:rPr>
                  </w:pPr>
                  <w:r>
                    <w:rPr>
                      <w:rFonts w:hint="eastAsia"/>
                      <w:kern w:val="0"/>
                      <w:szCs w:val="21"/>
                    </w:rPr>
                    <w:t>30</w:t>
                  </w:r>
                </w:p>
              </w:tc>
              <w:tc>
                <w:tcPr>
                  <w:tcW w:w="1646" w:type="dxa"/>
                  <w:noWrap w:val="0"/>
                  <w:vAlign w:val="center"/>
                </w:tcPr>
                <w:p>
                  <w:pPr>
                    <w:widowControl/>
                    <w:spacing w:line="240" w:lineRule="exact"/>
                    <w:jc w:val="center"/>
                    <w:rPr>
                      <w:rFonts w:hint="eastAsia"/>
                      <w:kern w:val="0"/>
                      <w:szCs w:val="21"/>
                    </w:rPr>
                  </w:pPr>
                  <w:r>
                    <w:rPr>
                      <w:rFonts w:hint="eastAsia" w:eastAsia="等线"/>
                      <w:szCs w:val="21"/>
                    </w:rPr>
                    <w:t>27</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1404</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1017.9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5" w:type="dxa"/>
                  <w:noWrap w:val="0"/>
                  <w:vAlign w:val="center"/>
                </w:tcPr>
                <w:p>
                  <w:pPr>
                    <w:widowControl/>
                    <w:spacing w:line="240" w:lineRule="exact"/>
                    <w:jc w:val="center"/>
                    <w:rPr>
                      <w:rFonts w:hint="eastAsia"/>
                      <w:kern w:val="0"/>
                      <w:szCs w:val="21"/>
                    </w:rPr>
                  </w:pPr>
                  <w:r>
                    <w:rPr>
                      <w:rFonts w:hint="eastAsia"/>
                      <w:kern w:val="0"/>
                      <w:szCs w:val="21"/>
                    </w:rPr>
                    <w:t>汽油</w:t>
                  </w:r>
                </w:p>
              </w:tc>
              <w:tc>
                <w:tcPr>
                  <w:tcW w:w="1395" w:type="dxa"/>
                  <w:noWrap w:val="0"/>
                  <w:vAlign w:val="center"/>
                </w:tcPr>
                <w:p>
                  <w:pPr>
                    <w:widowControl/>
                    <w:spacing w:line="240" w:lineRule="exact"/>
                    <w:jc w:val="center"/>
                    <w:rPr>
                      <w:rFonts w:hint="eastAsia"/>
                      <w:kern w:val="0"/>
                      <w:szCs w:val="21"/>
                    </w:rPr>
                  </w:pPr>
                  <w:r>
                    <w:rPr>
                      <w:rFonts w:hint="eastAsia"/>
                      <w:kern w:val="0"/>
                      <w:szCs w:val="21"/>
                    </w:rPr>
                    <w:t>95#</w:t>
                  </w:r>
                </w:p>
              </w:tc>
              <w:tc>
                <w:tcPr>
                  <w:tcW w:w="1146" w:type="dxa"/>
                  <w:noWrap w:val="0"/>
                  <w:vAlign w:val="center"/>
                </w:tcPr>
                <w:p>
                  <w:pPr>
                    <w:widowControl/>
                    <w:spacing w:line="240" w:lineRule="exact"/>
                    <w:jc w:val="center"/>
                    <w:rPr>
                      <w:rFonts w:hint="eastAsia"/>
                      <w:kern w:val="0"/>
                      <w:szCs w:val="21"/>
                    </w:rPr>
                  </w:pPr>
                  <w:r>
                    <w:rPr>
                      <w:rFonts w:hint="eastAsia"/>
                      <w:kern w:val="0"/>
                      <w:szCs w:val="21"/>
                    </w:rPr>
                    <w:t>30</w:t>
                  </w:r>
                </w:p>
              </w:tc>
              <w:tc>
                <w:tcPr>
                  <w:tcW w:w="1646" w:type="dxa"/>
                  <w:noWrap w:val="0"/>
                  <w:vAlign w:val="center"/>
                </w:tcPr>
                <w:p>
                  <w:pPr>
                    <w:widowControl/>
                    <w:spacing w:line="240" w:lineRule="exact"/>
                    <w:jc w:val="center"/>
                    <w:rPr>
                      <w:rFonts w:hint="eastAsia"/>
                      <w:kern w:val="0"/>
                      <w:szCs w:val="21"/>
                    </w:rPr>
                  </w:pPr>
                  <w:r>
                    <w:rPr>
                      <w:rFonts w:hint="eastAsia" w:eastAsia="等线"/>
                      <w:szCs w:val="21"/>
                    </w:rPr>
                    <w:t>27</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810</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596.97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5" w:type="dxa"/>
                  <w:noWrap w:val="0"/>
                  <w:vAlign w:val="center"/>
                </w:tcPr>
                <w:p>
                  <w:pPr>
                    <w:widowControl/>
                    <w:spacing w:line="240" w:lineRule="exact"/>
                    <w:jc w:val="center"/>
                    <w:rPr>
                      <w:rFonts w:hint="eastAsia"/>
                      <w:kern w:val="0"/>
                      <w:szCs w:val="21"/>
                    </w:rPr>
                  </w:pPr>
                  <w:r>
                    <w:rPr>
                      <w:rFonts w:hint="eastAsia"/>
                      <w:kern w:val="0"/>
                      <w:szCs w:val="21"/>
                    </w:rPr>
                    <w:t>柴油</w:t>
                  </w:r>
                </w:p>
              </w:tc>
              <w:tc>
                <w:tcPr>
                  <w:tcW w:w="1395" w:type="dxa"/>
                  <w:noWrap w:val="0"/>
                  <w:vAlign w:val="center"/>
                </w:tcPr>
                <w:p>
                  <w:pPr>
                    <w:widowControl/>
                    <w:spacing w:line="240" w:lineRule="exact"/>
                    <w:jc w:val="center"/>
                    <w:rPr>
                      <w:rFonts w:hint="eastAsia"/>
                      <w:kern w:val="0"/>
                      <w:szCs w:val="21"/>
                    </w:rPr>
                  </w:pPr>
                  <w:r>
                    <w:rPr>
                      <w:rFonts w:hint="eastAsia"/>
                      <w:kern w:val="0"/>
                      <w:szCs w:val="21"/>
                    </w:rPr>
                    <w:t>0#</w:t>
                  </w:r>
                </w:p>
              </w:tc>
              <w:tc>
                <w:tcPr>
                  <w:tcW w:w="1146" w:type="dxa"/>
                  <w:noWrap w:val="0"/>
                  <w:vAlign w:val="center"/>
                </w:tcPr>
                <w:p>
                  <w:pPr>
                    <w:widowControl/>
                    <w:spacing w:line="240" w:lineRule="exact"/>
                    <w:jc w:val="center"/>
                    <w:rPr>
                      <w:rFonts w:hint="eastAsia"/>
                      <w:kern w:val="0"/>
                      <w:szCs w:val="21"/>
                    </w:rPr>
                  </w:pPr>
                  <w:r>
                    <w:rPr>
                      <w:rFonts w:hint="eastAsia"/>
                      <w:kern w:val="0"/>
                      <w:szCs w:val="21"/>
                    </w:rPr>
                    <w:t>50</w:t>
                  </w:r>
                </w:p>
              </w:tc>
              <w:tc>
                <w:tcPr>
                  <w:tcW w:w="1646" w:type="dxa"/>
                  <w:noWrap w:val="0"/>
                  <w:vAlign w:val="center"/>
                </w:tcPr>
                <w:p>
                  <w:pPr>
                    <w:widowControl/>
                    <w:spacing w:line="240" w:lineRule="exact"/>
                    <w:jc w:val="center"/>
                    <w:rPr>
                      <w:rFonts w:hint="eastAsia"/>
                      <w:kern w:val="0"/>
                      <w:szCs w:val="21"/>
                    </w:rPr>
                  </w:pPr>
                  <w:r>
                    <w:rPr>
                      <w:rFonts w:hint="eastAsia" w:eastAsia="等线"/>
                      <w:szCs w:val="21"/>
                    </w:rPr>
                    <w:t>45</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1350</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1147.5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5" w:type="dxa"/>
                  <w:noWrap w:val="0"/>
                  <w:vAlign w:val="center"/>
                </w:tcPr>
                <w:p>
                  <w:pPr>
                    <w:widowControl/>
                    <w:spacing w:line="240" w:lineRule="exact"/>
                    <w:jc w:val="center"/>
                    <w:rPr>
                      <w:rFonts w:hint="eastAsia"/>
                      <w:kern w:val="0"/>
                      <w:szCs w:val="21"/>
                    </w:rPr>
                  </w:pPr>
                  <w:r>
                    <w:rPr>
                      <w:rFonts w:hint="eastAsia"/>
                      <w:kern w:val="0"/>
                      <w:szCs w:val="21"/>
                    </w:rPr>
                    <w:t>液化天然气（LNG）</w:t>
                  </w:r>
                </w:p>
              </w:tc>
              <w:tc>
                <w:tcPr>
                  <w:tcW w:w="1395" w:type="dxa"/>
                  <w:noWrap w:val="0"/>
                  <w:vAlign w:val="center"/>
                </w:tcPr>
                <w:p>
                  <w:pPr>
                    <w:widowControl/>
                    <w:spacing w:line="240" w:lineRule="exact"/>
                    <w:jc w:val="center"/>
                    <w:rPr>
                      <w:rFonts w:hint="eastAsia"/>
                      <w:kern w:val="0"/>
                      <w:szCs w:val="21"/>
                    </w:rPr>
                  </w:pPr>
                  <w:r>
                    <w:rPr>
                      <w:rFonts w:hint="eastAsia"/>
                      <w:kern w:val="0"/>
                      <w:szCs w:val="21"/>
                    </w:rPr>
                    <w:t>/</w:t>
                  </w:r>
                </w:p>
              </w:tc>
              <w:tc>
                <w:tcPr>
                  <w:tcW w:w="1146" w:type="dxa"/>
                  <w:noWrap w:val="0"/>
                  <w:vAlign w:val="center"/>
                </w:tcPr>
                <w:p>
                  <w:pPr>
                    <w:widowControl/>
                    <w:spacing w:line="240" w:lineRule="exact"/>
                    <w:jc w:val="center"/>
                    <w:rPr>
                      <w:rFonts w:hint="eastAsia"/>
                      <w:kern w:val="0"/>
                      <w:szCs w:val="21"/>
                    </w:rPr>
                  </w:pPr>
                  <w:r>
                    <w:rPr>
                      <w:rFonts w:hint="eastAsia"/>
                      <w:kern w:val="0"/>
                      <w:szCs w:val="21"/>
                    </w:rPr>
                    <w:t>60</w:t>
                  </w:r>
                </w:p>
              </w:tc>
              <w:tc>
                <w:tcPr>
                  <w:tcW w:w="1646" w:type="dxa"/>
                  <w:noWrap w:val="0"/>
                  <w:vAlign w:val="center"/>
                </w:tcPr>
                <w:p>
                  <w:pPr>
                    <w:widowControl/>
                    <w:spacing w:line="240" w:lineRule="exact"/>
                    <w:jc w:val="center"/>
                    <w:rPr>
                      <w:rFonts w:hint="eastAsia"/>
                      <w:kern w:val="0"/>
                      <w:szCs w:val="21"/>
                    </w:rPr>
                  </w:pPr>
                  <w:r>
                    <w:rPr>
                      <w:rFonts w:hint="eastAsia" w:eastAsia="等线"/>
                      <w:szCs w:val="21"/>
                    </w:rPr>
                    <w:t>54</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2808</w:t>
                  </w:r>
                </w:p>
              </w:tc>
              <w:tc>
                <w:tcPr>
                  <w:tcW w:w="1396" w:type="dxa"/>
                  <w:noWrap w:val="0"/>
                  <w:vAlign w:val="center"/>
                </w:tcPr>
                <w:p>
                  <w:pPr>
                    <w:widowControl/>
                    <w:spacing w:line="240" w:lineRule="exact"/>
                    <w:jc w:val="center"/>
                    <w:rPr>
                      <w:rFonts w:hint="eastAsia"/>
                      <w:kern w:val="0"/>
                      <w:szCs w:val="21"/>
                    </w:rPr>
                  </w:pPr>
                  <w:r>
                    <w:rPr>
                      <w:rFonts w:hint="eastAsia" w:eastAsia="等线"/>
                      <w:szCs w:val="21"/>
                    </w:rPr>
                    <w:t>1310.49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4" w:type="dxa"/>
                  <w:gridSpan w:val="6"/>
                  <w:noWrap w:val="0"/>
                  <w:vAlign w:val="center"/>
                </w:tcPr>
                <w:p>
                  <w:pPr>
                    <w:widowControl/>
                    <w:spacing w:line="240" w:lineRule="exact"/>
                    <w:jc w:val="left"/>
                    <w:rPr>
                      <w:rFonts w:eastAsia="等线"/>
                      <w:szCs w:val="21"/>
                    </w:rPr>
                  </w:pPr>
                  <w:r>
                    <w:rPr>
                      <w:kern w:val="0"/>
                      <w:szCs w:val="21"/>
                    </w:rPr>
                    <w:t>注：92#汽油相对密度为0.725g/mL</w:t>
                  </w:r>
                  <w:r>
                    <w:rPr>
                      <w:rFonts w:hint="eastAsia"/>
                      <w:kern w:val="0"/>
                      <w:szCs w:val="21"/>
                    </w:rPr>
                    <w:t>、</w:t>
                  </w:r>
                  <w:r>
                    <w:rPr>
                      <w:kern w:val="0"/>
                      <w:szCs w:val="21"/>
                    </w:rPr>
                    <w:t>95#汽油相对密度为0.737g/mL</w:t>
                  </w:r>
                  <w:r>
                    <w:rPr>
                      <w:rFonts w:hint="eastAsia"/>
                      <w:kern w:val="0"/>
                      <w:szCs w:val="21"/>
                    </w:rPr>
                    <w:t>、</w:t>
                  </w:r>
                  <w:r>
                    <w:rPr>
                      <w:kern w:val="0"/>
                      <w:szCs w:val="21"/>
                    </w:rPr>
                    <w:t>0#柴油相对密度为0.8</w:t>
                  </w:r>
                  <w:r>
                    <w:rPr>
                      <w:rFonts w:hint="eastAsia"/>
                      <w:kern w:val="0"/>
                      <w:szCs w:val="21"/>
                    </w:rPr>
                    <w:t>5</w:t>
                  </w:r>
                  <w:r>
                    <w:rPr>
                      <w:kern w:val="0"/>
                      <w:szCs w:val="21"/>
                    </w:rPr>
                    <w:t>g/mL</w:t>
                  </w:r>
                  <w:r>
                    <w:rPr>
                      <w:rFonts w:hint="eastAsia"/>
                      <w:kern w:val="0"/>
                      <w:szCs w:val="21"/>
                    </w:rPr>
                    <w:t>、</w:t>
                  </w:r>
                  <w:r>
                    <w:rPr>
                      <w:rFonts w:eastAsia="Times New Roman"/>
                      <w:sz w:val="23"/>
                      <w:szCs w:val="23"/>
                    </w:rPr>
                    <w:t>LNG</w:t>
                  </w:r>
                  <w:r>
                    <w:rPr>
                      <w:rFonts w:ascii="宋体" w:hAnsi="宋体" w:cs="宋体"/>
                      <w:spacing w:val="2"/>
                      <w:sz w:val="23"/>
                      <w:szCs w:val="23"/>
                    </w:rPr>
                    <w:t>在</w:t>
                  </w:r>
                  <w:r>
                    <w:rPr>
                      <w:rFonts w:eastAsia="Times New Roman"/>
                      <w:spacing w:val="2"/>
                      <w:sz w:val="23"/>
                      <w:szCs w:val="23"/>
                    </w:rPr>
                    <w:t>1.2</w:t>
                  </w:r>
                  <w:r>
                    <w:rPr>
                      <w:rFonts w:eastAsia="Times New Roman"/>
                      <w:sz w:val="23"/>
                      <w:szCs w:val="23"/>
                    </w:rPr>
                    <w:t>MPa</w:t>
                  </w:r>
                  <w:r>
                    <w:rPr>
                      <w:rFonts w:ascii="宋体" w:hAnsi="宋体" w:cs="宋体"/>
                      <w:spacing w:val="2"/>
                      <w:sz w:val="23"/>
                      <w:szCs w:val="23"/>
                    </w:rPr>
                    <w:t>，</w:t>
                  </w:r>
                  <w:r>
                    <w:rPr>
                      <w:rFonts w:eastAsia="Times New Roman"/>
                      <w:spacing w:val="2"/>
                      <w:sz w:val="23"/>
                      <w:szCs w:val="23"/>
                    </w:rPr>
                    <w:t>-162℃</w:t>
                  </w:r>
                  <w:r>
                    <w:rPr>
                      <w:rFonts w:ascii="宋体" w:hAnsi="宋体" w:cs="宋体"/>
                      <w:spacing w:val="2"/>
                      <w:sz w:val="23"/>
                      <w:szCs w:val="23"/>
                    </w:rPr>
                    <w:t>的情况下相对水密</w:t>
                  </w:r>
                  <w:r>
                    <w:rPr>
                      <w:rFonts w:ascii="宋体" w:hAnsi="宋体" w:cs="宋体"/>
                      <w:spacing w:val="4"/>
                      <w:sz w:val="23"/>
                      <w:szCs w:val="23"/>
                    </w:rPr>
                    <w:t>度取</w:t>
                  </w:r>
                  <w:r>
                    <w:rPr>
                      <w:rFonts w:eastAsia="Times New Roman"/>
                      <w:spacing w:val="4"/>
                      <w:sz w:val="23"/>
                      <w:szCs w:val="23"/>
                    </w:rPr>
                    <w:t>0.4667</w:t>
                  </w:r>
                  <w:r>
                    <w:rPr>
                      <w:rFonts w:ascii="宋体" w:hAnsi="宋体" w:cs="宋体"/>
                      <w:spacing w:val="4"/>
                      <w:sz w:val="23"/>
                      <w:szCs w:val="23"/>
                    </w:rPr>
                    <w:t>。</w:t>
                  </w:r>
                </w:p>
              </w:tc>
            </w:tr>
          </w:tbl>
          <w:p>
            <w:pPr>
              <w:pStyle w:val="647"/>
              <w:ind w:firstLine="482"/>
              <w:rPr>
                <w:b/>
                <w:bCs/>
                <w:snapToGrid w:val="0"/>
              </w:rPr>
            </w:pPr>
            <w:r>
              <w:rPr>
                <w:b/>
                <w:bCs/>
                <w:snapToGrid w:val="0"/>
              </w:rPr>
              <w:t>5</w:t>
            </w:r>
            <w:r>
              <w:rPr>
                <w:rFonts w:hint="eastAsia"/>
                <w:b/>
                <w:bCs/>
                <w:snapToGrid w:val="0"/>
              </w:rPr>
              <w:t>、</w:t>
            </w:r>
            <w:r>
              <w:rPr>
                <w:b/>
                <w:bCs/>
                <w:snapToGrid w:val="0"/>
              </w:rPr>
              <w:t>主要原辅材料及能耗情况</w:t>
            </w:r>
          </w:p>
          <w:p>
            <w:pPr>
              <w:pStyle w:val="647"/>
              <w:ind w:firstLine="480"/>
            </w:pPr>
            <w:r>
              <w:t>本项目所涉及的主要原辅材料种类、数量</w:t>
            </w:r>
            <w:r>
              <w:rPr>
                <w:rFonts w:hint="eastAsia"/>
              </w:rPr>
              <w:t>及</w:t>
            </w:r>
            <w:r>
              <w:t>项目能耗情况见表</w:t>
            </w:r>
            <w:r>
              <w:rPr>
                <w:rFonts w:hint="eastAsia"/>
              </w:rPr>
              <w:t>2-4</w:t>
            </w:r>
            <w:r>
              <w:t>所示。</w:t>
            </w:r>
          </w:p>
          <w:p>
            <w:pPr>
              <w:keepNext/>
              <w:keepLines/>
              <w:contextualSpacing/>
              <w:jc w:val="center"/>
              <w:outlineLvl w:val="3"/>
              <w:rPr>
                <w:rFonts w:hint="eastAsia"/>
                <w:b/>
                <w:bCs/>
                <w:kern w:val="0"/>
                <w:szCs w:val="21"/>
              </w:rPr>
            </w:pPr>
            <w:r>
              <w:rPr>
                <w:rFonts w:hint="eastAsia"/>
                <w:b/>
                <w:bCs/>
                <w:kern w:val="0"/>
                <w:szCs w:val="21"/>
              </w:rPr>
              <w:t>表2-4</w:t>
            </w:r>
            <w:r>
              <w:rPr>
                <w:b/>
                <w:bCs/>
                <w:kern w:val="0"/>
                <w:szCs w:val="21"/>
              </w:rPr>
              <w:t>主要原辅材料及能耗情况一览表</w:t>
            </w:r>
          </w:p>
          <w:tbl>
            <w:tblPr>
              <w:tblStyle w:val="70"/>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937"/>
              <w:gridCol w:w="953"/>
              <w:gridCol w:w="998"/>
              <w:gridCol w:w="1300"/>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pPr>
                    <w:widowControl/>
                    <w:spacing w:line="240" w:lineRule="exact"/>
                    <w:jc w:val="center"/>
                    <w:rPr>
                      <w:b/>
                      <w:bCs/>
                      <w:kern w:val="0"/>
                      <w:szCs w:val="21"/>
                    </w:rPr>
                  </w:pPr>
                  <w:r>
                    <w:rPr>
                      <w:b/>
                      <w:bCs/>
                      <w:kern w:val="0"/>
                      <w:szCs w:val="21"/>
                    </w:rPr>
                    <w:t>序号</w:t>
                  </w:r>
                </w:p>
              </w:tc>
              <w:tc>
                <w:tcPr>
                  <w:tcW w:w="1937" w:type="dxa"/>
                  <w:noWrap w:val="0"/>
                  <w:vAlign w:val="center"/>
                </w:tcPr>
                <w:p>
                  <w:pPr>
                    <w:widowControl/>
                    <w:spacing w:line="240" w:lineRule="exact"/>
                    <w:jc w:val="center"/>
                    <w:rPr>
                      <w:b/>
                      <w:bCs/>
                      <w:kern w:val="0"/>
                      <w:szCs w:val="21"/>
                    </w:rPr>
                  </w:pPr>
                  <w:r>
                    <w:rPr>
                      <w:b/>
                      <w:bCs/>
                      <w:kern w:val="0"/>
                      <w:szCs w:val="21"/>
                    </w:rPr>
                    <w:t>名称</w:t>
                  </w:r>
                </w:p>
              </w:tc>
              <w:tc>
                <w:tcPr>
                  <w:tcW w:w="953" w:type="dxa"/>
                  <w:noWrap w:val="0"/>
                  <w:vAlign w:val="center"/>
                </w:tcPr>
                <w:p>
                  <w:pPr>
                    <w:widowControl/>
                    <w:spacing w:line="240" w:lineRule="exact"/>
                    <w:jc w:val="center"/>
                    <w:rPr>
                      <w:b/>
                      <w:bCs/>
                      <w:kern w:val="0"/>
                      <w:szCs w:val="21"/>
                    </w:rPr>
                  </w:pPr>
                  <w:r>
                    <w:rPr>
                      <w:b/>
                      <w:bCs/>
                      <w:kern w:val="0"/>
                      <w:szCs w:val="21"/>
                    </w:rPr>
                    <w:t>单位</w:t>
                  </w:r>
                </w:p>
              </w:tc>
              <w:tc>
                <w:tcPr>
                  <w:tcW w:w="998" w:type="dxa"/>
                  <w:noWrap w:val="0"/>
                  <w:vAlign w:val="center"/>
                </w:tcPr>
                <w:p>
                  <w:pPr>
                    <w:widowControl/>
                    <w:spacing w:line="240" w:lineRule="exact"/>
                    <w:jc w:val="center"/>
                    <w:rPr>
                      <w:b/>
                      <w:bCs/>
                      <w:kern w:val="0"/>
                      <w:szCs w:val="21"/>
                    </w:rPr>
                  </w:pPr>
                  <w:r>
                    <w:rPr>
                      <w:b/>
                      <w:bCs/>
                      <w:kern w:val="0"/>
                      <w:szCs w:val="21"/>
                    </w:rPr>
                    <w:t>年用量</w:t>
                  </w:r>
                </w:p>
              </w:tc>
              <w:tc>
                <w:tcPr>
                  <w:tcW w:w="1300" w:type="dxa"/>
                  <w:noWrap w:val="0"/>
                  <w:vAlign w:val="center"/>
                </w:tcPr>
                <w:p>
                  <w:pPr>
                    <w:widowControl/>
                    <w:spacing w:line="240" w:lineRule="exact"/>
                    <w:jc w:val="center"/>
                    <w:rPr>
                      <w:b/>
                      <w:bCs/>
                      <w:kern w:val="0"/>
                      <w:szCs w:val="21"/>
                    </w:rPr>
                  </w:pPr>
                  <w:r>
                    <w:rPr>
                      <w:b/>
                      <w:bCs/>
                      <w:kern w:val="0"/>
                      <w:szCs w:val="21"/>
                    </w:rPr>
                    <w:t>最大储存量</w:t>
                  </w:r>
                </w:p>
              </w:tc>
              <w:tc>
                <w:tcPr>
                  <w:tcW w:w="2493" w:type="dxa"/>
                  <w:noWrap w:val="0"/>
                  <w:vAlign w:val="center"/>
                </w:tcPr>
                <w:p>
                  <w:pPr>
                    <w:widowControl/>
                    <w:spacing w:line="240" w:lineRule="exact"/>
                    <w:jc w:val="center"/>
                    <w:rPr>
                      <w:b/>
                      <w:bCs/>
                      <w:kern w:val="0"/>
                      <w:szCs w:val="21"/>
                    </w:rPr>
                  </w:pPr>
                  <w:r>
                    <w:rPr>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pPr>
                    <w:widowControl/>
                    <w:spacing w:line="240" w:lineRule="exact"/>
                    <w:jc w:val="center"/>
                    <w:rPr>
                      <w:kern w:val="0"/>
                      <w:szCs w:val="21"/>
                    </w:rPr>
                  </w:pPr>
                  <w:r>
                    <w:rPr>
                      <w:kern w:val="0"/>
                      <w:szCs w:val="21"/>
                    </w:rPr>
                    <w:t>1</w:t>
                  </w:r>
                </w:p>
              </w:tc>
              <w:tc>
                <w:tcPr>
                  <w:tcW w:w="1937" w:type="dxa"/>
                  <w:noWrap w:val="0"/>
                  <w:vAlign w:val="center"/>
                </w:tcPr>
                <w:p>
                  <w:pPr>
                    <w:widowControl/>
                    <w:spacing w:line="240" w:lineRule="exact"/>
                    <w:jc w:val="center"/>
                    <w:rPr>
                      <w:szCs w:val="21"/>
                    </w:rPr>
                  </w:pPr>
                  <w:r>
                    <w:rPr>
                      <w:szCs w:val="21"/>
                    </w:rPr>
                    <w:t>0#柴油</w:t>
                  </w:r>
                </w:p>
              </w:tc>
              <w:tc>
                <w:tcPr>
                  <w:tcW w:w="953" w:type="dxa"/>
                  <w:noWrap w:val="0"/>
                  <w:vAlign w:val="center"/>
                </w:tcPr>
                <w:p>
                  <w:pPr>
                    <w:widowControl/>
                    <w:spacing w:line="240" w:lineRule="exact"/>
                    <w:jc w:val="center"/>
                    <w:rPr>
                      <w:kern w:val="0"/>
                      <w:szCs w:val="21"/>
                    </w:rPr>
                  </w:pPr>
                  <w:r>
                    <w:rPr>
                      <w:kern w:val="0"/>
                      <w:szCs w:val="21"/>
                    </w:rPr>
                    <w:t>t</w:t>
                  </w:r>
                </w:p>
              </w:tc>
              <w:tc>
                <w:tcPr>
                  <w:tcW w:w="998" w:type="dxa"/>
                  <w:noWrap w:val="0"/>
                  <w:vAlign w:val="center"/>
                </w:tcPr>
                <w:p>
                  <w:pPr>
                    <w:widowControl/>
                    <w:spacing w:line="240" w:lineRule="exact"/>
                    <w:jc w:val="center"/>
                    <w:rPr>
                      <w:kern w:val="0"/>
                      <w:szCs w:val="21"/>
                    </w:rPr>
                  </w:pPr>
                  <w:r>
                    <w:rPr>
                      <w:rFonts w:hint="eastAsia" w:eastAsia="等线"/>
                      <w:szCs w:val="21"/>
                    </w:rPr>
                    <w:t>1147.5</w:t>
                  </w:r>
                </w:p>
              </w:tc>
              <w:tc>
                <w:tcPr>
                  <w:tcW w:w="1300" w:type="dxa"/>
                  <w:noWrap w:val="0"/>
                  <w:vAlign w:val="center"/>
                </w:tcPr>
                <w:p>
                  <w:pPr>
                    <w:widowControl/>
                    <w:spacing w:line="240" w:lineRule="exact"/>
                    <w:jc w:val="center"/>
                    <w:rPr>
                      <w:kern w:val="0"/>
                      <w:szCs w:val="21"/>
                    </w:rPr>
                  </w:pPr>
                  <w:r>
                    <w:rPr>
                      <w:rFonts w:hint="eastAsia"/>
                      <w:kern w:val="0"/>
                      <w:szCs w:val="21"/>
                    </w:rPr>
                    <w:t>38.25</w:t>
                  </w:r>
                </w:p>
              </w:tc>
              <w:tc>
                <w:tcPr>
                  <w:tcW w:w="2493" w:type="dxa"/>
                  <w:vMerge w:val="restart"/>
                  <w:noWrap w:val="0"/>
                  <w:vAlign w:val="center"/>
                </w:tcPr>
                <w:p>
                  <w:pPr>
                    <w:widowControl/>
                    <w:spacing w:line="240" w:lineRule="exact"/>
                    <w:jc w:val="center"/>
                    <w:rPr>
                      <w:kern w:val="0"/>
                      <w:szCs w:val="21"/>
                    </w:rPr>
                  </w:pPr>
                  <w:r>
                    <w:rPr>
                      <w:kern w:val="0"/>
                      <w:szCs w:val="21"/>
                    </w:rPr>
                    <w:t>油品满足     （GB17930-2006）（GB/T9147-2013）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pPr>
                    <w:widowControl/>
                    <w:spacing w:line="240" w:lineRule="exact"/>
                    <w:jc w:val="center"/>
                    <w:rPr>
                      <w:kern w:val="0"/>
                      <w:szCs w:val="21"/>
                    </w:rPr>
                  </w:pPr>
                  <w:r>
                    <w:rPr>
                      <w:kern w:val="0"/>
                      <w:szCs w:val="21"/>
                    </w:rPr>
                    <w:t>2</w:t>
                  </w:r>
                </w:p>
              </w:tc>
              <w:tc>
                <w:tcPr>
                  <w:tcW w:w="1937" w:type="dxa"/>
                  <w:noWrap w:val="0"/>
                  <w:vAlign w:val="center"/>
                </w:tcPr>
                <w:p>
                  <w:pPr>
                    <w:widowControl/>
                    <w:spacing w:line="240" w:lineRule="exact"/>
                    <w:jc w:val="center"/>
                    <w:rPr>
                      <w:szCs w:val="21"/>
                    </w:rPr>
                  </w:pPr>
                  <w:r>
                    <w:rPr>
                      <w:szCs w:val="21"/>
                    </w:rPr>
                    <w:t>92#汽油</w:t>
                  </w:r>
                </w:p>
              </w:tc>
              <w:tc>
                <w:tcPr>
                  <w:tcW w:w="953" w:type="dxa"/>
                  <w:noWrap w:val="0"/>
                  <w:vAlign w:val="center"/>
                </w:tcPr>
                <w:p>
                  <w:pPr>
                    <w:widowControl/>
                    <w:spacing w:line="240" w:lineRule="exact"/>
                    <w:jc w:val="center"/>
                    <w:rPr>
                      <w:kern w:val="0"/>
                      <w:szCs w:val="21"/>
                    </w:rPr>
                  </w:pPr>
                  <w:r>
                    <w:rPr>
                      <w:kern w:val="0"/>
                      <w:szCs w:val="21"/>
                    </w:rPr>
                    <w:t>t</w:t>
                  </w:r>
                </w:p>
              </w:tc>
              <w:tc>
                <w:tcPr>
                  <w:tcW w:w="998" w:type="dxa"/>
                  <w:noWrap w:val="0"/>
                  <w:vAlign w:val="center"/>
                </w:tcPr>
                <w:p>
                  <w:pPr>
                    <w:widowControl/>
                    <w:spacing w:line="240" w:lineRule="exact"/>
                    <w:jc w:val="center"/>
                    <w:rPr>
                      <w:rFonts w:hint="eastAsia"/>
                      <w:kern w:val="0"/>
                      <w:szCs w:val="21"/>
                    </w:rPr>
                  </w:pPr>
                  <w:r>
                    <w:rPr>
                      <w:rFonts w:hint="eastAsia" w:eastAsia="等线"/>
                      <w:szCs w:val="21"/>
                    </w:rPr>
                    <w:t>1017.9</w:t>
                  </w:r>
                </w:p>
              </w:tc>
              <w:tc>
                <w:tcPr>
                  <w:tcW w:w="1300" w:type="dxa"/>
                  <w:noWrap w:val="0"/>
                  <w:vAlign w:val="center"/>
                </w:tcPr>
                <w:p>
                  <w:pPr>
                    <w:widowControl/>
                    <w:spacing w:line="240" w:lineRule="exact"/>
                    <w:jc w:val="center"/>
                    <w:rPr>
                      <w:kern w:val="0"/>
                      <w:szCs w:val="21"/>
                    </w:rPr>
                  </w:pPr>
                  <w:r>
                    <w:rPr>
                      <w:rFonts w:hint="eastAsia"/>
                      <w:kern w:val="0"/>
                      <w:szCs w:val="21"/>
                    </w:rPr>
                    <w:t>19.58</w:t>
                  </w:r>
                </w:p>
              </w:tc>
              <w:tc>
                <w:tcPr>
                  <w:tcW w:w="2493" w:type="dxa"/>
                  <w:vMerge w:val="continue"/>
                  <w:noWrap w:val="0"/>
                  <w:vAlign w:val="center"/>
                </w:tcPr>
                <w:p>
                  <w:pPr>
                    <w:widowControl/>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4" w:type="dxa"/>
                  <w:noWrap w:val="0"/>
                  <w:vAlign w:val="center"/>
                </w:tcPr>
                <w:p>
                  <w:pPr>
                    <w:widowControl/>
                    <w:spacing w:line="240" w:lineRule="exact"/>
                    <w:jc w:val="center"/>
                    <w:rPr>
                      <w:kern w:val="0"/>
                      <w:szCs w:val="21"/>
                    </w:rPr>
                  </w:pPr>
                  <w:r>
                    <w:rPr>
                      <w:kern w:val="0"/>
                      <w:szCs w:val="21"/>
                    </w:rPr>
                    <w:t>3</w:t>
                  </w:r>
                </w:p>
              </w:tc>
              <w:tc>
                <w:tcPr>
                  <w:tcW w:w="1937" w:type="dxa"/>
                  <w:noWrap w:val="0"/>
                  <w:vAlign w:val="center"/>
                </w:tcPr>
                <w:p>
                  <w:pPr>
                    <w:widowControl/>
                    <w:spacing w:line="240" w:lineRule="exact"/>
                    <w:jc w:val="center"/>
                    <w:rPr>
                      <w:szCs w:val="21"/>
                    </w:rPr>
                  </w:pPr>
                  <w:r>
                    <w:rPr>
                      <w:szCs w:val="21"/>
                    </w:rPr>
                    <w:t>95#汽油</w:t>
                  </w:r>
                </w:p>
              </w:tc>
              <w:tc>
                <w:tcPr>
                  <w:tcW w:w="953" w:type="dxa"/>
                  <w:noWrap w:val="0"/>
                  <w:vAlign w:val="center"/>
                </w:tcPr>
                <w:p>
                  <w:pPr>
                    <w:widowControl/>
                    <w:spacing w:line="240" w:lineRule="exact"/>
                    <w:jc w:val="center"/>
                    <w:rPr>
                      <w:kern w:val="0"/>
                      <w:szCs w:val="21"/>
                    </w:rPr>
                  </w:pPr>
                  <w:r>
                    <w:rPr>
                      <w:kern w:val="0"/>
                      <w:szCs w:val="21"/>
                    </w:rPr>
                    <w:t>t</w:t>
                  </w:r>
                </w:p>
              </w:tc>
              <w:tc>
                <w:tcPr>
                  <w:tcW w:w="998" w:type="dxa"/>
                  <w:noWrap w:val="0"/>
                  <w:vAlign w:val="center"/>
                </w:tcPr>
                <w:p>
                  <w:pPr>
                    <w:widowControl/>
                    <w:spacing w:line="240" w:lineRule="exact"/>
                    <w:jc w:val="center"/>
                    <w:rPr>
                      <w:rFonts w:hint="eastAsia"/>
                      <w:kern w:val="0"/>
                      <w:szCs w:val="21"/>
                    </w:rPr>
                  </w:pPr>
                  <w:r>
                    <w:rPr>
                      <w:rFonts w:hint="eastAsia" w:eastAsia="等线"/>
                      <w:szCs w:val="21"/>
                    </w:rPr>
                    <w:t>596.97</w:t>
                  </w:r>
                </w:p>
              </w:tc>
              <w:tc>
                <w:tcPr>
                  <w:tcW w:w="1300" w:type="dxa"/>
                  <w:noWrap w:val="0"/>
                  <w:vAlign w:val="center"/>
                </w:tcPr>
                <w:p>
                  <w:pPr>
                    <w:widowControl/>
                    <w:spacing w:line="240" w:lineRule="exact"/>
                    <w:jc w:val="center"/>
                    <w:rPr>
                      <w:kern w:val="0"/>
                      <w:szCs w:val="21"/>
                    </w:rPr>
                  </w:pPr>
                  <w:r>
                    <w:rPr>
                      <w:rFonts w:hint="eastAsia"/>
                      <w:kern w:val="0"/>
                      <w:szCs w:val="21"/>
                    </w:rPr>
                    <w:t>19.90</w:t>
                  </w:r>
                </w:p>
              </w:tc>
              <w:tc>
                <w:tcPr>
                  <w:tcW w:w="2493" w:type="dxa"/>
                  <w:vMerge w:val="continue"/>
                  <w:noWrap w:val="0"/>
                  <w:vAlign w:val="center"/>
                </w:tcPr>
                <w:p>
                  <w:pPr>
                    <w:widowControl/>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pPr>
                    <w:widowControl/>
                    <w:spacing w:line="240" w:lineRule="exact"/>
                    <w:jc w:val="center"/>
                    <w:rPr>
                      <w:kern w:val="0"/>
                      <w:szCs w:val="21"/>
                    </w:rPr>
                  </w:pPr>
                  <w:r>
                    <w:rPr>
                      <w:kern w:val="0"/>
                      <w:szCs w:val="21"/>
                    </w:rPr>
                    <w:t>4</w:t>
                  </w:r>
                </w:p>
              </w:tc>
              <w:tc>
                <w:tcPr>
                  <w:tcW w:w="1937" w:type="dxa"/>
                  <w:noWrap w:val="0"/>
                  <w:vAlign w:val="center"/>
                </w:tcPr>
                <w:p>
                  <w:pPr>
                    <w:widowControl/>
                    <w:spacing w:line="240" w:lineRule="exact"/>
                    <w:jc w:val="center"/>
                    <w:rPr>
                      <w:szCs w:val="21"/>
                    </w:rPr>
                  </w:pPr>
                  <w:r>
                    <w:rPr>
                      <w:szCs w:val="21"/>
                    </w:rPr>
                    <w:t>液化天然气</w:t>
                  </w:r>
                </w:p>
              </w:tc>
              <w:tc>
                <w:tcPr>
                  <w:tcW w:w="953" w:type="dxa"/>
                  <w:noWrap w:val="0"/>
                  <w:vAlign w:val="center"/>
                </w:tcPr>
                <w:p>
                  <w:pPr>
                    <w:widowControl/>
                    <w:spacing w:line="240" w:lineRule="exact"/>
                    <w:jc w:val="center"/>
                    <w:rPr>
                      <w:kern w:val="0"/>
                      <w:szCs w:val="21"/>
                    </w:rPr>
                  </w:pPr>
                  <w:r>
                    <w:rPr>
                      <w:kern w:val="0"/>
                      <w:szCs w:val="21"/>
                    </w:rPr>
                    <w:t>t</w:t>
                  </w:r>
                </w:p>
              </w:tc>
              <w:tc>
                <w:tcPr>
                  <w:tcW w:w="998" w:type="dxa"/>
                  <w:noWrap w:val="0"/>
                  <w:vAlign w:val="center"/>
                </w:tcPr>
                <w:p>
                  <w:pPr>
                    <w:widowControl/>
                    <w:spacing w:line="240" w:lineRule="exact"/>
                    <w:jc w:val="center"/>
                    <w:rPr>
                      <w:kern w:val="0"/>
                      <w:szCs w:val="21"/>
                    </w:rPr>
                  </w:pPr>
                  <w:r>
                    <w:rPr>
                      <w:rFonts w:hint="eastAsia" w:eastAsia="等线"/>
                      <w:szCs w:val="21"/>
                    </w:rPr>
                    <w:t>1310.49</w:t>
                  </w:r>
                </w:p>
              </w:tc>
              <w:tc>
                <w:tcPr>
                  <w:tcW w:w="1300" w:type="dxa"/>
                  <w:noWrap w:val="0"/>
                  <w:vAlign w:val="center"/>
                </w:tcPr>
                <w:p>
                  <w:pPr>
                    <w:widowControl/>
                    <w:spacing w:line="240" w:lineRule="exact"/>
                    <w:jc w:val="center"/>
                    <w:rPr>
                      <w:kern w:val="0"/>
                      <w:szCs w:val="21"/>
                    </w:rPr>
                  </w:pPr>
                  <w:r>
                    <w:rPr>
                      <w:rFonts w:hint="eastAsia"/>
                      <w:kern w:val="0"/>
                      <w:szCs w:val="21"/>
                    </w:rPr>
                    <w:t>25.20</w:t>
                  </w:r>
                </w:p>
              </w:tc>
              <w:tc>
                <w:tcPr>
                  <w:tcW w:w="2493" w:type="dxa"/>
                  <w:vMerge w:val="continue"/>
                  <w:noWrap w:val="0"/>
                  <w:vAlign w:val="center"/>
                </w:tcPr>
                <w:p>
                  <w:pPr>
                    <w:widowControl/>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5" w:type="dxa"/>
                  <w:gridSpan w:val="6"/>
                  <w:noWrap w:val="0"/>
                  <w:vAlign w:val="center"/>
                </w:tcPr>
                <w:p>
                  <w:pPr>
                    <w:widowControl/>
                    <w:spacing w:line="240" w:lineRule="exact"/>
                    <w:jc w:val="center"/>
                    <w:rPr>
                      <w:kern w:val="0"/>
                      <w:szCs w:val="21"/>
                    </w:rPr>
                  </w:pPr>
                  <w:r>
                    <w:rPr>
                      <w:b/>
                      <w:bCs/>
                      <w:kern w:val="0"/>
                      <w:szCs w:val="21"/>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94" w:type="dxa"/>
                  <w:noWrap w:val="0"/>
                  <w:vAlign w:val="center"/>
                </w:tcPr>
                <w:p>
                  <w:pPr>
                    <w:widowControl/>
                    <w:spacing w:line="240" w:lineRule="exact"/>
                    <w:jc w:val="center"/>
                    <w:rPr>
                      <w:kern w:val="0"/>
                      <w:szCs w:val="21"/>
                    </w:rPr>
                  </w:pPr>
                  <w:r>
                    <w:rPr>
                      <w:kern w:val="0"/>
                      <w:szCs w:val="21"/>
                    </w:rPr>
                    <w:t>1</w:t>
                  </w:r>
                </w:p>
              </w:tc>
              <w:tc>
                <w:tcPr>
                  <w:tcW w:w="1937" w:type="dxa"/>
                  <w:noWrap w:val="0"/>
                  <w:vAlign w:val="center"/>
                </w:tcPr>
                <w:p>
                  <w:pPr>
                    <w:widowControl/>
                    <w:spacing w:line="240" w:lineRule="exact"/>
                    <w:jc w:val="center"/>
                    <w:rPr>
                      <w:kern w:val="0"/>
                      <w:szCs w:val="21"/>
                    </w:rPr>
                  </w:pPr>
                  <w:r>
                    <w:rPr>
                      <w:kern w:val="0"/>
                      <w:szCs w:val="21"/>
                    </w:rPr>
                    <w:t>生活用水</w:t>
                  </w:r>
                </w:p>
              </w:tc>
              <w:tc>
                <w:tcPr>
                  <w:tcW w:w="953" w:type="dxa"/>
                  <w:noWrap w:val="0"/>
                  <w:vAlign w:val="center"/>
                </w:tcPr>
                <w:p>
                  <w:pPr>
                    <w:widowControl/>
                    <w:spacing w:line="240" w:lineRule="exact"/>
                    <w:jc w:val="center"/>
                    <w:rPr>
                      <w:kern w:val="0"/>
                      <w:szCs w:val="21"/>
                    </w:rPr>
                  </w:pPr>
                  <w:r>
                    <w:rPr>
                      <w:kern w:val="0"/>
                      <w:szCs w:val="21"/>
                    </w:rPr>
                    <w:t>m</w:t>
                  </w:r>
                  <w:r>
                    <w:rPr>
                      <w:kern w:val="0"/>
                      <w:szCs w:val="21"/>
                      <w:vertAlign w:val="superscript"/>
                    </w:rPr>
                    <w:t>3</w:t>
                  </w:r>
                </w:p>
              </w:tc>
              <w:tc>
                <w:tcPr>
                  <w:tcW w:w="998" w:type="dxa"/>
                  <w:noWrap w:val="0"/>
                  <w:vAlign w:val="center"/>
                </w:tcPr>
                <w:p>
                  <w:pPr>
                    <w:widowControl/>
                    <w:spacing w:line="240" w:lineRule="exact"/>
                    <w:jc w:val="center"/>
                    <w:rPr>
                      <w:kern w:val="0"/>
                      <w:szCs w:val="21"/>
                    </w:rPr>
                  </w:pPr>
                  <w:r>
                    <w:rPr>
                      <w:kern w:val="0"/>
                      <w:szCs w:val="21"/>
                    </w:rPr>
                    <w:t>438</w:t>
                  </w:r>
                </w:p>
              </w:tc>
              <w:tc>
                <w:tcPr>
                  <w:tcW w:w="1300" w:type="dxa"/>
                  <w:noWrap w:val="0"/>
                  <w:vAlign w:val="center"/>
                </w:tcPr>
                <w:p>
                  <w:pPr>
                    <w:widowControl/>
                    <w:spacing w:line="240" w:lineRule="exact"/>
                    <w:jc w:val="center"/>
                    <w:rPr>
                      <w:kern w:val="0"/>
                      <w:szCs w:val="21"/>
                    </w:rPr>
                  </w:pPr>
                  <w:r>
                    <w:rPr>
                      <w:kern w:val="0"/>
                      <w:szCs w:val="21"/>
                    </w:rPr>
                    <w:t>/</w:t>
                  </w:r>
                </w:p>
              </w:tc>
              <w:tc>
                <w:tcPr>
                  <w:tcW w:w="2493" w:type="dxa"/>
                  <w:noWrap w:val="0"/>
                  <w:vAlign w:val="center"/>
                </w:tcPr>
                <w:p>
                  <w:pPr>
                    <w:widowControl/>
                    <w:spacing w:line="240" w:lineRule="exact"/>
                    <w:jc w:val="center"/>
                    <w:rPr>
                      <w:kern w:val="0"/>
                      <w:szCs w:val="21"/>
                    </w:rPr>
                  </w:pPr>
                  <w:r>
                    <w:rPr>
                      <w:kern w:val="0"/>
                      <w:szCs w:val="21"/>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pPr>
                    <w:widowControl/>
                    <w:spacing w:line="240" w:lineRule="exact"/>
                    <w:jc w:val="center"/>
                    <w:rPr>
                      <w:kern w:val="0"/>
                      <w:szCs w:val="21"/>
                    </w:rPr>
                  </w:pPr>
                  <w:r>
                    <w:rPr>
                      <w:kern w:val="0"/>
                      <w:szCs w:val="21"/>
                    </w:rPr>
                    <w:t>2</w:t>
                  </w:r>
                </w:p>
              </w:tc>
              <w:tc>
                <w:tcPr>
                  <w:tcW w:w="1937" w:type="dxa"/>
                  <w:noWrap w:val="0"/>
                  <w:vAlign w:val="center"/>
                </w:tcPr>
                <w:p>
                  <w:pPr>
                    <w:widowControl/>
                    <w:spacing w:line="240" w:lineRule="exact"/>
                    <w:jc w:val="center"/>
                    <w:rPr>
                      <w:kern w:val="0"/>
                      <w:szCs w:val="21"/>
                    </w:rPr>
                  </w:pPr>
                  <w:r>
                    <w:rPr>
                      <w:kern w:val="0"/>
                      <w:szCs w:val="21"/>
                    </w:rPr>
                    <w:t>电</w:t>
                  </w:r>
                </w:p>
              </w:tc>
              <w:tc>
                <w:tcPr>
                  <w:tcW w:w="953" w:type="dxa"/>
                  <w:noWrap w:val="0"/>
                  <w:vAlign w:val="center"/>
                </w:tcPr>
                <w:p>
                  <w:pPr>
                    <w:widowControl/>
                    <w:spacing w:line="240" w:lineRule="exact"/>
                    <w:jc w:val="center"/>
                    <w:rPr>
                      <w:kern w:val="0"/>
                      <w:szCs w:val="21"/>
                    </w:rPr>
                  </w:pPr>
                  <w:r>
                    <w:rPr>
                      <w:szCs w:val="21"/>
                    </w:rPr>
                    <w:t>kW·h</w:t>
                  </w:r>
                </w:p>
              </w:tc>
              <w:tc>
                <w:tcPr>
                  <w:tcW w:w="998" w:type="dxa"/>
                  <w:noWrap w:val="0"/>
                  <w:vAlign w:val="center"/>
                </w:tcPr>
                <w:p>
                  <w:pPr>
                    <w:widowControl/>
                    <w:spacing w:line="240" w:lineRule="exact"/>
                    <w:jc w:val="center"/>
                    <w:rPr>
                      <w:kern w:val="0"/>
                      <w:szCs w:val="21"/>
                    </w:rPr>
                  </w:pPr>
                  <w:r>
                    <w:rPr>
                      <w:kern w:val="0"/>
                      <w:szCs w:val="21"/>
                    </w:rPr>
                    <w:t>30000</w:t>
                  </w:r>
                </w:p>
              </w:tc>
              <w:tc>
                <w:tcPr>
                  <w:tcW w:w="1300" w:type="dxa"/>
                  <w:noWrap w:val="0"/>
                  <w:vAlign w:val="center"/>
                </w:tcPr>
                <w:p>
                  <w:pPr>
                    <w:widowControl/>
                    <w:spacing w:line="240" w:lineRule="exact"/>
                    <w:jc w:val="center"/>
                    <w:rPr>
                      <w:kern w:val="0"/>
                      <w:szCs w:val="21"/>
                    </w:rPr>
                  </w:pPr>
                  <w:r>
                    <w:rPr>
                      <w:kern w:val="0"/>
                      <w:szCs w:val="21"/>
                    </w:rPr>
                    <w:t>/</w:t>
                  </w:r>
                </w:p>
              </w:tc>
              <w:tc>
                <w:tcPr>
                  <w:tcW w:w="2493" w:type="dxa"/>
                  <w:noWrap w:val="0"/>
                  <w:vAlign w:val="center"/>
                </w:tcPr>
                <w:p>
                  <w:pPr>
                    <w:widowControl/>
                    <w:spacing w:line="240" w:lineRule="exact"/>
                    <w:jc w:val="center"/>
                    <w:rPr>
                      <w:kern w:val="0"/>
                      <w:szCs w:val="21"/>
                    </w:rPr>
                  </w:pPr>
                  <w:r>
                    <w:rPr>
                      <w:kern w:val="0"/>
                      <w:szCs w:val="21"/>
                    </w:rPr>
                    <w:t>市政电网</w:t>
                  </w:r>
                </w:p>
              </w:tc>
            </w:tr>
          </w:tbl>
          <w:p>
            <w:pPr>
              <w:pStyle w:val="647"/>
              <w:ind w:firstLine="482"/>
              <w:rPr>
                <w:b/>
                <w:bCs/>
              </w:rPr>
            </w:pPr>
            <w:r>
              <w:rPr>
                <w:b/>
                <w:bCs/>
              </w:rPr>
              <w:t>原辅料性质简介</w:t>
            </w:r>
            <w:r>
              <w:rPr>
                <w:rFonts w:hint="eastAsia"/>
                <w:b/>
                <w:bCs/>
              </w:rPr>
              <w:t>：</w:t>
            </w:r>
          </w:p>
          <w:p>
            <w:pPr>
              <w:pStyle w:val="647"/>
              <w:ind w:firstLine="480"/>
            </w:pPr>
            <w:r>
              <w:t>1</w:t>
            </w:r>
            <w:r>
              <w:rPr>
                <w:rFonts w:hint="eastAsia"/>
              </w:rPr>
              <w:t>）</w:t>
            </w:r>
            <w:r>
              <w:t>汽油</w:t>
            </w:r>
          </w:p>
          <w:p>
            <w:pPr>
              <w:pStyle w:val="647"/>
              <w:ind w:firstLine="480"/>
            </w:pPr>
            <w:r>
              <w:fldChar w:fldCharType="begin"/>
            </w:r>
            <w:r>
              <w:instrText xml:space="preserve"> HYPERLINK "http://baike.baidu.com/view/755429.htm" </w:instrText>
            </w:r>
            <w:r>
              <w:fldChar w:fldCharType="separate"/>
            </w:r>
            <w:r>
              <w:t>汽油为油品</w:t>
            </w:r>
            <w:r>
              <w:fldChar w:fldCharType="end"/>
            </w:r>
            <w:r>
              <w:t>的一大类，为无色到浅黄色的透明液体，是四碳至十二碳复杂烃 类的</w:t>
            </w:r>
            <w:r>
              <w:fldChar w:fldCharType="begin"/>
            </w:r>
            <w:r>
              <w:instrText xml:space="preserve"> HYPERLINK "http://baike.baidu.com/view/62511.htm" </w:instrText>
            </w:r>
            <w:r>
              <w:fldChar w:fldCharType="separate"/>
            </w:r>
            <w:r>
              <w:t>混合物</w:t>
            </w:r>
            <w:r>
              <w:fldChar w:fldCharType="end"/>
            </w:r>
            <w:r>
              <w:t>，虽然为无色至淡黄色的易流动液体，但很难溶解于水，易燃，馏程 为 30℃至205℃ ，空气中含量为74~123g/m</w:t>
            </w:r>
            <w:r>
              <w:rPr>
                <w:vertAlign w:val="superscript"/>
              </w:rPr>
              <w:t>3</w:t>
            </w:r>
            <w:r>
              <w:t>时遇</w:t>
            </w:r>
            <w:r>
              <w:fldChar w:fldCharType="begin"/>
            </w:r>
            <w:r>
              <w:instrText xml:space="preserve"> HYPERLINK "http://baike.baidu.com/view/63146.htm" </w:instrText>
            </w:r>
            <w:r>
              <w:fldChar w:fldCharType="separate"/>
            </w:r>
            <w:r>
              <w:t>火爆炸</w:t>
            </w:r>
            <w:r>
              <w:fldChar w:fldCharType="end"/>
            </w:r>
            <w:r>
              <w:t>，乙醇汽油含10%乙醇</w:t>
            </w:r>
            <w:r>
              <w:rPr>
                <w:rFonts w:hint="eastAsia"/>
              </w:rPr>
              <w:t>，</w:t>
            </w:r>
            <w:r>
              <w:t xml:space="preserve"> 其余为汽油。汽油的</w:t>
            </w:r>
            <w:r>
              <w:fldChar w:fldCharType="begin"/>
            </w:r>
            <w:r>
              <w:instrText xml:space="preserve"> HYPERLINK "http://baike.baidu.com/view/407573.htm" </w:instrText>
            </w:r>
            <w:r>
              <w:fldChar w:fldCharType="separate"/>
            </w:r>
            <w:r>
              <w:t>热值</w:t>
            </w:r>
            <w:r>
              <w:fldChar w:fldCharType="end"/>
            </w:r>
            <w:r>
              <w:t>约为44000kJ/kg。燃料的热值是指1kg燃料完全燃烧后所产生的热量。汽油最重要的性能为蒸发性、抗爆性、安定性和腐蚀性。依据《车 用无铅汽油》</w:t>
            </w:r>
            <w:r>
              <w:rPr>
                <w:rFonts w:hint="eastAsia"/>
              </w:rPr>
              <w:t>（</w:t>
            </w:r>
            <w:r>
              <w:t>GB17930</w:t>
            </w:r>
            <w:r>
              <w:rPr>
                <w:rFonts w:hint="eastAsia"/>
              </w:rPr>
              <w:t>）</w:t>
            </w:r>
            <w:r>
              <w:t>生产的车用无铅汽油，按辛烷值的高低分为89号、90 号、92号、93号、95号、97号、98号等牌号，2012年1月起，汽油牌号90号、93号、97号修改为89号、92号、95号。相对密度</w:t>
            </w:r>
            <w:r>
              <w:rPr>
                <w:rFonts w:hint="eastAsia"/>
              </w:rPr>
              <w:t>（</w:t>
            </w:r>
            <w:r>
              <w:t>水=1</w:t>
            </w:r>
            <w:r>
              <w:rPr>
                <w:rFonts w:hint="eastAsia"/>
              </w:rPr>
              <w:t>）</w:t>
            </w:r>
            <w:r>
              <w:t>0.70~0.80，相对蒸气密度</w:t>
            </w:r>
            <w:r>
              <w:rPr>
                <w:rFonts w:hint="eastAsia"/>
              </w:rPr>
              <w:t>（</w:t>
            </w:r>
            <w:r>
              <w:t>空气=1</w:t>
            </w:r>
            <w:r>
              <w:rPr>
                <w:rFonts w:hint="eastAsia"/>
              </w:rPr>
              <w:t>）</w:t>
            </w:r>
            <w:r>
              <w:t>3~4</w:t>
            </w:r>
            <w:r>
              <w:rPr>
                <w:rFonts w:hint="eastAsia"/>
              </w:rPr>
              <w:t>，</w:t>
            </w:r>
            <w:r>
              <w:t>闪点-46℃，爆炸极限1.4~7.6%</w:t>
            </w:r>
            <w:r>
              <w:rPr>
                <w:rFonts w:hint="eastAsia"/>
              </w:rPr>
              <w:t>（</w:t>
            </w:r>
            <w:r>
              <w:t>体积比</w:t>
            </w:r>
            <w:r>
              <w:rPr>
                <w:rFonts w:hint="eastAsia"/>
              </w:rPr>
              <w:t>）</w:t>
            </w:r>
            <w:r>
              <w:t>，自燃温度 415~530℃</w:t>
            </w:r>
            <w:r>
              <w:rPr>
                <w:rFonts w:hint="eastAsia"/>
              </w:rPr>
              <w:t>，</w:t>
            </w:r>
            <w:r>
              <w:t xml:space="preserve">最大爆炸压力0.813MPa。 </w:t>
            </w:r>
            <w:r>
              <w:rPr>
                <w:rFonts w:hint="eastAsia"/>
              </w:rPr>
              <w:t>89</w:t>
            </w:r>
            <w:r>
              <w:t>#汽油的平均密度为0.72g/mL；9</w:t>
            </w:r>
            <w:r>
              <w:rPr>
                <w:rFonts w:hint="eastAsia"/>
              </w:rPr>
              <w:t>2</w:t>
            </w:r>
            <w:r>
              <w:t>#汽油的密度为0.725g/mL；9</w:t>
            </w:r>
            <w:r>
              <w:rPr>
                <w:rFonts w:hint="eastAsia"/>
              </w:rPr>
              <w:t>5</w:t>
            </w:r>
            <w:r>
              <w:t>#汽油的密度为0.737g/mL。本项目销售的为92#、95#汽油。</w:t>
            </w:r>
          </w:p>
          <w:p>
            <w:pPr>
              <w:pStyle w:val="647"/>
              <w:ind w:firstLine="480"/>
              <w:rPr>
                <w:rFonts w:hint="eastAsia"/>
              </w:rPr>
            </w:pPr>
            <w:r>
              <w:t>毒性：属低毒类；急性毒性：LD5067000mg/kg</w:t>
            </w:r>
            <w:r>
              <w:rPr>
                <w:rFonts w:hint="eastAsia"/>
              </w:rPr>
              <w:t>（</w:t>
            </w:r>
            <w:r>
              <w:t>小鼠经口</w:t>
            </w:r>
            <w:r>
              <w:rPr>
                <w:rFonts w:hint="eastAsia"/>
              </w:rPr>
              <w:t>）</w:t>
            </w:r>
            <w:r>
              <w:t>；LC50103000mg/m</w:t>
            </w:r>
            <w:r>
              <w:rPr>
                <w:vertAlign w:val="superscript"/>
              </w:rPr>
              <w:t>3</w:t>
            </w:r>
            <w:r>
              <w:t xml:space="preserve">， 2h </w:t>
            </w:r>
            <w:r>
              <w:rPr>
                <w:rFonts w:hint="eastAsia"/>
              </w:rPr>
              <w:t>（</w:t>
            </w:r>
            <w:r>
              <w:t>小鼠吸入</w:t>
            </w:r>
            <w:r>
              <w:rPr>
                <w:rFonts w:hint="eastAsia"/>
              </w:rPr>
              <w:t>）。</w:t>
            </w:r>
            <w:r>
              <w:t xml:space="preserve">刺激性：人经眼：140ppm </w:t>
            </w:r>
            <w:r>
              <w:rPr>
                <w:rFonts w:hint="eastAsia"/>
              </w:rPr>
              <w:t>（</w:t>
            </w:r>
            <w:r>
              <w:t>8h</w:t>
            </w:r>
            <w:r>
              <w:rPr>
                <w:rFonts w:hint="eastAsia"/>
              </w:rPr>
              <w:t>）</w:t>
            </w:r>
            <w:r>
              <w:t>，轻度刺激；亚急性和慢性毒性：大鼠吸入3g/m</w:t>
            </w:r>
            <w:r>
              <w:rPr>
                <w:vertAlign w:val="superscript"/>
              </w:rPr>
              <w:t>3</w:t>
            </w:r>
            <w:r>
              <w:t xml:space="preserve">，12-24h/d，78d </w:t>
            </w:r>
            <w:r>
              <w:rPr>
                <w:rFonts w:hint="eastAsia"/>
              </w:rPr>
              <w:t>（</w:t>
            </w:r>
            <w:r>
              <w:t>120#溶剂汽油</w:t>
            </w:r>
            <w:r>
              <w:rPr>
                <w:rFonts w:hint="eastAsia"/>
              </w:rPr>
              <w:t>）</w:t>
            </w:r>
            <w:r>
              <w:t>，未见中毒症状；大鼠吸入2500mg/m</w:t>
            </w:r>
            <w:r>
              <w:rPr>
                <w:vertAlign w:val="superscript"/>
              </w:rPr>
              <w:t>3</w:t>
            </w:r>
            <w:r>
              <w:t xml:space="preserve">，130#催化裂解汽油，4h/d ，6d/周，8周，体力活动能力降低，神经系统发生机能性改变；危险特性：极易燃烧。其蒸气与空气可形成爆炸性混合物。遇明火、高热极易燃烧爆炸。与氧化剂能发生强烈反应。其蒸气比空气重，能在较低处扩散到相当远的地方，遇明火会引着回燃。燃烧 </w:t>
            </w:r>
            <w:r>
              <w:rPr>
                <w:rFonts w:hint="eastAsia"/>
              </w:rPr>
              <w:t>（</w:t>
            </w:r>
            <w:r>
              <w:t>分解</w:t>
            </w:r>
            <w:r>
              <w:rPr>
                <w:rFonts w:hint="eastAsia"/>
              </w:rPr>
              <w:t>）</w:t>
            </w:r>
            <w:r>
              <w:t>产物：一氧化碳、二氧化碳。</w:t>
            </w:r>
          </w:p>
          <w:p>
            <w:pPr>
              <w:pStyle w:val="647"/>
              <w:ind w:firstLine="480"/>
            </w:pPr>
            <w:r>
              <w:t>2</w:t>
            </w:r>
            <w:r>
              <w:rPr>
                <w:rFonts w:hint="eastAsia"/>
              </w:rPr>
              <w:t>）</w:t>
            </w:r>
            <w:r>
              <w:t>柴油</w:t>
            </w:r>
          </w:p>
          <w:p>
            <w:pPr>
              <w:pStyle w:val="647"/>
              <w:ind w:firstLine="480"/>
            </w:pPr>
            <w:r>
              <w:t>柴油为无色到浅黄色的透明液体，主要是由</w:t>
            </w:r>
            <w:r>
              <w:fldChar w:fldCharType="begin"/>
            </w:r>
            <w:r>
              <w:instrText xml:space="preserve"> HYPERLINK "http://zhidao.baidu.com/search?word=%E7%83%B7%E7%83%83&amp;fr=qb_search_exp&amp;ie=utf8" </w:instrText>
            </w:r>
            <w:r>
              <w:fldChar w:fldCharType="separate"/>
            </w:r>
            <w:r>
              <w:t>烷烃</w:t>
            </w:r>
            <w:r>
              <w:fldChar w:fldCharType="end"/>
            </w:r>
            <w:r>
              <w:t>、</w:t>
            </w:r>
            <w:r>
              <w:fldChar w:fldCharType="begin"/>
            </w:r>
            <w:r>
              <w:instrText xml:space="preserve"> HYPERLINK "http://zhidao.baidu.com/search?word=%E7%83%AF%E7%83%83&amp;fr=qb_search_exp&amp;ie=utf8" </w:instrText>
            </w:r>
            <w:r>
              <w:fldChar w:fldCharType="separate"/>
            </w:r>
            <w:r>
              <w:t>烯烃</w:t>
            </w:r>
            <w:r>
              <w:fldChar w:fldCharType="end"/>
            </w:r>
            <w:r>
              <w:t>、</w:t>
            </w:r>
            <w:r>
              <w:fldChar w:fldCharType="begin"/>
            </w:r>
            <w:r>
              <w:instrText xml:space="preserve"> HYPERLINK "http://zhidao.baidu.com/search?word=%E7%8E%AF%E7%83%B7%E7%83%83&amp;fr=qb_search_exp&amp;ie=utf8" </w:instrText>
            </w:r>
            <w:r>
              <w:fldChar w:fldCharType="separate"/>
            </w:r>
            <w:r>
              <w:t>环烷烃</w:t>
            </w:r>
            <w:r>
              <w:fldChar w:fldCharType="end"/>
            </w:r>
            <w:r>
              <w:t>、</w:t>
            </w:r>
            <w:r>
              <w:fldChar w:fldCharType="begin"/>
            </w:r>
            <w:r>
              <w:instrText xml:space="preserve"> HYPERLINK "http://zhidao.baidu.com/search?word=%E8%8A%B3%E9%A6%99%E7%83%83&amp;fr=qb_search_exp&amp;ie=utf8" </w:instrText>
            </w:r>
            <w:r>
              <w:fldChar w:fldCharType="separate"/>
            </w:r>
            <w:r>
              <w:t>芳香烃</w:t>
            </w:r>
            <w:r>
              <w:fldChar w:fldCharType="end"/>
            </w:r>
            <w:r>
              <w:t>、多环芳烃与少量硫</w:t>
            </w:r>
            <w:r>
              <w:rPr>
                <w:rFonts w:hint="eastAsia"/>
              </w:rPr>
              <w:t>（</w:t>
            </w:r>
            <w:r>
              <w:t>2~60g/kg</w:t>
            </w:r>
            <w:r>
              <w:rPr>
                <w:rFonts w:hint="eastAsia"/>
              </w:rPr>
              <w:t>）</w:t>
            </w:r>
            <w:r>
              <w:t>、氮</w:t>
            </w:r>
            <w:r>
              <w:rPr>
                <w:rFonts w:hint="eastAsia"/>
              </w:rPr>
              <w:t>（</w:t>
            </w:r>
            <w:r>
              <w:t>&lt;1g/kg</w:t>
            </w:r>
            <w:r>
              <w:rPr>
                <w:rFonts w:hint="eastAsia"/>
              </w:rPr>
              <w:t>）</w:t>
            </w:r>
            <w:r>
              <w:t>及添加剂组成的混合物。化学和物理特性位于汽油</w:t>
            </w:r>
            <w:r>
              <w:fldChar w:fldCharType="begin"/>
            </w:r>
            <w:r>
              <w:instrText xml:space="preserve"> HYPERLINK "http://baike.baidu.com/view/196390.htm" </w:instrText>
            </w:r>
            <w:r>
              <w:fldChar w:fldCharType="separate"/>
            </w:r>
            <w:r>
              <w:t>和重油</w:t>
            </w:r>
            <w:r>
              <w:fldChar w:fldCharType="end"/>
            </w:r>
            <w:r>
              <w:t>之间，沸点在170℃至390℃间，比重为 0.82~0.845kg/L ，热值为3.3×10</w:t>
            </w:r>
            <w:r>
              <w:rPr>
                <w:vertAlign w:val="superscript"/>
              </w:rPr>
              <w:t>7</w:t>
            </w:r>
            <w:r>
              <w:t>J/L。目前国内应用的轻柴油按凝固点分为6个牌号：5#柴油、0#柴油、-10#柴油、-20#柴油、-35#柴油和-50#柴油。0#柴油为白色或淡黄色液体，</w:t>
            </w:r>
            <w:r>
              <w:fldChar w:fldCharType="begin"/>
            </w:r>
            <w:r>
              <w:instrText xml:space="preserve"> HYPERLINK "http://zhidao.baidu.com/search?word=%E7%9B%B8%E5%AF%B9%E5%AF%86%E5%BA%A6&amp;fr=qb_search_exp&amp;ie=utf8" </w:instrText>
            </w:r>
            <w:r>
              <w:fldChar w:fldCharType="separate"/>
            </w:r>
            <w:r>
              <w:t>相</w:t>
            </w:r>
            <w:r>
              <w:fldChar w:fldCharType="end"/>
            </w:r>
            <w:r>
              <w:t>对密度0.85 ，熔点-29.56℃ ，沸点180~370℃ ，</w:t>
            </w:r>
            <w:r>
              <w:fldChar w:fldCharType="begin"/>
            </w:r>
            <w:r>
              <w:instrText xml:space="preserve"> HYPERLINK "http://zhidao.baidu.com/search?word=%E9%97%AA%E7%82%B9&amp;fr=qb_search_exp&amp;ie=utf8" </w:instrText>
            </w:r>
            <w:r>
              <w:fldChar w:fldCharType="separate"/>
            </w:r>
            <w:r>
              <w:t>闪点</w:t>
            </w:r>
            <w:r>
              <w:fldChar w:fldCharType="end"/>
            </w:r>
            <w:r>
              <w:t>40℃ ，蒸气密度4，蒸气压4.0kPa，蒸气与空气混合物可燃限0.7~5.0%，不溶于水，遇热、火花、明火易燃，可蓄积静电，引起</w:t>
            </w:r>
            <w:r>
              <w:fldChar w:fldCharType="begin"/>
            </w:r>
            <w:r>
              <w:instrText xml:space="preserve"> HYPERLINK "http://zhidao.baidu.com/search?word=%E7%94%B5%E7%81%AB%E8%8A%B1&amp;fr=qb_search_exp&amp;ie=utf8" </w:instrText>
            </w:r>
            <w:r>
              <w:fldChar w:fldCharType="separate"/>
            </w:r>
            <w:r>
              <w:t>电火花</w:t>
            </w:r>
            <w:r>
              <w:fldChar w:fldCharType="end"/>
            </w:r>
            <w:r>
              <w:t>。分解和燃烧产物为一氧化碳、二氧化碳和硫氧化物，避免接触氧化剂。本项目销售的柴油为 0#柴油。</w:t>
            </w:r>
          </w:p>
          <w:p>
            <w:pPr>
              <w:pStyle w:val="647"/>
              <w:ind w:firstLine="480"/>
              <w:rPr>
                <w:rFonts w:hint="eastAsia"/>
              </w:rPr>
            </w:pPr>
            <w:r>
              <w:t>柴油的毒性类似于煤油，但由于添加剂</w:t>
            </w:r>
            <w:r>
              <w:rPr>
                <w:rFonts w:hint="eastAsia"/>
              </w:rPr>
              <w:t>（</w:t>
            </w:r>
            <w:r>
              <w:t>如硫化酯类</w:t>
            </w:r>
            <w:r>
              <w:rPr>
                <w:rFonts w:hint="eastAsia"/>
              </w:rPr>
              <w:t>）</w:t>
            </w:r>
            <w:r>
              <w:t>的影响，毒性可能比煤油略大。主要有麻醉和刺激作用。毒性健康影响：柴油为高沸点成份，故使用时由于蒸汽所致的毒性机会较小。柴油废气中含有氮氧化物、一氧化碳、二氧化碳、醛类和不完全燃烧时的大量黑烟。黑烟中有未经燃烧的油雾、碳粒，一些高沸点的杂环和芳烃物质，并有些致癌物如3.4-苯并芘。柴油对人体侵入途径：皮肤吸收为主、呼吸道吸入。柴油的雾滴吸入后可致吸入性肺炎。皮肤接触柴油可致接触性皮炎，多见于两手、腕部与前臂。</w:t>
            </w:r>
          </w:p>
          <w:p>
            <w:pPr>
              <w:pStyle w:val="647"/>
              <w:ind w:firstLine="480"/>
            </w:pPr>
            <w:r>
              <w:t>3</w:t>
            </w:r>
            <w:r>
              <w:rPr>
                <w:rFonts w:hint="eastAsia"/>
              </w:rPr>
              <w:t>）</w:t>
            </w:r>
            <w:r>
              <w:t>液化天然气</w:t>
            </w:r>
          </w:p>
          <w:p>
            <w:pPr>
              <w:pStyle w:val="647"/>
              <w:ind w:firstLine="480"/>
            </w:pPr>
            <w:r>
              <w:rPr>
                <w:rFonts w:hint="eastAsia"/>
              </w:rPr>
              <w:t>本项目液化天然气来源为中国石油天然气集团有限公司，其液化天然气组分见表2-</w:t>
            </w:r>
            <w:r>
              <w:t>5</w:t>
            </w:r>
            <w:r>
              <w:rPr>
                <w:rFonts w:hint="eastAsia"/>
              </w:rPr>
              <w:t>。</w:t>
            </w:r>
          </w:p>
          <w:p>
            <w:pPr>
              <w:keepNext/>
              <w:keepLines/>
              <w:contextualSpacing/>
              <w:jc w:val="center"/>
              <w:outlineLvl w:val="3"/>
              <w:rPr>
                <w:b/>
                <w:bCs/>
                <w:kern w:val="0"/>
                <w:szCs w:val="21"/>
              </w:rPr>
            </w:pPr>
          </w:p>
          <w:p>
            <w:pPr>
              <w:keepNext/>
              <w:keepLines/>
              <w:contextualSpacing/>
              <w:jc w:val="center"/>
              <w:outlineLvl w:val="3"/>
              <w:rPr>
                <w:b/>
                <w:bCs/>
                <w:kern w:val="0"/>
                <w:szCs w:val="21"/>
              </w:rPr>
            </w:pPr>
            <w:r>
              <w:rPr>
                <w:b/>
                <w:bCs/>
                <w:kern w:val="0"/>
                <w:szCs w:val="21"/>
              </w:rPr>
              <w:t>表</w:t>
            </w:r>
            <w:r>
              <w:rPr>
                <w:rFonts w:hint="eastAsia"/>
                <w:b/>
                <w:bCs/>
                <w:kern w:val="0"/>
                <w:szCs w:val="21"/>
              </w:rPr>
              <w:t>2-</w:t>
            </w:r>
            <w:r>
              <w:rPr>
                <w:b/>
                <w:bCs/>
                <w:kern w:val="0"/>
                <w:szCs w:val="21"/>
              </w:rPr>
              <w:t>5液化天然气组分表</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2093"/>
              <w:gridCol w:w="2094"/>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b/>
                      <w:bCs/>
                      <w:szCs w:val="21"/>
                      <w:shd w:val="clear" w:color="auto" w:fill="FFFFFF"/>
                    </w:rPr>
                  </w:pPr>
                  <w:r>
                    <w:rPr>
                      <w:b/>
                      <w:bCs/>
                      <w:szCs w:val="21"/>
                      <w:shd w:val="clear" w:color="auto" w:fill="FFFFFF"/>
                    </w:rPr>
                    <w:t>组分名称</w:t>
                  </w:r>
                </w:p>
              </w:tc>
              <w:tc>
                <w:tcPr>
                  <w:tcW w:w="2093" w:type="dxa"/>
                  <w:noWrap w:val="0"/>
                  <w:vAlign w:val="center"/>
                </w:tcPr>
                <w:p>
                  <w:pPr>
                    <w:jc w:val="center"/>
                    <w:rPr>
                      <w:rFonts w:hint="eastAsia"/>
                      <w:b/>
                      <w:bCs/>
                      <w:szCs w:val="21"/>
                      <w:shd w:val="clear" w:color="auto" w:fill="FFFFFF"/>
                    </w:rPr>
                  </w:pPr>
                  <w:r>
                    <w:rPr>
                      <w:b/>
                      <w:bCs/>
                      <w:szCs w:val="21"/>
                      <w:shd w:val="clear" w:color="auto" w:fill="FFFFFF"/>
                    </w:rPr>
                    <w:t>摩尔百分数</w:t>
                  </w:r>
                </w:p>
              </w:tc>
              <w:tc>
                <w:tcPr>
                  <w:tcW w:w="2094" w:type="dxa"/>
                  <w:noWrap w:val="0"/>
                  <w:vAlign w:val="center"/>
                </w:tcPr>
                <w:p>
                  <w:pPr>
                    <w:jc w:val="center"/>
                    <w:rPr>
                      <w:rFonts w:hint="eastAsia"/>
                      <w:b/>
                      <w:bCs/>
                      <w:szCs w:val="21"/>
                      <w:shd w:val="clear" w:color="auto" w:fill="FFFFFF"/>
                    </w:rPr>
                  </w:pPr>
                  <w:r>
                    <w:rPr>
                      <w:b/>
                      <w:bCs/>
                      <w:szCs w:val="21"/>
                      <w:shd w:val="clear" w:color="auto" w:fill="FFFFFF"/>
                    </w:rPr>
                    <w:t>组分名称</w:t>
                  </w:r>
                </w:p>
              </w:tc>
              <w:tc>
                <w:tcPr>
                  <w:tcW w:w="2094" w:type="dxa"/>
                  <w:noWrap w:val="0"/>
                  <w:vAlign w:val="center"/>
                </w:tcPr>
                <w:p>
                  <w:pPr>
                    <w:jc w:val="center"/>
                    <w:rPr>
                      <w:rFonts w:hint="eastAsia"/>
                      <w:b/>
                      <w:bCs/>
                      <w:szCs w:val="21"/>
                      <w:shd w:val="clear" w:color="auto" w:fill="FFFFFF"/>
                    </w:rPr>
                  </w:pPr>
                  <w:r>
                    <w:rPr>
                      <w:b/>
                      <w:bCs/>
                      <w:szCs w:val="21"/>
                      <w:shd w:val="clear" w:color="auto" w:fill="FFFFFF"/>
                    </w:rPr>
                    <w:t>摩尔百分数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szCs w:val="21"/>
                      <w:shd w:val="clear" w:color="auto" w:fill="FFFFFF"/>
                    </w:rPr>
                    <w:t>甲烷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97.9</w:t>
                  </w:r>
                </w:p>
              </w:tc>
              <w:tc>
                <w:tcPr>
                  <w:tcW w:w="2094" w:type="dxa"/>
                  <w:noWrap w:val="0"/>
                  <w:vAlign w:val="center"/>
                </w:tcPr>
                <w:p>
                  <w:pPr>
                    <w:jc w:val="center"/>
                    <w:rPr>
                      <w:rFonts w:hint="eastAsia"/>
                      <w:szCs w:val="21"/>
                      <w:shd w:val="clear" w:color="auto" w:fill="FFFFFF"/>
                    </w:rPr>
                  </w:pPr>
                  <w:r>
                    <w:rPr>
                      <w:szCs w:val="21"/>
                      <w:shd w:val="clear" w:color="auto" w:fill="FFFFFF"/>
                    </w:rPr>
                    <w:t>二氧化碳</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szCs w:val="21"/>
                      <w:shd w:val="clear" w:color="auto" w:fill="FFFFFF"/>
                    </w:rPr>
                    <w:t>乙烷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1.65</w:t>
                  </w:r>
                </w:p>
              </w:tc>
              <w:tc>
                <w:tcPr>
                  <w:tcW w:w="2094" w:type="dxa"/>
                  <w:noWrap w:val="0"/>
                  <w:vAlign w:val="center"/>
                </w:tcPr>
                <w:p>
                  <w:pPr>
                    <w:jc w:val="center"/>
                    <w:rPr>
                      <w:rFonts w:hint="eastAsia"/>
                      <w:szCs w:val="21"/>
                      <w:shd w:val="clear" w:color="auto" w:fill="FFFFFF"/>
                    </w:rPr>
                  </w:pPr>
                  <w:r>
                    <w:rPr>
                      <w:szCs w:val="21"/>
                      <w:shd w:val="clear" w:color="auto" w:fill="FFFFFF"/>
                    </w:rPr>
                    <w:t>氧+氩</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rFonts w:hint="eastAsia"/>
                      <w:szCs w:val="21"/>
                      <w:shd w:val="clear" w:color="auto" w:fill="FFFFFF"/>
                    </w:rPr>
                    <w:t>丙烷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0.146</w:t>
                  </w:r>
                </w:p>
              </w:tc>
              <w:tc>
                <w:tcPr>
                  <w:tcW w:w="2094" w:type="dxa"/>
                  <w:noWrap w:val="0"/>
                  <w:vAlign w:val="center"/>
                </w:tcPr>
                <w:p>
                  <w:pPr>
                    <w:jc w:val="center"/>
                    <w:rPr>
                      <w:rFonts w:hint="eastAsia"/>
                      <w:szCs w:val="21"/>
                      <w:shd w:val="clear" w:color="auto" w:fill="FFFFFF"/>
                    </w:rPr>
                  </w:pPr>
                  <w:r>
                    <w:rPr>
                      <w:szCs w:val="21"/>
                      <w:shd w:val="clear" w:color="auto" w:fill="FFFFFF"/>
                    </w:rPr>
                    <w:t>氮</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rFonts w:hint="eastAsia"/>
                      <w:szCs w:val="21"/>
                      <w:shd w:val="clear" w:color="auto" w:fill="FFFFFF"/>
                    </w:rPr>
                    <w:t>异丁烷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0168</w:t>
                  </w:r>
                </w:p>
              </w:tc>
              <w:tc>
                <w:tcPr>
                  <w:tcW w:w="2094" w:type="dxa"/>
                  <w:noWrap w:val="0"/>
                  <w:vAlign w:val="center"/>
                </w:tcPr>
                <w:p>
                  <w:pPr>
                    <w:jc w:val="center"/>
                    <w:rPr>
                      <w:rFonts w:hint="eastAsia"/>
                      <w:szCs w:val="21"/>
                      <w:shd w:val="clear" w:color="auto" w:fill="FFFFFF"/>
                    </w:rPr>
                  </w:pPr>
                  <w:r>
                    <w:rPr>
                      <w:szCs w:val="21"/>
                      <w:shd w:val="clear" w:color="auto" w:fill="FFFFFF"/>
                    </w:rPr>
                    <w:t>氦</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rFonts w:hint="eastAsia"/>
                      <w:szCs w:val="21"/>
                      <w:shd w:val="clear" w:color="auto" w:fill="FFFFFF"/>
                    </w:rPr>
                    <w:t>正丁烷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.0104</w:t>
                  </w:r>
                </w:p>
              </w:tc>
              <w:tc>
                <w:tcPr>
                  <w:tcW w:w="2094" w:type="dxa"/>
                  <w:noWrap w:val="0"/>
                  <w:vAlign w:val="center"/>
                </w:tcPr>
                <w:p>
                  <w:pPr>
                    <w:jc w:val="center"/>
                    <w:rPr>
                      <w:rFonts w:hint="eastAsia"/>
                      <w:szCs w:val="21"/>
                      <w:shd w:val="clear" w:color="auto" w:fill="FFFFFF"/>
                    </w:rPr>
                  </w:pPr>
                  <w:r>
                    <w:rPr>
                      <w:szCs w:val="21"/>
                      <w:shd w:val="clear" w:color="auto" w:fill="FFFFFF"/>
                    </w:rPr>
                    <w:t>氢</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szCs w:val="21"/>
                      <w:shd w:val="clear" w:color="auto" w:fill="FFFFFF"/>
                    </w:rPr>
                    <w:t>异戊烷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c>
                <w:tcPr>
                  <w:tcW w:w="2094" w:type="dxa"/>
                  <w:noWrap w:val="0"/>
                  <w:vAlign w:val="center"/>
                </w:tcPr>
                <w:p>
                  <w:pPr>
                    <w:jc w:val="center"/>
                    <w:rPr>
                      <w:rFonts w:hint="eastAsia"/>
                      <w:szCs w:val="21"/>
                      <w:shd w:val="clear" w:color="auto" w:fill="FFFFFF"/>
                    </w:rPr>
                  </w:pPr>
                </w:p>
              </w:tc>
              <w:tc>
                <w:tcPr>
                  <w:tcW w:w="2094" w:type="dxa"/>
                  <w:noWrap w:val="0"/>
                  <w:vAlign w:val="center"/>
                </w:tcPr>
                <w:p>
                  <w:pPr>
                    <w:jc w:val="center"/>
                    <w:rPr>
                      <w:rFonts w:hint="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rFonts w:hint="eastAsia"/>
                      <w:szCs w:val="21"/>
                      <w:shd w:val="clear" w:color="auto" w:fill="FFFFFF"/>
                    </w:rPr>
                  </w:pPr>
                  <w:r>
                    <w:rPr>
                      <w:szCs w:val="21"/>
                      <w:shd w:val="clear" w:color="auto" w:fill="FFFFFF"/>
                    </w:rPr>
                    <w:t>正戊烷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c>
                <w:tcPr>
                  <w:tcW w:w="2094" w:type="dxa"/>
                  <w:noWrap w:val="0"/>
                  <w:vAlign w:val="center"/>
                </w:tcPr>
                <w:p>
                  <w:pPr>
                    <w:jc w:val="center"/>
                    <w:rPr>
                      <w:rFonts w:hint="eastAsia"/>
                      <w:szCs w:val="21"/>
                      <w:shd w:val="clear" w:color="auto" w:fill="FFFFFF"/>
                    </w:rPr>
                  </w:pPr>
                </w:p>
              </w:tc>
              <w:tc>
                <w:tcPr>
                  <w:tcW w:w="2094" w:type="dxa"/>
                  <w:noWrap w:val="0"/>
                  <w:vAlign w:val="center"/>
                </w:tcPr>
                <w:p>
                  <w:pPr>
                    <w:jc w:val="center"/>
                    <w:rPr>
                      <w:rFonts w:hint="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szCs w:val="21"/>
                      <w:shd w:val="clear" w:color="auto" w:fill="FFFFFF"/>
                    </w:rPr>
                  </w:pPr>
                  <w:r>
                    <w:rPr>
                      <w:szCs w:val="21"/>
                      <w:shd w:val="clear" w:color="auto" w:fill="FFFFFF"/>
                    </w:rPr>
                    <w:t>新戊烷</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.001</w:t>
                  </w:r>
                </w:p>
              </w:tc>
              <w:tc>
                <w:tcPr>
                  <w:tcW w:w="2094" w:type="dxa"/>
                  <w:noWrap w:val="0"/>
                  <w:vAlign w:val="center"/>
                </w:tcPr>
                <w:p>
                  <w:pPr>
                    <w:jc w:val="center"/>
                    <w:rPr>
                      <w:rFonts w:hint="eastAsia"/>
                      <w:szCs w:val="21"/>
                      <w:shd w:val="clear" w:color="auto" w:fill="FFFFFF"/>
                    </w:rPr>
                  </w:pPr>
                </w:p>
              </w:tc>
              <w:tc>
                <w:tcPr>
                  <w:tcW w:w="2094" w:type="dxa"/>
                  <w:noWrap w:val="0"/>
                  <w:vAlign w:val="center"/>
                </w:tcPr>
                <w:p>
                  <w:pPr>
                    <w:jc w:val="center"/>
                    <w:rPr>
                      <w:rFonts w:hint="eastAsia"/>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szCs w:val="21"/>
                      <w:shd w:val="clear" w:color="auto" w:fill="FFFFFF"/>
                    </w:rPr>
                  </w:pPr>
                  <w:r>
                    <w:rPr>
                      <w:szCs w:val="21"/>
                      <w:shd w:val="clear" w:color="auto" w:fill="FFFFFF"/>
                    </w:rPr>
                    <w:t>高位热值 (kJ/m³)</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3</w:t>
                  </w:r>
                  <w:r>
                    <w:rPr>
                      <w:szCs w:val="21"/>
                      <w:shd w:val="clear" w:color="auto" w:fill="FFFFFF"/>
                    </w:rPr>
                    <w:t>7.56</w:t>
                  </w:r>
                </w:p>
              </w:tc>
              <w:tc>
                <w:tcPr>
                  <w:tcW w:w="2094" w:type="dxa"/>
                  <w:noWrap w:val="0"/>
                  <w:vAlign w:val="center"/>
                </w:tcPr>
                <w:p>
                  <w:pPr>
                    <w:jc w:val="center"/>
                    <w:rPr>
                      <w:rFonts w:hint="eastAsia"/>
                      <w:szCs w:val="21"/>
                      <w:shd w:val="clear" w:color="auto" w:fill="FFFFFF"/>
                    </w:rPr>
                  </w:pPr>
                  <w:r>
                    <w:rPr>
                      <w:szCs w:val="21"/>
                      <w:shd w:val="clear" w:color="auto" w:fill="FFFFFF"/>
                    </w:rPr>
                    <w:t>相对密度</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.5660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noWrap w:val="0"/>
                  <w:vAlign w:val="center"/>
                </w:tcPr>
                <w:p>
                  <w:pPr>
                    <w:jc w:val="center"/>
                    <w:rPr>
                      <w:szCs w:val="21"/>
                      <w:shd w:val="clear" w:color="auto" w:fill="FFFFFF"/>
                    </w:rPr>
                  </w:pPr>
                  <w:r>
                    <w:rPr>
                      <w:szCs w:val="21"/>
                      <w:shd w:val="clear" w:color="auto" w:fill="FFFFFF"/>
                    </w:rPr>
                    <w:t>低位热值 (</w:t>
                  </w:r>
                  <w:r>
                    <w:rPr>
                      <w:rFonts w:hint="eastAsia"/>
                      <w:szCs w:val="21"/>
                      <w:shd w:val="clear" w:color="auto" w:fill="FFFFFF"/>
                    </w:rPr>
                    <w:t>k</w:t>
                  </w:r>
                  <w:r>
                    <w:rPr>
                      <w:szCs w:val="21"/>
                      <w:shd w:val="clear" w:color="auto" w:fill="FFFFFF"/>
                    </w:rPr>
                    <w:t>J/m³)二氧化碳</w:t>
                  </w:r>
                </w:p>
              </w:tc>
              <w:tc>
                <w:tcPr>
                  <w:tcW w:w="2093" w:type="dxa"/>
                  <w:noWrap w:val="0"/>
                  <w:vAlign w:val="center"/>
                </w:tcPr>
                <w:p>
                  <w:pPr>
                    <w:jc w:val="center"/>
                    <w:rPr>
                      <w:rFonts w:hint="eastAsia"/>
                      <w:szCs w:val="21"/>
                      <w:shd w:val="clear" w:color="auto" w:fill="FFFFFF"/>
                    </w:rPr>
                  </w:pPr>
                  <w:r>
                    <w:rPr>
                      <w:rFonts w:hint="eastAsia"/>
                      <w:szCs w:val="21"/>
                      <w:shd w:val="clear" w:color="auto" w:fill="FFFFFF"/>
                    </w:rPr>
                    <w:t>3</w:t>
                  </w:r>
                  <w:r>
                    <w:rPr>
                      <w:szCs w:val="21"/>
                      <w:shd w:val="clear" w:color="auto" w:fill="FFFFFF"/>
                    </w:rPr>
                    <w:t>3.86</w:t>
                  </w:r>
                </w:p>
              </w:tc>
              <w:tc>
                <w:tcPr>
                  <w:tcW w:w="2094" w:type="dxa"/>
                  <w:noWrap w:val="0"/>
                  <w:vAlign w:val="center"/>
                </w:tcPr>
                <w:p>
                  <w:pPr>
                    <w:jc w:val="center"/>
                    <w:rPr>
                      <w:rFonts w:hint="eastAsia"/>
                      <w:szCs w:val="21"/>
                      <w:shd w:val="clear" w:color="auto" w:fill="FFFFFF"/>
                    </w:rPr>
                  </w:pPr>
                  <w:r>
                    <w:rPr>
                      <w:szCs w:val="21"/>
                      <w:shd w:val="clear" w:color="auto" w:fill="FFFFFF"/>
                    </w:rPr>
                    <w:t>密度 (kg/m³)</w:t>
                  </w:r>
                </w:p>
              </w:tc>
              <w:tc>
                <w:tcPr>
                  <w:tcW w:w="2094" w:type="dxa"/>
                  <w:noWrap w:val="0"/>
                  <w:vAlign w:val="center"/>
                </w:tcPr>
                <w:p>
                  <w:pPr>
                    <w:jc w:val="center"/>
                    <w:rPr>
                      <w:rFonts w:hint="eastAsia"/>
                      <w:szCs w:val="21"/>
                      <w:shd w:val="clear" w:color="auto" w:fill="FFFFFF"/>
                    </w:rPr>
                  </w:pPr>
                  <w:r>
                    <w:rPr>
                      <w:rFonts w:hint="eastAsia"/>
                      <w:szCs w:val="21"/>
                      <w:shd w:val="clear" w:color="auto" w:fill="FFFFFF"/>
                    </w:rPr>
                    <w:t>0</w:t>
                  </w:r>
                  <w:r>
                    <w:rPr>
                      <w:szCs w:val="21"/>
                      <w:shd w:val="clear" w:color="auto" w:fill="FFFFFF"/>
                    </w:rPr>
                    <w:t>.6817</w:t>
                  </w:r>
                </w:p>
              </w:tc>
            </w:tr>
          </w:tbl>
          <w:p>
            <w:pPr>
              <w:pStyle w:val="647"/>
              <w:ind w:firstLine="480"/>
            </w:pPr>
            <w:r>
              <w:t>本项目所需的柴油、汽油</w:t>
            </w:r>
            <w:r>
              <w:rPr>
                <w:rFonts w:hint="eastAsia"/>
              </w:rPr>
              <w:t>、液化天然气</w:t>
            </w:r>
            <w:r>
              <w:t>均来自</w:t>
            </w:r>
            <w:r>
              <w:rPr>
                <w:rFonts w:hint="eastAsia"/>
              </w:rPr>
              <w:t>中国石油天然气集团有限公司</w:t>
            </w:r>
            <w:r>
              <w:t>，运输方式为汽车槽车经高速公路送达。</w:t>
            </w:r>
          </w:p>
          <w:p>
            <w:pPr>
              <w:pStyle w:val="647"/>
              <w:ind w:firstLine="482"/>
              <w:rPr>
                <w:b/>
                <w:bCs/>
                <w:snapToGrid w:val="0"/>
              </w:rPr>
            </w:pPr>
            <w:r>
              <w:rPr>
                <w:b/>
                <w:bCs/>
                <w:snapToGrid w:val="0"/>
              </w:rPr>
              <w:t>6、主要设备清单</w:t>
            </w:r>
          </w:p>
          <w:p>
            <w:pPr>
              <w:pStyle w:val="647"/>
              <w:ind w:firstLine="480"/>
            </w:pPr>
            <w:r>
              <w:t>根据业主单位提供的资料，本项目拟设置的主要</w:t>
            </w:r>
            <w:r>
              <w:rPr>
                <w:rFonts w:hint="eastAsia"/>
              </w:rPr>
              <w:t>工艺</w:t>
            </w:r>
            <w:r>
              <w:t>设备见表</w:t>
            </w:r>
            <w:r>
              <w:rPr>
                <w:rFonts w:hint="eastAsia"/>
              </w:rPr>
              <w:t>2-6</w:t>
            </w:r>
            <w:r>
              <w:t>所示。</w:t>
            </w:r>
          </w:p>
          <w:p>
            <w:pPr>
              <w:keepNext/>
              <w:keepLines/>
              <w:contextualSpacing/>
              <w:jc w:val="center"/>
              <w:outlineLvl w:val="3"/>
              <w:rPr>
                <w:b/>
                <w:bCs/>
                <w:kern w:val="0"/>
                <w:szCs w:val="21"/>
              </w:rPr>
            </w:pPr>
            <w:r>
              <w:rPr>
                <w:b/>
                <w:bCs/>
                <w:kern w:val="0"/>
                <w:szCs w:val="21"/>
              </w:rPr>
              <w:t>表</w:t>
            </w:r>
            <w:r>
              <w:rPr>
                <w:rFonts w:hint="eastAsia"/>
                <w:b/>
                <w:bCs/>
                <w:kern w:val="0"/>
                <w:szCs w:val="21"/>
              </w:rPr>
              <w:t>2-6</w:t>
            </w:r>
            <w:r>
              <w:rPr>
                <w:b/>
                <w:bCs/>
                <w:kern w:val="0"/>
                <w:szCs w:val="21"/>
              </w:rPr>
              <w:t xml:space="preserve"> 本项目主要</w:t>
            </w:r>
            <w:r>
              <w:rPr>
                <w:rFonts w:hint="eastAsia"/>
                <w:b/>
                <w:bCs/>
                <w:kern w:val="0"/>
                <w:szCs w:val="21"/>
              </w:rPr>
              <w:t>工艺</w:t>
            </w:r>
            <w:r>
              <w:rPr>
                <w:b/>
                <w:bCs/>
                <w:kern w:val="0"/>
                <w:szCs w:val="21"/>
              </w:rPr>
              <w:t>设备清单一览表</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2410"/>
              <w:gridCol w:w="3402"/>
              <w:gridCol w:w="85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3" w:type="dxa"/>
                  <w:noWrap w:val="0"/>
                  <w:vAlign w:val="center"/>
                </w:tcPr>
                <w:p>
                  <w:pPr>
                    <w:jc w:val="center"/>
                    <w:rPr>
                      <w:b/>
                      <w:bCs/>
                      <w:kern w:val="0"/>
                      <w:szCs w:val="21"/>
                    </w:rPr>
                  </w:pPr>
                  <w:r>
                    <w:rPr>
                      <w:b/>
                      <w:bCs/>
                      <w:kern w:val="0"/>
                      <w:szCs w:val="21"/>
                    </w:rPr>
                    <w:t>序号</w:t>
                  </w:r>
                </w:p>
              </w:tc>
              <w:tc>
                <w:tcPr>
                  <w:tcW w:w="2410" w:type="dxa"/>
                  <w:noWrap w:val="0"/>
                  <w:vAlign w:val="center"/>
                </w:tcPr>
                <w:p>
                  <w:pPr>
                    <w:jc w:val="center"/>
                    <w:rPr>
                      <w:b/>
                      <w:bCs/>
                      <w:kern w:val="0"/>
                      <w:szCs w:val="21"/>
                    </w:rPr>
                  </w:pPr>
                  <w:r>
                    <w:rPr>
                      <w:b/>
                      <w:bCs/>
                      <w:kern w:val="0"/>
                      <w:szCs w:val="21"/>
                    </w:rPr>
                    <w:t>设备名称</w:t>
                  </w:r>
                </w:p>
              </w:tc>
              <w:tc>
                <w:tcPr>
                  <w:tcW w:w="3402" w:type="dxa"/>
                  <w:noWrap w:val="0"/>
                  <w:vAlign w:val="center"/>
                </w:tcPr>
                <w:p>
                  <w:pPr>
                    <w:jc w:val="center"/>
                    <w:rPr>
                      <w:b/>
                      <w:bCs/>
                      <w:kern w:val="0"/>
                      <w:szCs w:val="21"/>
                    </w:rPr>
                  </w:pPr>
                  <w:r>
                    <w:rPr>
                      <w:b/>
                      <w:bCs/>
                      <w:kern w:val="0"/>
                      <w:szCs w:val="21"/>
                    </w:rPr>
                    <w:t>规格</w:t>
                  </w:r>
                </w:p>
              </w:tc>
              <w:tc>
                <w:tcPr>
                  <w:tcW w:w="851" w:type="dxa"/>
                  <w:noWrap w:val="0"/>
                  <w:vAlign w:val="center"/>
                </w:tcPr>
                <w:p>
                  <w:pPr>
                    <w:jc w:val="center"/>
                    <w:rPr>
                      <w:b/>
                      <w:bCs/>
                      <w:kern w:val="0"/>
                      <w:szCs w:val="21"/>
                    </w:rPr>
                  </w:pPr>
                  <w:r>
                    <w:rPr>
                      <w:b/>
                      <w:bCs/>
                      <w:kern w:val="0"/>
                      <w:szCs w:val="21"/>
                    </w:rPr>
                    <w:t>单位</w:t>
                  </w:r>
                </w:p>
              </w:tc>
              <w:tc>
                <w:tcPr>
                  <w:tcW w:w="1038" w:type="dxa"/>
                  <w:noWrap w:val="0"/>
                  <w:vAlign w:val="center"/>
                </w:tcPr>
                <w:p>
                  <w:pPr>
                    <w:jc w:val="center"/>
                    <w:rPr>
                      <w:b/>
                      <w:bCs/>
                      <w:kern w:val="0"/>
                      <w:szCs w:val="21"/>
                    </w:rPr>
                  </w:pPr>
                  <w:r>
                    <w:rPr>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4" w:type="dxa"/>
                  <w:gridSpan w:val="5"/>
                  <w:noWrap w:val="0"/>
                  <w:vAlign w:val="center"/>
                </w:tcPr>
                <w:p>
                  <w:pPr>
                    <w:jc w:val="left"/>
                    <w:rPr>
                      <w:kern w:val="0"/>
                      <w:szCs w:val="21"/>
                    </w:rPr>
                  </w:pPr>
                  <w:r>
                    <w:rPr>
                      <w:kern w:val="0"/>
                      <w:szCs w:val="21"/>
                    </w:rPr>
                    <w:t>一、加气工艺设备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kern w:val="0"/>
                      <w:szCs w:val="21"/>
                    </w:rPr>
                    <w:t>1</w:t>
                  </w:r>
                </w:p>
              </w:tc>
              <w:tc>
                <w:tcPr>
                  <w:tcW w:w="2410" w:type="dxa"/>
                  <w:noWrap w:val="0"/>
                  <w:vAlign w:val="center"/>
                </w:tcPr>
                <w:p>
                  <w:pPr>
                    <w:jc w:val="center"/>
                    <w:rPr>
                      <w:kern w:val="0"/>
                      <w:szCs w:val="21"/>
                    </w:rPr>
                  </w:pPr>
                  <w:r>
                    <w:rPr>
                      <w:szCs w:val="21"/>
                    </w:rPr>
                    <w:t>LNG 低温储罐</w:t>
                  </w:r>
                </w:p>
              </w:tc>
              <w:tc>
                <w:tcPr>
                  <w:tcW w:w="3402" w:type="dxa"/>
                  <w:noWrap w:val="0"/>
                  <w:vAlign w:val="center"/>
                </w:tcPr>
                <w:p>
                  <w:pPr>
                    <w:jc w:val="center"/>
                    <w:rPr>
                      <w:kern w:val="0"/>
                      <w:szCs w:val="21"/>
                    </w:rPr>
                  </w:pPr>
                  <w:r>
                    <w:rPr>
                      <w:szCs w:val="21"/>
                    </w:rPr>
                    <w:t>V=60m</w:t>
                  </w:r>
                  <w:r>
                    <w:rPr>
                      <w:szCs w:val="21"/>
                      <w:vertAlign w:val="superscript"/>
                    </w:rPr>
                    <w:t>3</w:t>
                  </w:r>
                  <w:r>
                    <w:rPr>
                      <w:szCs w:val="21"/>
                    </w:rPr>
                    <w:t>，设计压力 1.44MPa</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kern w:val="0"/>
                      <w:szCs w:val="21"/>
                    </w:rPr>
                    <w:t>2</w:t>
                  </w:r>
                </w:p>
              </w:tc>
              <w:tc>
                <w:tcPr>
                  <w:tcW w:w="2410" w:type="dxa"/>
                  <w:noWrap w:val="0"/>
                  <w:vAlign w:val="center"/>
                </w:tcPr>
                <w:p>
                  <w:pPr>
                    <w:jc w:val="center"/>
                    <w:rPr>
                      <w:kern w:val="0"/>
                      <w:szCs w:val="21"/>
                    </w:rPr>
                  </w:pPr>
                  <w:r>
                    <w:rPr>
                      <w:szCs w:val="21"/>
                    </w:rPr>
                    <w:t>LNG泵撬</w:t>
                  </w:r>
                </w:p>
              </w:tc>
              <w:tc>
                <w:tcPr>
                  <w:tcW w:w="3402" w:type="dxa"/>
                  <w:noWrap w:val="0"/>
                  <w:vAlign w:val="center"/>
                </w:tcPr>
                <w:p>
                  <w:pPr>
                    <w:jc w:val="center"/>
                    <w:rPr>
                      <w:kern w:val="0"/>
                      <w:szCs w:val="21"/>
                    </w:rPr>
                  </w:pPr>
                  <w:r>
                    <w:rPr>
                      <w:szCs w:val="21"/>
                    </w:rPr>
                    <w:t>系统设计压力：1.92MPa；安全阀整定压力：1.76MP</w:t>
                  </w:r>
                </w:p>
              </w:tc>
              <w:tc>
                <w:tcPr>
                  <w:tcW w:w="851" w:type="dxa"/>
                  <w:noWrap w:val="0"/>
                  <w:vAlign w:val="center"/>
                </w:tcPr>
                <w:p>
                  <w:pPr>
                    <w:jc w:val="center"/>
                    <w:rPr>
                      <w:kern w:val="0"/>
                      <w:szCs w:val="21"/>
                    </w:rPr>
                  </w:pPr>
                  <w:r>
                    <w:rPr>
                      <w:kern w:val="0"/>
                      <w:szCs w:val="21"/>
                    </w:rPr>
                    <w:t>套</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2.1</w:t>
                  </w:r>
                </w:p>
              </w:tc>
              <w:tc>
                <w:tcPr>
                  <w:tcW w:w="2410" w:type="dxa"/>
                  <w:noWrap w:val="0"/>
                  <w:vAlign w:val="center"/>
                </w:tcPr>
                <w:p>
                  <w:pPr>
                    <w:jc w:val="center"/>
                    <w:rPr>
                      <w:kern w:val="0"/>
                      <w:szCs w:val="21"/>
                    </w:rPr>
                  </w:pPr>
                  <w:r>
                    <w:rPr>
                      <w:szCs w:val="21"/>
                    </w:rPr>
                    <w:t>LNG低温潜液泵</w:t>
                  </w:r>
                </w:p>
              </w:tc>
              <w:tc>
                <w:tcPr>
                  <w:tcW w:w="3402" w:type="dxa"/>
                  <w:noWrap w:val="0"/>
                  <w:vAlign w:val="center"/>
                </w:tcPr>
                <w:p>
                  <w:pPr>
                    <w:jc w:val="center"/>
                    <w:rPr>
                      <w:kern w:val="0"/>
                      <w:szCs w:val="21"/>
                    </w:rPr>
                  </w:pPr>
                  <w:r>
                    <w:rPr>
                      <w:szCs w:val="21"/>
                    </w:rPr>
                    <w:t>流量 Q=18～340L/m</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2.2</w:t>
                  </w:r>
                </w:p>
              </w:tc>
              <w:tc>
                <w:tcPr>
                  <w:tcW w:w="2410" w:type="dxa"/>
                  <w:noWrap w:val="0"/>
                  <w:vAlign w:val="center"/>
                </w:tcPr>
                <w:p>
                  <w:pPr>
                    <w:jc w:val="center"/>
                    <w:rPr>
                      <w:kern w:val="0"/>
                      <w:szCs w:val="21"/>
                    </w:rPr>
                  </w:pPr>
                  <w:r>
                    <w:rPr>
                      <w:szCs w:val="21"/>
                    </w:rPr>
                    <w:t>调饱和/卸车气化 器</w:t>
                  </w:r>
                </w:p>
              </w:tc>
              <w:tc>
                <w:tcPr>
                  <w:tcW w:w="3402" w:type="dxa"/>
                  <w:noWrap w:val="0"/>
                  <w:vAlign w:val="center"/>
                </w:tcPr>
                <w:p>
                  <w:pPr>
                    <w:jc w:val="center"/>
                    <w:rPr>
                      <w:kern w:val="0"/>
                      <w:szCs w:val="21"/>
                    </w:rPr>
                  </w:pPr>
                  <w:r>
                    <w:rPr>
                      <w:kern w:val="0"/>
                      <w:szCs w:val="21"/>
                    </w:rPr>
                    <w:t>气化能力：</w:t>
                  </w:r>
                  <w:r>
                    <w:rPr>
                      <w:szCs w:val="21"/>
                    </w:rPr>
                    <w:t>300Nm</w:t>
                  </w:r>
                  <w:r>
                    <w:rPr>
                      <w:szCs w:val="21"/>
                      <w:vertAlign w:val="superscript"/>
                    </w:rPr>
                    <w:t>3</w:t>
                  </w:r>
                  <w:r>
                    <w:rPr>
                      <w:szCs w:val="21"/>
                    </w:rPr>
                    <w:t>/h</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2.3</w:t>
                  </w:r>
                </w:p>
              </w:tc>
              <w:tc>
                <w:tcPr>
                  <w:tcW w:w="2410" w:type="dxa"/>
                  <w:noWrap w:val="0"/>
                  <w:vAlign w:val="center"/>
                </w:tcPr>
                <w:p>
                  <w:pPr>
                    <w:jc w:val="center"/>
                    <w:rPr>
                      <w:kern w:val="0"/>
                      <w:szCs w:val="21"/>
                    </w:rPr>
                  </w:pPr>
                  <w:r>
                    <w:rPr>
                      <w:szCs w:val="21"/>
                    </w:rPr>
                    <w:t>低压EAG加热器</w:t>
                  </w:r>
                </w:p>
              </w:tc>
              <w:tc>
                <w:tcPr>
                  <w:tcW w:w="3402" w:type="dxa"/>
                  <w:noWrap w:val="0"/>
                  <w:vAlign w:val="center"/>
                </w:tcPr>
                <w:p>
                  <w:pPr>
                    <w:jc w:val="center"/>
                    <w:rPr>
                      <w:kern w:val="0"/>
                      <w:szCs w:val="21"/>
                    </w:rPr>
                  </w:pPr>
                  <w:r>
                    <w:rPr>
                      <w:szCs w:val="21"/>
                    </w:rPr>
                    <w:t>气化能力：150Nm</w:t>
                  </w:r>
                  <w:r>
                    <w:rPr>
                      <w:szCs w:val="21"/>
                      <w:vertAlign w:val="superscript"/>
                    </w:rPr>
                    <w:t>3</w:t>
                  </w:r>
                  <w:r>
                    <w:rPr>
                      <w:szCs w:val="21"/>
                    </w:rPr>
                    <w:t>/h</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3</w:t>
                  </w:r>
                </w:p>
              </w:tc>
              <w:tc>
                <w:tcPr>
                  <w:tcW w:w="2410" w:type="dxa"/>
                  <w:noWrap w:val="0"/>
                  <w:vAlign w:val="center"/>
                </w:tcPr>
                <w:p>
                  <w:pPr>
                    <w:jc w:val="center"/>
                    <w:rPr>
                      <w:kern w:val="0"/>
                      <w:szCs w:val="21"/>
                    </w:rPr>
                  </w:pPr>
                  <w:r>
                    <w:rPr>
                      <w:szCs w:val="21"/>
                    </w:rPr>
                    <w:t>LNG加气机</w:t>
                  </w:r>
                </w:p>
              </w:tc>
              <w:tc>
                <w:tcPr>
                  <w:tcW w:w="3402" w:type="dxa"/>
                  <w:noWrap w:val="0"/>
                  <w:vAlign w:val="center"/>
                </w:tcPr>
                <w:p>
                  <w:pPr>
                    <w:jc w:val="center"/>
                    <w:rPr>
                      <w:kern w:val="0"/>
                      <w:szCs w:val="21"/>
                    </w:rPr>
                  </w:pPr>
                  <w:r>
                    <w:rPr>
                      <w:szCs w:val="21"/>
                    </w:rPr>
                    <w:t>工作压力：1.6MPa</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4</w:t>
                  </w:r>
                </w:p>
              </w:tc>
              <w:tc>
                <w:tcPr>
                  <w:tcW w:w="2410" w:type="dxa"/>
                  <w:noWrap w:val="0"/>
                  <w:vAlign w:val="center"/>
                </w:tcPr>
                <w:p>
                  <w:pPr>
                    <w:jc w:val="center"/>
                    <w:rPr>
                      <w:kern w:val="0"/>
                      <w:szCs w:val="21"/>
                    </w:rPr>
                  </w:pPr>
                  <w:r>
                    <w:rPr>
                      <w:szCs w:val="21"/>
                    </w:rPr>
                    <w:t>压缩空气系统</w:t>
                  </w:r>
                </w:p>
              </w:tc>
              <w:tc>
                <w:tcPr>
                  <w:tcW w:w="3402" w:type="dxa"/>
                  <w:noWrap w:val="0"/>
                  <w:vAlign w:val="center"/>
                </w:tcPr>
                <w:p>
                  <w:pPr>
                    <w:jc w:val="center"/>
                    <w:rPr>
                      <w:kern w:val="0"/>
                      <w:szCs w:val="21"/>
                    </w:rPr>
                  </w:pPr>
                  <w:r>
                    <w:rPr>
                      <w:szCs w:val="21"/>
                    </w:rPr>
                    <w:t>工作压力：1.0MPa</w:t>
                  </w:r>
                </w:p>
              </w:tc>
              <w:tc>
                <w:tcPr>
                  <w:tcW w:w="851" w:type="dxa"/>
                  <w:noWrap w:val="0"/>
                  <w:vAlign w:val="center"/>
                </w:tcPr>
                <w:p>
                  <w:pPr>
                    <w:jc w:val="center"/>
                    <w:rPr>
                      <w:kern w:val="0"/>
                      <w:szCs w:val="21"/>
                    </w:rPr>
                  </w:pPr>
                  <w:r>
                    <w:rPr>
                      <w:kern w:val="0"/>
                      <w:szCs w:val="21"/>
                    </w:rPr>
                    <w:t>套</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3" w:type="dxa"/>
                  <w:noWrap w:val="0"/>
                  <w:vAlign w:val="center"/>
                </w:tcPr>
                <w:p>
                  <w:pPr>
                    <w:jc w:val="center"/>
                    <w:rPr>
                      <w:kern w:val="0"/>
                      <w:szCs w:val="21"/>
                    </w:rPr>
                  </w:pPr>
                  <w:r>
                    <w:rPr>
                      <w:rFonts w:hint="eastAsia"/>
                      <w:kern w:val="0"/>
                      <w:szCs w:val="21"/>
                    </w:rPr>
                    <w:t>5</w:t>
                  </w:r>
                </w:p>
              </w:tc>
              <w:tc>
                <w:tcPr>
                  <w:tcW w:w="2410" w:type="dxa"/>
                  <w:noWrap w:val="0"/>
                  <w:vAlign w:val="center"/>
                </w:tcPr>
                <w:p>
                  <w:pPr>
                    <w:jc w:val="center"/>
                    <w:rPr>
                      <w:szCs w:val="21"/>
                    </w:rPr>
                  </w:pPr>
                  <w:r>
                    <w:rPr>
                      <w:szCs w:val="21"/>
                    </w:rPr>
                    <w:t>放散立管</w:t>
                  </w:r>
                </w:p>
              </w:tc>
              <w:tc>
                <w:tcPr>
                  <w:tcW w:w="3402" w:type="dxa"/>
                  <w:noWrap w:val="0"/>
                  <w:vAlign w:val="center"/>
                </w:tcPr>
                <w:p>
                  <w:pPr>
                    <w:jc w:val="center"/>
                    <w:rPr>
                      <w:szCs w:val="21"/>
                    </w:rPr>
                  </w:pPr>
                  <w:r>
                    <w:rPr>
                      <w:szCs w:val="21"/>
                    </w:rPr>
                    <w:t>D89，H=6m</w:t>
                  </w:r>
                </w:p>
              </w:tc>
              <w:tc>
                <w:tcPr>
                  <w:tcW w:w="851" w:type="dxa"/>
                  <w:noWrap w:val="0"/>
                  <w:vAlign w:val="center"/>
                </w:tcPr>
                <w:p>
                  <w:pPr>
                    <w:jc w:val="center"/>
                    <w:rPr>
                      <w:kern w:val="0"/>
                      <w:szCs w:val="21"/>
                    </w:rPr>
                  </w:pPr>
                  <w:r>
                    <w:rPr>
                      <w:kern w:val="0"/>
                      <w:szCs w:val="21"/>
                    </w:rPr>
                    <w:t>套</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4" w:type="dxa"/>
                  <w:gridSpan w:val="5"/>
                  <w:noWrap w:val="0"/>
                  <w:vAlign w:val="center"/>
                </w:tcPr>
                <w:p>
                  <w:pPr>
                    <w:jc w:val="left"/>
                    <w:rPr>
                      <w:kern w:val="0"/>
                      <w:szCs w:val="21"/>
                    </w:rPr>
                  </w:pPr>
                  <w:r>
                    <w:rPr>
                      <w:kern w:val="0"/>
                      <w:szCs w:val="21"/>
                    </w:rPr>
                    <w:t>二、加油工艺设备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1</w:t>
                  </w:r>
                </w:p>
              </w:tc>
              <w:tc>
                <w:tcPr>
                  <w:tcW w:w="2410" w:type="dxa"/>
                  <w:noWrap w:val="0"/>
                  <w:vAlign w:val="center"/>
                </w:tcPr>
                <w:p>
                  <w:pPr>
                    <w:jc w:val="center"/>
                    <w:rPr>
                      <w:szCs w:val="21"/>
                    </w:rPr>
                  </w:pPr>
                  <w:r>
                    <w:rPr>
                      <w:szCs w:val="21"/>
                    </w:rPr>
                    <w:t>埋地卧式双层油罐</w:t>
                  </w:r>
                </w:p>
              </w:tc>
              <w:tc>
                <w:tcPr>
                  <w:tcW w:w="3402" w:type="dxa"/>
                  <w:noWrap w:val="0"/>
                  <w:vAlign w:val="center"/>
                </w:tcPr>
                <w:p>
                  <w:pPr>
                    <w:jc w:val="center"/>
                    <w:rPr>
                      <w:szCs w:val="21"/>
                    </w:rPr>
                  </w:pPr>
                  <w:r>
                    <w:rPr>
                      <w:szCs w:val="21"/>
                    </w:rPr>
                    <w:t>（SF）-30m</w:t>
                  </w:r>
                  <w:r>
                    <w:rPr>
                      <w:szCs w:val="21"/>
                      <w:vertAlign w:val="superscript"/>
                    </w:rPr>
                    <w:t>3</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3" w:type="dxa"/>
                  <w:noWrap w:val="0"/>
                  <w:vAlign w:val="center"/>
                </w:tcPr>
                <w:p>
                  <w:pPr>
                    <w:jc w:val="center"/>
                    <w:rPr>
                      <w:kern w:val="0"/>
                      <w:szCs w:val="21"/>
                    </w:rPr>
                  </w:pPr>
                  <w:r>
                    <w:rPr>
                      <w:rFonts w:hint="eastAsia"/>
                      <w:kern w:val="0"/>
                      <w:szCs w:val="21"/>
                    </w:rPr>
                    <w:t>2</w:t>
                  </w:r>
                </w:p>
              </w:tc>
              <w:tc>
                <w:tcPr>
                  <w:tcW w:w="2410" w:type="dxa"/>
                  <w:noWrap w:val="0"/>
                  <w:vAlign w:val="center"/>
                </w:tcPr>
                <w:p>
                  <w:pPr>
                    <w:jc w:val="center"/>
                    <w:rPr>
                      <w:szCs w:val="21"/>
                    </w:rPr>
                  </w:pPr>
                  <w:r>
                    <w:rPr>
                      <w:szCs w:val="21"/>
                    </w:rPr>
                    <w:t>埋地卧式双层油罐</w:t>
                  </w:r>
                </w:p>
              </w:tc>
              <w:tc>
                <w:tcPr>
                  <w:tcW w:w="3402" w:type="dxa"/>
                  <w:noWrap w:val="0"/>
                  <w:vAlign w:val="center"/>
                </w:tcPr>
                <w:p>
                  <w:pPr>
                    <w:jc w:val="center"/>
                    <w:rPr>
                      <w:szCs w:val="21"/>
                    </w:rPr>
                  </w:pPr>
                  <w:r>
                    <w:rPr>
                      <w:szCs w:val="21"/>
                    </w:rPr>
                    <w:t>（SF）-50m</w:t>
                  </w:r>
                  <w:r>
                    <w:rPr>
                      <w:szCs w:val="21"/>
                      <w:vertAlign w:val="superscript"/>
                    </w:rPr>
                    <w:t>3</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3</w:t>
                  </w:r>
                </w:p>
              </w:tc>
              <w:tc>
                <w:tcPr>
                  <w:tcW w:w="2410" w:type="dxa"/>
                  <w:noWrap w:val="0"/>
                  <w:vAlign w:val="center"/>
                </w:tcPr>
                <w:p>
                  <w:pPr>
                    <w:jc w:val="center"/>
                    <w:rPr>
                      <w:szCs w:val="21"/>
                    </w:rPr>
                  </w:pPr>
                  <w:r>
                    <w:rPr>
                      <w:szCs w:val="21"/>
                    </w:rPr>
                    <w:t>单油品四枪税控加油机</w:t>
                  </w:r>
                </w:p>
              </w:tc>
              <w:tc>
                <w:tcPr>
                  <w:tcW w:w="3402" w:type="dxa"/>
                  <w:noWrap w:val="0"/>
                  <w:vAlign w:val="center"/>
                </w:tcPr>
                <w:p>
                  <w:pPr>
                    <w:jc w:val="center"/>
                    <w:rPr>
                      <w:szCs w:val="21"/>
                    </w:rPr>
                  </w:pPr>
                  <w:r>
                    <w:rPr>
                      <w:szCs w:val="21"/>
                    </w:rPr>
                    <w:t>（油气回收分散式）</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4</w:t>
                  </w:r>
                </w:p>
              </w:tc>
              <w:tc>
                <w:tcPr>
                  <w:tcW w:w="2410" w:type="dxa"/>
                  <w:noWrap w:val="0"/>
                  <w:vAlign w:val="center"/>
                </w:tcPr>
                <w:p>
                  <w:pPr>
                    <w:jc w:val="center"/>
                    <w:rPr>
                      <w:szCs w:val="21"/>
                    </w:rPr>
                  </w:pPr>
                  <w:r>
                    <w:rPr>
                      <w:szCs w:val="21"/>
                    </w:rPr>
                    <w:t>双油品四枪税控加油机</w:t>
                  </w:r>
                </w:p>
              </w:tc>
              <w:tc>
                <w:tcPr>
                  <w:tcW w:w="3402" w:type="dxa"/>
                  <w:noWrap w:val="0"/>
                  <w:vAlign w:val="center"/>
                </w:tcPr>
                <w:p>
                  <w:pPr>
                    <w:jc w:val="center"/>
                    <w:rPr>
                      <w:szCs w:val="21"/>
                    </w:rPr>
                  </w:pPr>
                  <w:r>
                    <w:rPr>
                      <w:szCs w:val="21"/>
                    </w:rPr>
                    <w:t>（油气回收分散式）</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kern w:val="0"/>
                      <w:szCs w:val="21"/>
                    </w:rPr>
                  </w:pPr>
                  <w:r>
                    <w:rPr>
                      <w:rFonts w:hint="eastAsia"/>
                      <w:kern w:val="0"/>
                      <w:szCs w:val="21"/>
                    </w:rPr>
                    <w:t>5</w:t>
                  </w:r>
                </w:p>
              </w:tc>
              <w:tc>
                <w:tcPr>
                  <w:tcW w:w="2410" w:type="dxa"/>
                  <w:noWrap w:val="0"/>
                  <w:vAlign w:val="center"/>
                </w:tcPr>
                <w:p>
                  <w:pPr>
                    <w:jc w:val="center"/>
                    <w:rPr>
                      <w:szCs w:val="21"/>
                    </w:rPr>
                  </w:pPr>
                  <w:r>
                    <w:rPr>
                      <w:szCs w:val="21"/>
                    </w:rPr>
                    <w:t>红夹克潜油泵</w:t>
                  </w:r>
                </w:p>
              </w:tc>
              <w:tc>
                <w:tcPr>
                  <w:tcW w:w="3402" w:type="dxa"/>
                  <w:noWrap w:val="0"/>
                  <w:vAlign w:val="center"/>
                </w:tcPr>
                <w:p>
                  <w:pPr>
                    <w:jc w:val="center"/>
                    <w:rPr>
                      <w:szCs w:val="21"/>
                    </w:rPr>
                  </w:pPr>
                  <w:r>
                    <w:rPr>
                      <w:szCs w:val="21"/>
                    </w:rPr>
                    <w:t>1.5P</w:t>
                  </w:r>
                </w:p>
              </w:tc>
              <w:tc>
                <w:tcPr>
                  <w:tcW w:w="851" w:type="dxa"/>
                  <w:noWrap w:val="0"/>
                  <w:vAlign w:val="center"/>
                </w:tcPr>
                <w:p>
                  <w:pPr>
                    <w:jc w:val="center"/>
                    <w:rPr>
                      <w:kern w:val="0"/>
                      <w:szCs w:val="21"/>
                    </w:rPr>
                  </w:pPr>
                  <w:r>
                    <w:rPr>
                      <w:kern w:val="0"/>
                      <w:szCs w:val="21"/>
                    </w:rPr>
                    <w:t>台</w:t>
                  </w:r>
                </w:p>
              </w:tc>
              <w:tc>
                <w:tcPr>
                  <w:tcW w:w="1038" w:type="dxa"/>
                  <w:noWrap w:val="0"/>
                  <w:vAlign w:val="center"/>
                </w:tcPr>
                <w:p>
                  <w:pPr>
                    <w:jc w:val="center"/>
                    <w:rPr>
                      <w:kern w:val="0"/>
                      <w:szCs w:val="21"/>
                    </w:rPr>
                  </w:pPr>
                  <w:r>
                    <w:rPr>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szCs w:val="21"/>
                    </w:rPr>
                  </w:pPr>
                  <w:r>
                    <w:rPr>
                      <w:rFonts w:hint="eastAsia"/>
                      <w:szCs w:val="21"/>
                    </w:rPr>
                    <w:t>6</w:t>
                  </w:r>
                </w:p>
              </w:tc>
              <w:tc>
                <w:tcPr>
                  <w:tcW w:w="2410" w:type="dxa"/>
                  <w:noWrap w:val="0"/>
                  <w:vAlign w:val="center"/>
                </w:tcPr>
                <w:p>
                  <w:pPr>
                    <w:jc w:val="center"/>
                    <w:rPr>
                      <w:szCs w:val="21"/>
                    </w:rPr>
                  </w:pPr>
                  <w:r>
                    <w:rPr>
                      <w:szCs w:val="21"/>
                    </w:rPr>
                    <w:t>油气回收系统</w:t>
                  </w:r>
                </w:p>
              </w:tc>
              <w:tc>
                <w:tcPr>
                  <w:tcW w:w="3402" w:type="dxa"/>
                  <w:noWrap w:val="0"/>
                  <w:vAlign w:val="center"/>
                </w:tcPr>
                <w:p>
                  <w:pPr>
                    <w:jc w:val="center"/>
                    <w:rPr>
                      <w:szCs w:val="21"/>
                    </w:rPr>
                  </w:pPr>
                  <w:r>
                    <w:rPr>
                      <w:szCs w:val="21"/>
                    </w:rPr>
                    <w:t>卸油油气回收系统</w:t>
                  </w:r>
                </w:p>
              </w:tc>
              <w:tc>
                <w:tcPr>
                  <w:tcW w:w="851" w:type="dxa"/>
                  <w:noWrap w:val="0"/>
                  <w:vAlign w:val="center"/>
                </w:tcPr>
                <w:p>
                  <w:pPr>
                    <w:jc w:val="center"/>
                    <w:rPr>
                      <w:kern w:val="0"/>
                      <w:szCs w:val="21"/>
                    </w:rPr>
                  </w:pPr>
                  <w:r>
                    <w:rPr>
                      <w:rFonts w:hint="eastAsia"/>
                      <w:kern w:val="0"/>
                      <w:szCs w:val="21"/>
                    </w:rPr>
                    <w:t>套</w:t>
                  </w:r>
                </w:p>
              </w:tc>
              <w:tc>
                <w:tcPr>
                  <w:tcW w:w="1038" w:type="dxa"/>
                  <w:noWrap w:val="0"/>
                  <w:vAlign w:val="center"/>
                </w:tcPr>
                <w:p>
                  <w:pPr>
                    <w:jc w:val="center"/>
                    <w:rPr>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szCs w:val="21"/>
                    </w:rPr>
                  </w:pPr>
                  <w:r>
                    <w:rPr>
                      <w:rFonts w:hint="eastAsia"/>
                      <w:szCs w:val="21"/>
                    </w:rPr>
                    <w:t>7</w:t>
                  </w:r>
                </w:p>
              </w:tc>
              <w:tc>
                <w:tcPr>
                  <w:tcW w:w="2410" w:type="dxa"/>
                  <w:noWrap w:val="0"/>
                  <w:vAlign w:val="center"/>
                </w:tcPr>
                <w:p>
                  <w:pPr>
                    <w:jc w:val="center"/>
                    <w:rPr>
                      <w:szCs w:val="21"/>
                    </w:rPr>
                  </w:pPr>
                  <w:r>
                    <w:rPr>
                      <w:szCs w:val="21"/>
                    </w:rPr>
                    <w:t>油气回收系统</w:t>
                  </w:r>
                </w:p>
              </w:tc>
              <w:tc>
                <w:tcPr>
                  <w:tcW w:w="3402" w:type="dxa"/>
                  <w:noWrap w:val="0"/>
                  <w:vAlign w:val="center"/>
                </w:tcPr>
                <w:p>
                  <w:pPr>
                    <w:jc w:val="center"/>
                    <w:rPr>
                      <w:szCs w:val="21"/>
                    </w:rPr>
                  </w:pPr>
                  <w:r>
                    <w:rPr>
                      <w:szCs w:val="21"/>
                    </w:rPr>
                    <w:t>加油油气回收装置</w:t>
                  </w:r>
                </w:p>
              </w:tc>
              <w:tc>
                <w:tcPr>
                  <w:tcW w:w="851" w:type="dxa"/>
                  <w:noWrap w:val="0"/>
                  <w:vAlign w:val="center"/>
                </w:tcPr>
                <w:p>
                  <w:pPr>
                    <w:jc w:val="center"/>
                    <w:rPr>
                      <w:kern w:val="0"/>
                      <w:szCs w:val="21"/>
                    </w:rPr>
                  </w:pPr>
                  <w:r>
                    <w:rPr>
                      <w:rFonts w:hint="eastAsia"/>
                      <w:kern w:val="0"/>
                      <w:szCs w:val="21"/>
                    </w:rPr>
                    <w:t>套</w:t>
                  </w:r>
                </w:p>
              </w:tc>
              <w:tc>
                <w:tcPr>
                  <w:tcW w:w="1038" w:type="dxa"/>
                  <w:noWrap w:val="0"/>
                  <w:vAlign w:val="center"/>
                </w:tcPr>
                <w:p>
                  <w:pPr>
                    <w:jc w:val="center"/>
                    <w:rPr>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szCs w:val="21"/>
                    </w:rPr>
                  </w:pPr>
                  <w:r>
                    <w:rPr>
                      <w:rFonts w:hint="eastAsia"/>
                      <w:szCs w:val="21"/>
                    </w:rPr>
                    <w:t>8</w:t>
                  </w:r>
                </w:p>
              </w:tc>
              <w:tc>
                <w:tcPr>
                  <w:tcW w:w="2410" w:type="dxa"/>
                  <w:noWrap w:val="0"/>
                  <w:vAlign w:val="center"/>
                </w:tcPr>
                <w:p>
                  <w:pPr>
                    <w:jc w:val="center"/>
                    <w:rPr>
                      <w:rFonts w:hint="eastAsia"/>
                      <w:szCs w:val="21"/>
                    </w:rPr>
                  </w:pPr>
                  <w:r>
                    <w:rPr>
                      <w:rFonts w:hint="eastAsia"/>
                      <w:szCs w:val="21"/>
                    </w:rPr>
                    <w:t>通气管</w:t>
                  </w:r>
                </w:p>
              </w:tc>
              <w:tc>
                <w:tcPr>
                  <w:tcW w:w="3402" w:type="dxa"/>
                  <w:noWrap w:val="0"/>
                  <w:vAlign w:val="center"/>
                </w:tcPr>
                <w:p>
                  <w:pPr>
                    <w:jc w:val="center"/>
                    <w:rPr>
                      <w:szCs w:val="21"/>
                    </w:rPr>
                  </w:pPr>
                  <w:r>
                    <w:rPr>
                      <w:szCs w:val="21"/>
                    </w:rPr>
                    <w:t>卸油口附近，管口高出地面 4m</w:t>
                  </w:r>
                </w:p>
              </w:tc>
              <w:tc>
                <w:tcPr>
                  <w:tcW w:w="851" w:type="dxa"/>
                  <w:noWrap w:val="0"/>
                  <w:vAlign w:val="center"/>
                </w:tcPr>
                <w:p>
                  <w:pPr>
                    <w:jc w:val="center"/>
                    <w:rPr>
                      <w:rFonts w:hint="eastAsia"/>
                      <w:szCs w:val="21"/>
                    </w:rPr>
                  </w:pPr>
                  <w:r>
                    <w:rPr>
                      <w:rFonts w:hint="eastAsia"/>
                      <w:szCs w:val="21"/>
                    </w:rPr>
                    <w:t>根</w:t>
                  </w:r>
                </w:p>
              </w:tc>
              <w:tc>
                <w:tcPr>
                  <w:tcW w:w="1038" w:type="dxa"/>
                  <w:noWrap w:val="0"/>
                  <w:vAlign w:val="center"/>
                </w:tcPr>
                <w:p>
                  <w:pPr>
                    <w:jc w:val="center"/>
                    <w:rPr>
                      <w:rFonts w:hint="eastAsia"/>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4" w:type="dxa"/>
                  <w:gridSpan w:val="5"/>
                  <w:noWrap w:val="0"/>
                  <w:vAlign w:val="center"/>
                </w:tcPr>
                <w:p>
                  <w:pPr>
                    <w:jc w:val="left"/>
                    <w:rPr>
                      <w:kern w:val="0"/>
                      <w:szCs w:val="21"/>
                    </w:rPr>
                  </w:pPr>
                  <w:r>
                    <w:rPr>
                      <w:rFonts w:hint="eastAsia"/>
                      <w:kern w:val="0"/>
                      <w:szCs w:val="21"/>
                    </w:rPr>
                    <w:t>三、充电桩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kern w:val="0"/>
                      <w:szCs w:val="21"/>
                    </w:rPr>
                  </w:pPr>
                  <w:r>
                    <w:rPr>
                      <w:rFonts w:hint="eastAsia"/>
                      <w:kern w:val="0"/>
                      <w:szCs w:val="21"/>
                    </w:rPr>
                    <w:t>1</w:t>
                  </w:r>
                </w:p>
              </w:tc>
              <w:tc>
                <w:tcPr>
                  <w:tcW w:w="2410" w:type="dxa"/>
                  <w:noWrap w:val="0"/>
                  <w:vAlign w:val="center"/>
                </w:tcPr>
                <w:p>
                  <w:pPr>
                    <w:jc w:val="center"/>
                    <w:rPr>
                      <w:rFonts w:hint="eastAsia"/>
                      <w:szCs w:val="21"/>
                    </w:rPr>
                  </w:pPr>
                  <w:r>
                    <w:rPr>
                      <w:rFonts w:hint="eastAsia"/>
                      <w:szCs w:val="21"/>
                    </w:rPr>
                    <w:t>汽车充电桩</w:t>
                  </w:r>
                </w:p>
              </w:tc>
              <w:tc>
                <w:tcPr>
                  <w:tcW w:w="3402" w:type="dxa"/>
                  <w:noWrap w:val="0"/>
                  <w:vAlign w:val="center"/>
                </w:tcPr>
                <w:p>
                  <w:pPr>
                    <w:jc w:val="center"/>
                    <w:rPr>
                      <w:szCs w:val="21"/>
                    </w:rPr>
                  </w:pPr>
                  <w:r>
                    <w:rPr>
                      <w:rFonts w:hint="eastAsia"/>
                      <w:szCs w:val="21"/>
                    </w:rPr>
                    <w:t>/</w:t>
                  </w:r>
                </w:p>
              </w:tc>
              <w:tc>
                <w:tcPr>
                  <w:tcW w:w="851" w:type="dxa"/>
                  <w:noWrap w:val="0"/>
                  <w:vAlign w:val="center"/>
                </w:tcPr>
                <w:p>
                  <w:pPr>
                    <w:jc w:val="center"/>
                    <w:rPr>
                      <w:rFonts w:hint="eastAsia"/>
                      <w:kern w:val="0"/>
                      <w:szCs w:val="21"/>
                    </w:rPr>
                  </w:pPr>
                  <w:r>
                    <w:rPr>
                      <w:rFonts w:hint="eastAsia"/>
                      <w:kern w:val="0"/>
                      <w:szCs w:val="21"/>
                    </w:rPr>
                    <w:t>套</w:t>
                  </w:r>
                </w:p>
              </w:tc>
              <w:tc>
                <w:tcPr>
                  <w:tcW w:w="1038" w:type="dxa"/>
                  <w:noWrap w:val="0"/>
                  <w:vAlign w:val="center"/>
                </w:tcPr>
                <w:p>
                  <w:pPr>
                    <w:jc w:val="center"/>
                    <w:rPr>
                      <w:kern w:val="0"/>
                      <w:szCs w:val="21"/>
                    </w:rPr>
                  </w:pPr>
                  <w:r>
                    <w:rPr>
                      <w:rFonts w:hint="eastAsia"/>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4" w:type="dxa"/>
                  <w:gridSpan w:val="5"/>
                  <w:noWrap w:val="0"/>
                  <w:vAlign w:val="center"/>
                </w:tcPr>
                <w:p>
                  <w:pPr>
                    <w:jc w:val="left"/>
                    <w:rPr>
                      <w:rFonts w:hint="eastAsia"/>
                      <w:kern w:val="0"/>
                      <w:szCs w:val="21"/>
                    </w:rPr>
                  </w:pPr>
                  <w:r>
                    <w:rPr>
                      <w:rFonts w:hint="eastAsia"/>
                      <w:kern w:val="0"/>
                      <w:szCs w:val="21"/>
                    </w:rPr>
                    <w:t>四、辅助设备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kern w:val="0"/>
                      <w:szCs w:val="21"/>
                    </w:rPr>
                  </w:pPr>
                  <w:r>
                    <w:rPr>
                      <w:rFonts w:hint="eastAsia"/>
                      <w:kern w:val="0"/>
                      <w:szCs w:val="21"/>
                    </w:rPr>
                    <w:t>1</w:t>
                  </w:r>
                </w:p>
              </w:tc>
              <w:tc>
                <w:tcPr>
                  <w:tcW w:w="2410" w:type="dxa"/>
                  <w:noWrap w:val="0"/>
                  <w:vAlign w:val="center"/>
                </w:tcPr>
                <w:p>
                  <w:pPr>
                    <w:jc w:val="center"/>
                    <w:rPr>
                      <w:rFonts w:hint="eastAsia"/>
                      <w:szCs w:val="21"/>
                    </w:rPr>
                  </w:pPr>
                  <w:r>
                    <w:rPr>
                      <w:rFonts w:hint="eastAsia"/>
                      <w:szCs w:val="21"/>
                    </w:rPr>
                    <w:t>备用柴油发电机</w:t>
                  </w:r>
                </w:p>
              </w:tc>
              <w:tc>
                <w:tcPr>
                  <w:tcW w:w="3402" w:type="dxa"/>
                  <w:noWrap w:val="0"/>
                  <w:vAlign w:val="center"/>
                </w:tcPr>
                <w:p>
                  <w:pPr>
                    <w:jc w:val="center"/>
                    <w:rPr>
                      <w:rFonts w:hint="eastAsia"/>
                      <w:szCs w:val="21"/>
                    </w:rPr>
                  </w:pPr>
                  <w:r>
                    <w:rPr>
                      <w:rFonts w:hint="eastAsia"/>
                      <w:szCs w:val="21"/>
                    </w:rPr>
                    <w:t>25kW</w:t>
                  </w:r>
                </w:p>
              </w:tc>
              <w:tc>
                <w:tcPr>
                  <w:tcW w:w="851" w:type="dxa"/>
                  <w:noWrap w:val="0"/>
                  <w:vAlign w:val="center"/>
                </w:tcPr>
                <w:p>
                  <w:pPr>
                    <w:jc w:val="center"/>
                    <w:rPr>
                      <w:rFonts w:hint="eastAsia"/>
                      <w:kern w:val="0"/>
                      <w:szCs w:val="21"/>
                    </w:rPr>
                  </w:pPr>
                  <w:r>
                    <w:rPr>
                      <w:rFonts w:hint="eastAsia"/>
                      <w:kern w:val="0"/>
                      <w:szCs w:val="21"/>
                    </w:rPr>
                    <w:t>台</w:t>
                  </w:r>
                </w:p>
              </w:tc>
              <w:tc>
                <w:tcPr>
                  <w:tcW w:w="1038" w:type="dxa"/>
                  <w:noWrap w:val="0"/>
                  <w:vAlign w:val="center"/>
                </w:tcPr>
                <w:p>
                  <w:pPr>
                    <w:jc w:val="center"/>
                    <w:rPr>
                      <w:rFonts w:hint="eastAsia"/>
                      <w:kern w:val="0"/>
                      <w:szCs w:val="21"/>
                    </w:rPr>
                  </w:pPr>
                  <w:r>
                    <w:rPr>
                      <w:rFonts w:hint="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dxa"/>
                  <w:noWrap w:val="0"/>
                  <w:vAlign w:val="center"/>
                </w:tcPr>
                <w:p>
                  <w:pPr>
                    <w:jc w:val="center"/>
                    <w:rPr>
                      <w:rFonts w:hint="eastAsia"/>
                      <w:kern w:val="0"/>
                      <w:szCs w:val="21"/>
                    </w:rPr>
                  </w:pPr>
                  <w:r>
                    <w:rPr>
                      <w:rFonts w:hint="eastAsia"/>
                      <w:kern w:val="0"/>
                      <w:szCs w:val="21"/>
                    </w:rPr>
                    <w:t>2</w:t>
                  </w:r>
                </w:p>
              </w:tc>
              <w:tc>
                <w:tcPr>
                  <w:tcW w:w="2410" w:type="dxa"/>
                  <w:noWrap w:val="0"/>
                  <w:vAlign w:val="center"/>
                </w:tcPr>
                <w:p>
                  <w:pPr>
                    <w:jc w:val="center"/>
                    <w:rPr>
                      <w:rFonts w:hint="eastAsia"/>
                      <w:szCs w:val="21"/>
                    </w:rPr>
                  </w:pPr>
                  <w:r>
                    <w:rPr>
                      <w:rFonts w:hint="eastAsia"/>
                      <w:szCs w:val="21"/>
                    </w:rPr>
                    <w:t>自动洗车机</w:t>
                  </w:r>
                </w:p>
              </w:tc>
              <w:tc>
                <w:tcPr>
                  <w:tcW w:w="3402" w:type="dxa"/>
                  <w:noWrap w:val="0"/>
                  <w:vAlign w:val="center"/>
                </w:tcPr>
                <w:p>
                  <w:pPr>
                    <w:jc w:val="center"/>
                    <w:rPr>
                      <w:rFonts w:hint="eastAsia"/>
                      <w:szCs w:val="21"/>
                    </w:rPr>
                  </w:pPr>
                  <w:r>
                    <w:rPr>
                      <w:rFonts w:hint="eastAsia"/>
                      <w:szCs w:val="21"/>
                    </w:rPr>
                    <w:t>/</w:t>
                  </w:r>
                </w:p>
              </w:tc>
              <w:tc>
                <w:tcPr>
                  <w:tcW w:w="851" w:type="dxa"/>
                  <w:noWrap w:val="0"/>
                  <w:vAlign w:val="center"/>
                </w:tcPr>
                <w:p>
                  <w:pPr>
                    <w:jc w:val="center"/>
                    <w:rPr>
                      <w:rFonts w:hint="eastAsia"/>
                      <w:kern w:val="0"/>
                      <w:szCs w:val="21"/>
                    </w:rPr>
                  </w:pPr>
                  <w:r>
                    <w:rPr>
                      <w:rFonts w:hint="eastAsia"/>
                      <w:kern w:val="0"/>
                      <w:szCs w:val="21"/>
                    </w:rPr>
                    <w:t>台</w:t>
                  </w:r>
                </w:p>
              </w:tc>
              <w:tc>
                <w:tcPr>
                  <w:tcW w:w="1038" w:type="dxa"/>
                  <w:noWrap w:val="0"/>
                  <w:vAlign w:val="center"/>
                </w:tcPr>
                <w:p>
                  <w:pPr>
                    <w:jc w:val="center"/>
                    <w:rPr>
                      <w:rFonts w:hint="eastAsia"/>
                      <w:kern w:val="0"/>
                      <w:szCs w:val="21"/>
                    </w:rPr>
                  </w:pPr>
                  <w:r>
                    <w:rPr>
                      <w:rFonts w:hint="eastAsia"/>
                      <w:kern w:val="0"/>
                      <w:szCs w:val="21"/>
                    </w:rPr>
                    <w:t>1</w:t>
                  </w:r>
                </w:p>
              </w:tc>
            </w:tr>
          </w:tbl>
          <w:p>
            <w:pPr>
              <w:pStyle w:val="647"/>
              <w:ind w:firstLine="482"/>
              <w:rPr>
                <w:b/>
                <w:bCs/>
                <w:snapToGrid w:val="0"/>
              </w:rPr>
            </w:pPr>
            <w:r>
              <w:rPr>
                <w:rFonts w:hint="eastAsia"/>
                <w:b/>
                <w:bCs/>
                <w:snapToGrid w:val="0"/>
              </w:rPr>
              <w:t>7、</w:t>
            </w:r>
            <w:r>
              <w:rPr>
                <w:b/>
                <w:bCs/>
                <w:snapToGrid w:val="0"/>
              </w:rPr>
              <w:t>公用工程及辅助设施</w:t>
            </w:r>
          </w:p>
          <w:p>
            <w:pPr>
              <w:pStyle w:val="647"/>
              <w:ind w:firstLine="480"/>
              <w:rPr>
                <w:rFonts w:hint="eastAsia"/>
              </w:rPr>
            </w:pPr>
            <w:r>
              <w:rPr>
                <w:rFonts w:hint="eastAsia"/>
              </w:rPr>
              <w:t>（1）</w:t>
            </w:r>
            <w:r>
              <w:t>给</w:t>
            </w:r>
            <w:r>
              <w:rPr>
                <w:rFonts w:hint="eastAsia"/>
              </w:rPr>
              <w:t>排水</w:t>
            </w:r>
          </w:p>
          <w:p>
            <w:pPr>
              <w:pStyle w:val="647"/>
              <w:ind w:firstLine="480"/>
            </w:pPr>
            <w:r>
              <w:t>本项目</w:t>
            </w:r>
            <w:r>
              <w:rPr>
                <w:rFonts w:hint="eastAsia"/>
              </w:rPr>
              <w:t>用水由市政给水管网供给。项目</w:t>
            </w:r>
            <w:r>
              <w:t>用水</w:t>
            </w:r>
            <w:r>
              <w:rPr>
                <w:rFonts w:hint="eastAsia"/>
              </w:rPr>
              <w:t>包括洗车用水、</w:t>
            </w:r>
            <w:r>
              <w:t>站内员工及外来司乘人员用水</w:t>
            </w:r>
            <w:r>
              <w:rPr>
                <w:rFonts w:hint="eastAsia"/>
              </w:rPr>
              <w:t>、地面冲洗水及</w:t>
            </w:r>
            <w:r>
              <w:t>绿化用水</w:t>
            </w:r>
            <w:r>
              <w:rPr>
                <w:rFonts w:hint="eastAsia"/>
              </w:rPr>
              <w:t>。</w:t>
            </w:r>
          </w:p>
          <w:p>
            <w:pPr>
              <w:pStyle w:val="647"/>
              <w:ind w:firstLine="480"/>
              <w:rPr>
                <w:rFonts w:hint="eastAsia"/>
              </w:rPr>
            </w:pPr>
            <w:r>
              <w:t>项目排水采取雨污分流制。根据用水情况分析，项目废水主要来源于</w:t>
            </w:r>
            <w:r>
              <w:rPr>
                <w:rFonts w:hint="eastAsia"/>
              </w:rPr>
              <w:t>洗车用水、</w:t>
            </w:r>
            <w:r>
              <w:t>站内工作人员及司乘人员的生活污水，废水产生量按用水量的</w:t>
            </w:r>
            <w:r>
              <w:rPr>
                <w:rFonts w:hint="eastAsia"/>
              </w:rPr>
              <w:t>8</w:t>
            </w:r>
            <w:r>
              <w:t>0%计</w:t>
            </w:r>
            <w:r>
              <w:rPr>
                <w:rFonts w:hint="eastAsia"/>
              </w:rPr>
              <w:t>，</w:t>
            </w:r>
            <w:r>
              <w:t>生活污水排入化粪池预处理后，排入市政污水管网</w:t>
            </w:r>
            <w:r>
              <w:rPr>
                <w:rFonts w:hint="eastAsia"/>
              </w:rPr>
              <w:t>；洗车废水经2格式隔油沉淀池处理后上清液回用（回用率约为60%），下层污水进入化粪池与生活污水一起处理；地面</w:t>
            </w:r>
            <w:r>
              <w:t>冲洗废水排入水封隔油池预处理后</w:t>
            </w:r>
            <w:r>
              <w:rPr>
                <w:rFonts w:hint="eastAsia"/>
              </w:rPr>
              <w:t>进入化粪池，与生活污水一起通过</w:t>
            </w:r>
            <w:r>
              <w:t>市政污水管网</w:t>
            </w:r>
            <w:r>
              <w:rPr>
                <w:rFonts w:hint="eastAsia"/>
              </w:rPr>
              <w:t>排入达州市第二城市生活污水处理厂，</w:t>
            </w:r>
            <w:r>
              <w:rPr>
                <w:rFonts w:hint="eastAsia"/>
                <w:szCs w:val="24"/>
                <w:lang w:bidi="ar"/>
              </w:rPr>
              <w:t>处理</w:t>
            </w:r>
            <w:r>
              <w:rPr>
                <w:rFonts w:hint="eastAsia"/>
                <w:szCs w:val="24"/>
              </w:rPr>
              <w:t>达到</w:t>
            </w:r>
            <w:r>
              <w:rPr>
                <w:szCs w:val="24"/>
              </w:rPr>
              <w:t>《城镇污水处理厂污染物排放标准》（GB18981-2002）一级A标准</w:t>
            </w:r>
            <w:r>
              <w:rPr>
                <w:rFonts w:hint="eastAsia"/>
                <w:szCs w:val="24"/>
              </w:rPr>
              <w:t>后</w:t>
            </w:r>
            <w:r>
              <w:rPr>
                <w:rFonts w:hint="eastAsia" w:ascii="宋体" w:hAnsi="宋体" w:cs="宋体"/>
                <w:szCs w:val="24"/>
                <w:lang w:bidi="ar"/>
              </w:rPr>
              <w:t>排入州河。</w:t>
            </w:r>
          </w:p>
          <w:p>
            <w:pPr>
              <w:pStyle w:val="647"/>
              <w:ind w:firstLine="480"/>
            </w:pPr>
            <w:r>
              <w:t>项目用水量及废水产生情况详见下表。</w:t>
            </w:r>
          </w:p>
          <w:p>
            <w:pPr>
              <w:keepNext/>
              <w:keepLines/>
              <w:contextualSpacing/>
              <w:jc w:val="center"/>
              <w:outlineLvl w:val="3"/>
              <w:rPr>
                <w:rFonts w:hint="eastAsia"/>
                <w:b/>
                <w:bCs/>
                <w:kern w:val="0"/>
                <w:szCs w:val="21"/>
              </w:rPr>
            </w:pPr>
            <w:r>
              <w:rPr>
                <w:b/>
                <w:bCs/>
                <w:kern w:val="0"/>
                <w:szCs w:val="21"/>
              </w:rPr>
              <w:t>表2-</w:t>
            </w:r>
            <w:r>
              <w:rPr>
                <w:rFonts w:hint="eastAsia"/>
                <w:b/>
                <w:bCs/>
                <w:kern w:val="0"/>
                <w:szCs w:val="21"/>
              </w:rPr>
              <w:t>7</w:t>
            </w:r>
            <w:r>
              <w:rPr>
                <w:b/>
                <w:bCs/>
                <w:kern w:val="0"/>
                <w:szCs w:val="21"/>
              </w:rPr>
              <w:t xml:space="preserve"> 项目用水量及废水产生量估算表</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158"/>
              <w:gridCol w:w="884"/>
              <w:gridCol w:w="1239"/>
              <w:gridCol w:w="1577"/>
              <w:gridCol w:w="704"/>
              <w:gridCol w:w="1138"/>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b/>
                      <w:bCs/>
                      <w:sz w:val="18"/>
                      <w:szCs w:val="18"/>
                    </w:rPr>
                  </w:pPr>
                  <w:r>
                    <w:rPr>
                      <w:b/>
                      <w:bCs/>
                      <w:sz w:val="18"/>
                      <w:szCs w:val="18"/>
                    </w:rPr>
                    <w:t>序号</w:t>
                  </w:r>
                </w:p>
              </w:tc>
              <w:tc>
                <w:tcPr>
                  <w:tcW w:w="1158" w:type="dxa"/>
                  <w:noWrap w:val="0"/>
                  <w:vAlign w:val="center"/>
                </w:tcPr>
                <w:p>
                  <w:pPr>
                    <w:jc w:val="center"/>
                    <w:rPr>
                      <w:b/>
                      <w:bCs/>
                      <w:sz w:val="18"/>
                      <w:szCs w:val="18"/>
                    </w:rPr>
                  </w:pPr>
                  <w:r>
                    <w:rPr>
                      <w:b/>
                      <w:bCs/>
                      <w:sz w:val="18"/>
                      <w:szCs w:val="18"/>
                    </w:rPr>
                    <w:t>用水项目</w:t>
                  </w:r>
                </w:p>
              </w:tc>
              <w:tc>
                <w:tcPr>
                  <w:tcW w:w="884" w:type="dxa"/>
                  <w:noWrap w:val="0"/>
                  <w:vAlign w:val="center"/>
                </w:tcPr>
                <w:p>
                  <w:pPr>
                    <w:jc w:val="center"/>
                    <w:rPr>
                      <w:b/>
                      <w:bCs/>
                      <w:sz w:val="18"/>
                      <w:szCs w:val="18"/>
                    </w:rPr>
                  </w:pPr>
                  <w:r>
                    <w:rPr>
                      <w:b/>
                      <w:bCs/>
                      <w:sz w:val="18"/>
                      <w:szCs w:val="18"/>
                    </w:rPr>
                    <w:t>用水单位</w:t>
                  </w:r>
                </w:p>
              </w:tc>
              <w:tc>
                <w:tcPr>
                  <w:tcW w:w="1239" w:type="dxa"/>
                  <w:noWrap w:val="0"/>
                  <w:vAlign w:val="center"/>
                </w:tcPr>
                <w:p>
                  <w:pPr>
                    <w:jc w:val="center"/>
                    <w:rPr>
                      <w:b/>
                      <w:bCs/>
                      <w:sz w:val="18"/>
                      <w:szCs w:val="18"/>
                    </w:rPr>
                  </w:pPr>
                  <w:r>
                    <w:rPr>
                      <w:b/>
                      <w:bCs/>
                      <w:sz w:val="18"/>
                      <w:szCs w:val="18"/>
                    </w:rPr>
                    <w:t>用水标准</w:t>
                  </w:r>
                </w:p>
              </w:tc>
              <w:tc>
                <w:tcPr>
                  <w:tcW w:w="1577" w:type="dxa"/>
                  <w:noWrap w:val="0"/>
                  <w:vAlign w:val="center"/>
                </w:tcPr>
                <w:p>
                  <w:pPr>
                    <w:jc w:val="center"/>
                    <w:rPr>
                      <w:b/>
                      <w:bCs/>
                      <w:sz w:val="18"/>
                      <w:szCs w:val="18"/>
                    </w:rPr>
                  </w:pPr>
                  <w:r>
                    <w:rPr>
                      <w:b/>
                      <w:bCs/>
                      <w:sz w:val="18"/>
                      <w:szCs w:val="18"/>
                    </w:rPr>
                    <w:t>用水量</w:t>
                  </w:r>
                </w:p>
                <w:p>
                  <w:pPr>
                    <w:jc w:val="center"/>
                    <w:rPr>
                      <w:b/>
                      <w:bCs/>
                      <w:sz w:val="18"/>
                      <w:szCs w:val="18"/>
                    </w:rPr>
                  </w:pPr>
                  <w:r>
                    <w:rPr>
                      <w:b/>
                      <w:bCs/>
                      <w:sz w:val="18"/>
                      <w:szCs w:val="18"/>
                    </w:rPr>
                    <w:t>（m</w:t>
                  </w:r>
                  <w:r>
                    <w:rPr>
                      <w:b/>
                      <w:bCs/>
                      <w:sz w:val="18"/>
                      <w:szCs w:val="18"/>
                      <w:vertAlign w:val="superscript"/>
                    </w:rPr>
                    <w:t>3</w:t>
                  </w:r>
                  <w:r>
                    <w:rPr>
                      <w:b/>
                      <w:bCs/>
                      <w:sz w:val="18"/>
                      <w:szCs w:val="18"/>
                    </w:rPr>
                    <w:t>/d）</w:t>
                  </w:r>
                </w:p>
              </w:tc>
              <w:tc>
                <w:tcPr>
                  <w:tcW w:w="704" w:type="dxa"/>
                  <w:noWrap w:val="0"/>
                  <w:vAlign w:val="center"/>
                </w:tcPr>
                <w:p>
                  <w:pPr>
                    <w:jc w:val="center"/>
                    <w:rPr>
                      <w:b/>
                      <w:bCs/>
                      <w:sz w:val="18"/>
                      <w:szCs w:val="18"/>
                    </w:rPr>
                  </w:pPr>
                  <w:r>
                    <w:rPr>
                      <w:b/>
                      <w:bCs/>
                      <w:sz w:val="18"/>
                      <w:szCs w:val="18"/>
                    </w:rPr>
                    <w:t>排污系数</w:t>
                  </w:r>
                </w:p>
              </w:tc>
              <w:tc>
                <w:tcPr>
                  <w:tcW w:w="1138" w:type="dxa"/>
                  <w:noWrap w:val="0"/>
                  <w:vAlign w:val="center"/>
                </w:tcPr>
                <w:p>
                  <w:pPr>
                    <w:jc w:val="center"/>
                    <w:rPr>
                      <w:b/>
                      <w:bCs/>
                      <w:sz w:val="18"/>
                      <w:szCs w:val="18"/>
                    </w:rPr>
                  </w:pPr>
                  <w:r>
                    <w:rPr>
                      <w:b/>
                      <w:bCs/>
                      <w:sz w:val="18"/>
                      <w:szCs w:val="18"/>
                    </w:rPr>
                    <w:t>排水量（m</w:t>
                  </w:r>
                  <w:r>
                    <w:rPr>
                      <w:b/>
                      <w:bCs/>
                      <w:sz w:val="18"/>
                      <w:szCs w:val="18"/>
                      <w:vertAlign w:val="superscript"/>
                    </w:rPr>
                    <w:t>3</w:t>
                  </w:r>
                  <w:r>
                    <w:rPr>
                      <w:b/>
                      <w:bCs/>
                      <w:sz w:val="18"/>
                      <w:szCs w:val="18"/>
                    </w:rPr>
                    <w:t>/d）</w:t>
                  </w:r>
                </w:p>
              </w:tc>
              <w:tc>
                <w:tcPr>
                  <w:tcW w:w="1026" w:type="dxa"/>
                  <w:noWrap w:val="0"/>
                  <w:vAlign w:val="center"/>
                </w:tcPr>
                <w:p>
                  <w:pPr>
                    <w:jc w:val="center"/>
                    <w:rPr>
                      <w:b/>
                      <w:bCs/>
                      <w:sz w:val="18"/>
                      <w:szCs w:val="18"/>
                    </w:rPr>
                  </w:pPr>
                  <w:r>
                    <w:rPr>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1</w:t>
                  </w:r>
                </w:p>
              </w:tc>
              <w:tc>
                <w:tcPr>
                  <w:tcW w:w="1158" w:type="dxa"/>
                  <w:noWrap w:val="0"/>
                  <w:vAlign w:val="center"/>
                </w:tcPr>
                <w:p>
                  <w:pPr>
                    <w:jc w:val="center"/>
                    <w:rPr>
                      <w:sz w:val="18"/>
                      <w:szCs w:val="18"/>
                    </w:rPr>
                  </w:pPr>
                  <w:r>
                    <w:rPr>
                      <w:rFonts w:hint="eastAsia"/>
                      <w:sz w:val="18"/>
                      <w:szCs w:val="18"/>
                    </w:rPr>
                    <w:t>站内工作人员</w:t>
                  </w:r>
                </w:p>
              </w:tc>
              <w:tc>
                <w:tcPr>
                  <w:tcW w:w="884" w:type="dxa"/>
                  <w:noWrap w:val="0"/>
                  <w:vAlign w:val="center"/>
                </w:tcPr>
                <w:p>
                  <w:pPr>
                    <w:jc w:val="center"/>
                    <w:rPr>
                      <w:sz w:val="18"/>
                      <w:szCs w:val="18"/>
                    </w:rPr>
                  </w:pPr>
                  <w:r>
                    <w:rPr>
                      <w:rFonts w:hint="eastAsia"/>
                      <w:sz w:val="18"/>
                      <w:szCs w:val="18"/>
                    </w:rPr>
                    <w:t>10人</w:t>
                  </w:r>
                </w:p>
              </w:tc>
              <w:tc>
                <w:tcPr>
                  <w:tcW w:w="1239" w:type="dxa"/>
                  <w:noWrap w:val="0"/>
                  <w:vAlign w:val="center"/>
                </w:tcPr>
                <w:p>
                  <w:pPr>
                    <w:jc w:val="center"/>
                    <w:rPr>
                      <w:sz w:val="18"/>
                      <w:szCs w:val="18"/>
                    </w:rPr>
                  </w:pPr>
                  <w:r>
                    <w:rPr>
                      <w:rFonts w:hint="eastAsia"/>
                      <w:sz w:val="18"/>
                      <w:szCs w:val="18"/>
                    </w:rPr>
                    <w:t>80L</w:t>
                  </w:r>
                  <w:r>
                    <w:rPr>
                      <w:sz w:val="18"/>
                      <w:szCs w:val="18"/>
                    </w:rPr>
                    <w:t>/</w:t>
                  </w:r>
                  <w:r>
                    <w:rPr>
                      <w:rFonts w:hint="eastAsia"/>
                      <w:sz w:val="18"/>
                      <w:szCs w:val="18"/>
                    </w:rPr>
                    <w:t>人</w:t>
                  </w:r>
                  <w:r>
                    <w:rPr>
                      <w:sz w:val="18"/>
                      <w:szCs w:val="18"/>
                    </w:rPr>
                    <w:t>·</w:t>
                  </w:r>
                  <w:r>
                    <w:rPr>
                      <w:rFonts w:hint="eastAsia"/>
                      <w:sz w:val="18"/>
                      <w:szCs w:val="18"/>
                    </w:rPr>
                    <w:t>d</w:t>
                  </w:r>
                </w:p>
              </w:tc>
              <w:tc>
                <w:tcPr>
                  <w:tcW w:w="1577" w:type="dxa"/>
                  <w:noWrap w:val="0"/>
                  <w:vAlign w:val="center"/>
                </w:tcPr>
                <w:p>
                  <w:pPr>
                    <w:jc w:val="center"/>
                    <w:rPr>
                      <w:sz w:val="18"/>
                      <w:szCs w:val="18"/>
                    </w:rPr>
                  </w:pPr>
                  <w:r>
                    <w:rPr>
                      <w:sz w:val="18"/>
                      <w:szCs w:val="18"/>
                    </w:rPr>
                    <w:t>0.8</w:t>
                  </w:r>
                  <w:r>
                    <w:rPr>
                      <w:rFonts w:hint="eastAsia"/>
                      <w:sz w:val="18"/>
                      <w:szCs w:val="18"/>
                    </w:rPr>
                    <w:t>0</w:t>
                  </w:r>
                </w:p>
              </w:tc>
              <w:tc>
                <w:tcPr>
                  <w:tcW w:w="704" w:type="dxa"/>
                  <w:noWrap w:val="0"/>
                  <w:vAlign w:val="center"/>
                </w:tcPr>
                <w:p>
                  <w:pPr>
                    <w:jc w:val="center"/>
                    <w:rPr>
                      <w:sz w:val="18"/>
                      <w:szCs w:val="18"/>
                    </w:rPr>
                  </w:pPr>
                  <w:r>
                    <w:rPr>
                      <w:rFonts w:hint="eastAsia"/>
                      <w:sz w:val="18"/>
                      <w:szCs w:val="18"/>
                    </w:rPr>
                    <w:t>0</w:t>
                  </w:r>
                  <w:r>
                    <w:rPr>
                      <w:sz w:val="18"/>
                      <w:szCs w:val="18"/>
                    </w:rPr>
                    <w:t>.8</w:t>
                  </w:r>
                </w:p>
              </w:tc>
              <w:tc>
                <w:tcPr>
                  <w:tcW w:w="1138" w:type="dxa"/>
                  <w:noWrap w:val="0"/>
                  <w:vAlign w:val="center"/>
                </w:tcPr>
                <w:p>
                  <w:pPr>
                    <w:jc w:val="center"/>
                    <w:rPr>
                      <w:sz w:val="18"/>
                      <w:szCs w:val="18"/>
                    </w:rPr>
                  </w:pPr>
                  <w:r>
                    <w:rPr>
                      <w:rFonts w:hint="eastAsia"/>
                      <w:sz w:val="18"/>
                      <w:szCs w:val="18"/>
                    </w:rPr>
                    <w:t>0.64</w:t>
                  </w:r>
                </w:p>
              </w:tc>
              <w:tc>
                <w:tcPr>
                  <w:tcW w:w="1026" w:type="dxa"/>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2</w:t>
                  </w:r>
                </w:p>
              </w:tc>
              <w:tc>
                <w:tcPr>
                  <w:tcW w:w="1158" w:type="dxa"/>
                  <w:noWrap w:val="0"/>
                  <w:vAlign w:val="center"/>
                </w:tcPr>
                <w:p>
                  <w:pPr>
                    <w:jc w:val="center"/>
                    <w:rPr>
                      <w:rFonts w:hint="eastAsia"/>
                      <w:sz w:val="18"/>
                      <w:szCs w:val="18"/>
                    </w:rPr>
                  </w:pPr>
                  <w:r>
                    <w:rPr>
                      <w:rFonts w:hint="eastAsia"/>
                      <w:sz w:val="18"/>
                      <w:szCs w:val="18"/>
                    </w:rPr>
                    <w:t>司乘人员</w:t>
                  </w:r>
                </w:p>
              </w:tc>
              <w:tc>
                <w:tcPr>
                  <w:tcW w:w="884" w:type="dxa"/>
                  <w:noWrap w:val="0"/>
                  <w:vAlign w:val="center"/>
                </w:tcPr>
                <w:p>
                  <w:pPr>
                    <w:jc w:val="center"/>
                    <w:rPr>
                      <w:sz w:val="18"/>
                      <w:szCs w:val="18"/>
                    </w:rPr>
                  </w:pPr>
                  <w:r>
                    <w:rPr>
                      <w:rFonts w:hint="eastAsia"/>
                      <w:sz w:val="18"/>
                      <w:szCs w:val="18"/>
                    </w:rPr>
                    <w:t>120人</w:t>
                  </w:r>
                </w:p>
              </w:tc>
              <w:tc>
                <w:tcPr>
                  <w:tcW w:w="1239" w:type="dxa"/>
                  <w:noWrap w:val="0"/>
                  <w:vAlign w:val="center"/>
                </w:tcPr>
                <w:p>
                  <w:pPr>
                    <w:jc w:val="center"/>
                    <w:rPr>
                      <w:sz w:val="18"/>
                      <w:szCs w:val="18"/>
                    </w:rPr>
                  </w:pPr>
                  <w:r>
                    <w:rPr>
                      <w:rFonts w:hint="eastAsia"/>
                      <w:sz w:val="18"/>
                      <w:szCs w:val="18"/>
                    </w:rPr>
                    <w:t>6L</w:t>
                  </w:r>
                  <w:r>
                    <w:rPr>
                      <w:sz w:val="18"/>
                      <w:szCs w:val="18"/>
                    </w:rPr>
                    <w:t>/</w:t>
                  </w:r>
                  <w:r>
                    <w:rPr>
                      <w:rFonts w:hint="eastAsia"/>
                      <w:sz w:val="18"/>
                      <w:szCs w:val="18"/>
                    </w:rPr>
                    <w:t>人</w:t>
                  </w:r>
                  <w:r>
                    <w:rPr>
                      <w:sz w:val="18"/>
                      <w:szCs w:val="18"/>
                    </w:rPr>
                    <w:t>·</w:t>
                  </w:r>
                  <w:r>
                    <w:rPr>
                      <w:rFonts w:hint="eastAsia"/>
                      <w:sz w:val="18"/>
                      <w:szCs w:val="18"/>
                    </w:rPr>
                    <w:t>d</w:t>
                  </w:r>
                </w:p>
              </w:tc>
              <w:tc>
                <w:tcPr>
                  <w:tcW w:w="1577" w:type="dxa"/>
                  <w:noWrap w:val="0"/>
                  <w:vAlign w:val="center"/>
                </w:tcPr>
                <w:p>
                  <w:pPr>
                    <w:jc w:val="center"/>
                    <w:rPr>
                      <w:sz w:val="18"/>
                      <w:szCs w:val="18"/>
                    </w:rPr>
                  </w:pPr>
                  <w:r>
                    <w:rPr>
                      <w:sz w:val="18"/>
                      <w:szCs w:val="18"/>
                    </w:rPr>
                    <w:t>0.</w:t>
                  </w:r>
                  <w:r>
                    <w:rPr>
                      <w:rFonts w:hint="eastAsia"/>
                      <w:sz w:val="18"/>
                      <w:szCs w:val="18"/>
                    </w:rPr>
                    <w:t>72</w:t>
                  </w:r>
                </w:p>
              </w:tc>
              <w:tc>
                <w:tcPr>
                  <w:tcW w:w="704" w:type="dxa"/>
                  <w:noWrap w:val="0"/>
                  <w:vAlign w:val="center"/>
                </w:tcPr>
                <w:p>
                  <w:pPr>
                    <w:jc w:val="center"/>
                    <w:rPr>
                      <w:sz w:val="18"/>
                      <w:szCs w:val="18"/>
                    </w:rPr>
                  </w:pPr>
                  <w:r>
                    <w:rPr>
                      <w:rFonts w:hint="eastAsia"/>
                      <w:sz w:val="18"/>
                      <w:szCs w:val="18"/>
                    </w:rPr>
                    <w:t>0</w:t>
                  </w:r>
                  <w:r>
                    <w:rPr>
                      <w:sz w:val="18"/>
                      <w:szCs w:val="18"/>
                    </w:rPr>
                    <w:t>.8</w:t>
                  </w:r>
                </w:p>
              </w:tc>
              <w:tc>
                <w:tcPr>
                  <w:tcW w:w="1138" w:type="dxa"/>
                  <w:noWrap w:val="0"/>
                  <w:vAlign w:val="center"/>
                </w:tcPr>
                <w:p>
                  <w:pPr>
                    <w:jc w:val="center"/>
                    <w:rPr>
                      <w:sz w:val="18"/>
                      <w:szCs w:val="18"/>
                    </w:rPr>
                  </w:pPr>
                  <w:r>
                    <w:rPr>
                      <w:rFonts w:hint="eastAsia"/>
                      <w:sz w:val="18"/>
                      <w:szCs w:val="18"/>
                    </w:rPr>
                    <w:t>0.58</w:t>
                  </w:r>
                </w:p>
              </w:tc>
              <w:tc>
                <w:tcPr>
                  <w:tcW w:w="1026" w:type="dxa"/>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3</w:t>
                  </w:r>
                </w:p>
              </w:tc>
              <w:tc>
                <w:tcPr>
                  <w:tcW w:w="1158" w:type="dxa"/>
                  <w:noWrap w:val="0"/>
                  <w:vAlign w:val="center"/>
                </w:tcPr>
                <w:p>
                  <w:pPr>
                    <w:jc w:val="center"/>
                    <w:rPr>
                      <w:sz w:val="18"/>
                      <w:szCs w:val="18"/>
                    </w:rPr>
                  </w:pPr>
                  <w:r>
                    <w:rPr>
                      <w:rFonts w:hint="eastAsia"/>
                      <w:sz w:val="18"/>
                      <w:szCs w:val="18"/>
                    </w:rPr>
                    <w:t>洗车用水</w:t>
                  </w:r>
                </w:p>
              </w:tc>
              <w:tc>
                <w:tcPr>
                  <w:tcW w:w="884" w:type="dxa"/>
                  <w:noWrap w:val="0"/>
                  <w:vAlign w:val="center"/>
                </w:tcPr>
                <w:p>
                  <w:pPr>
                    <w:jc w:val="center"/>
                    <w:rPr>
                      <w:rFonts w:hint="eastAsia"/>
                      <w:sz w:val="18"/>
                      <w:szCs w:val="18"/>
                    </w:rPr>
                  </w:pPr>
                  <w:r>
                    <w:rPr>
                      <w:rFonts w:hint="eastAsia"/>
                      <w:sz w:val="18"/>
                      <w:szCs w:val="18"/>
                    </w:rPr>
                    <w:t>45辆</w:t>
                  </w:r>
                </w:p>
              </w:tc>
              <w:tc>
                <w:tcPr>
                  <w:tcW w:w="1239" w:type="dxa"/>
                  <w:noWrap w:val="0"/>
                  <w:vAlign w:val="center"/>
                </w:tcPr>
                <w:p>
                  <w:pPr>
                    <w:jc w:val="center"/>
                    <w:rPr>
                      <w:rFonts w:hint="eastAsia"/>
                      <w:sz w:val="18"/>
                      <w:szCs w:val="18"/>
                    </w:rPr>
                  </w:pPr>
                  <w:r>
                    <w:rPr>
                      <w:rFonts w:hint="eastAsia"/>
                      <w:sz w:val="18"/>
                      <w:szCs w:val="18"/>
                    </w:rPr>
                    <w:t>4</w:t>
                  </w:r>
                  <w:r>
                    <w:rPr>
                      <w:sz w:val="18"/>
                      <w:szCs w:val="18"/>
                    </w:rPr>
                    <w:t>0L/</w:t>
                  </w:r>
                  <w:r>
                    <w:rPr>
                      <w:rFonts w:hint="eastAsia"/>
                      <w:sz w:val="18"/>
                      <w:szCs w:val="18"/>
                    </w:rPr>
                    <w:t>辆</w:t>
                  </w:r>
                </w:p>
              </w:tc>
              <w:tc>
                <w:tcPr>
                  <w:tcW w:w="1577" w:type="dxa"/>
                  <w:noWrap w:val="0"/>
                  <w:vAlign w:val="center"/>
                </w:tcPr>
                <w:p>
                  <w:pPr>
                    <w:jc w:val="center"/>
                    <w:rPr>
                      <w:sz w:val="18"/>
                      <w:szCs w:val="18"/>
                    </w:rPr>
                  </w:pPr>
                  <w:r>
                    <w:rPr>
                      <w:rFonts w:hint="eastAsia"/>
                      <w:sz w:val="18"/>
                      <w:szCs w:val="18"/>
                    </w:rPr>
                    <w:t>1.80</w:t>
                  </w:r>
                </w:p>
                <w:p>
                  <w:pPr>
                    <w:jc w:val="center"/>
                    <w:rPr>
                      <w:sz w:val="18"/>
                      <w:szCs w:val="18"/>
                    </w:rPr>
                  </w:pPr>
                  <w:r>
                    <w:rPr>
                      <w:rFonts w:hint="eastAsia"/>
                      <w:sz w:val="18"/>
                      <w:szCs w:val="18"/>
                    </w:rPr>
                    <w:t>（其中回用水量0.86</w:t>
                  </w:r>
                  <w:r>
                    <w:rPr>
                      <w:sz w:val="18"/>
                      <w:szCs w:val="18"/>
                    </w:rPr>
                    <w:t>m</w:t>
                  </w:r>
                  <w:r>
                    <w:rPr>
                      <w:sz w:val="18"/>
                      <w:szCs w:val="18"/>
                      <w:vertAlign w:val="superscript"/>
                    </w:rPr>
                    <w:t>3</w:t>
                  </w:r>
                  <w:r>
                    <w:rPr>
                      <w:sz w:val="18"/>
                      <w:szCs w:val="18"/>
                    </w:rPr>
                    <w:t>/d</w:t>
                  </w:r>
                  <w:r>
                    <w:rPr>
                      <w:rFonts w:hint="eastAsia"/>
                      <w:sz w:val="18"/>
                      <w:szCs w:val="18"/>
                    </w:rPr>
                    <w:t>）</w:t>
                  </w:r>
                </w:p>
              </w:tc>
              <w:tc>
                <w:tcPr>
                  <w:tcW w:w="704" w:type="dxa"/>
                  <w:noWrap w:val="0"/>
                  <w:vAlign w:val="center"/>
                </w:tcPr>
                <w:p>
                  <w:pPr>
                    <w:jc w:val="center"/>
                    <w:rPr>
                      <w:sz w:val="18"/>
                      <w:szCs w:val="18"/>
                    </w:rPr>
                  </w:pPr>
                  <w:r>
                    <w:rPr>
                      <w:rFonts w:hint="eastAsia"/>
                      <w:sz w:val="18"/>
                      <w:szCs w:val="18"/>
                    </w:rPr>
                    <w:t>0</w:t>
                  </w:r>
                  <w:r>
                    <w:rPr>
                      <w:sz w:val="18"/>
                      <w:szCs w:val="18"/>
                    </w:rPr>
                    <w:t>.8</w:t>
                  </w:r>
                </w:p>
              </w:tc>
              <w:tc>
                <w:tcPr>
                  <w:tcW w:w="1138" w:type="dxa"/>
                  <w:noWrap w:val="0"/>
                  <w:vAlign w:val="center"/>
                </w:tcPr>
                <w:p>
                  <w:pPr>
                    <w:jc w:val="center"/>
                    <w:rPr>
                      <w:sz w:val="18"/>
                      <w:szCs w:val="18"/>
                    </w:rPr>
                  </w:pPr>
                  <w:r>
                    <w:rPr>
                      <w:rFonts w:hint="eastAsia"/>
                      <w:sz w:val="18"/>
                      <w:szCs w:val="18"/>
                    </w:rPr>
                    <w:t>0.58</w:t>
                  </w:r>
                </w:p>
              </w:tc>
              <w:tc>
                <w:tcPr>
                  <w:tcW w:w="1026" w:type="dxa"/>
                  <w:noWrap w:val="0"/>
                  <w:vAlign w:val="center"/>
                </w:tcPr>
                <w:p>
                  <w:pPr>
                    <w:jc w:val="center"/>
                    <w:rPr>
                      <w:rFonts w:hint="eastAsia"/>
                      <w:sz w:val="18"/>
                      <w:szCs w:val="18"/>
                    </w:rPr>
                  </w:pPr>
                  <w:r>
                    <w:rPr>
                      <w:rFonts w:hint="eastAsia"/>
                      <w:sz w:val="18"/>
                      <w:szCs w:val="18"/>
                    </w:rPr>
                    <w:t>洗车废水循环使用率60%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4</w:t>
                  </w:r>
                </w:p>
              </w:tc>
              <w:tc>
                <w:tcPr>
                  <w:tcW w:w="1158" w:type="dxa"/>
                  <w:noWrap w:val="0"/>
                  <w:vAlign w:val="center"/>
                </w:tcPr>
                <w:p>
                  <w:pPr>
                    <w:jc w:val="center"/>
                    <w:rPr>
                      <w:sz w:val="18"/>
                      <w:szCs w:val="18"/>
                    </w:rPr>
                  </w:pPr>
                  <w:r>
                    <w:rPr>
                      <w:rFonts w:hint="eastAsia"/>
                      <w:sz w:val="18"/>
                      <w:szCs w:val="18"/>
                    </w:rPr>
                    <w:t>地面冲洗</w:t>
                  </w:r>
                </w:p>
              </w:tc>
              <w:tc>
                <w:tcPr>
                  <w:tcW w:w="884" w:type="dxa"/>
                  <w:noWrap w:val="0"/>
                  <w:vAlign w:val="center"/>
                </w:tcPr>
                <w:p>
                  <w:pPr>
                    <w:jc w:val="center"/>
                    <w:rPr>
                      <w:sz w:val="18"/>
                      <w:szCs w:val="18"/>
                    </w:rPr>
                  </w:pPr>
                  <w:r>
                    <w:rPr>
                      <w:rFonts w:hint="eastAsia"/>
                      <w:sz w:val="18"/>
                      <w:szCs w:val="18"/>
                    </w:rPr>
                    <w:t>886</w:t>
                  </w:r>
                  <w:r>
                    <w:rPr>
                      <w:sz w:val="18"/>
                      <w:szCs w:val="18"/>
                    </w:rPr>
                    <w:t>m</w:t>
                  </w:r>
                  <w:r>
                    <w:rPr>
                      <w:rFonts w:hint="eastAsia"/>
                      <w:sz w:val="18"/>
                      <w:szCs w:val="18"/>
                      <w:vertAlign w:val="superscript"/>
                    </w:rPr>
                    <w:t>2</w:t>
                  </w:r>
                </w:p>
              </w:tc>
              <w:tc>
                <w:tcPr>
                  <w:tcW w:w="1239" w:type="dxa"/>
                  <w:noWrap w:val="0"/>
                  <w:vAlign w:val="center"/>
                </w:tcPr>
                <w:p>
                  <w:pPr>
                    <w:jc w:val="center"/>
                    <w:rPr>
                      <w:sz w:val="18"/>
                      <w:szCs w:val="18"/>
                    </w:rPr>
                  </w:pPr>
                  <w:r>
                    <w:rPr>
                      <w:rFonts w:hint="eastAsia"/>
                      <w:sz w:val="18"/>
                      <w:szCs w:val="18"/>
                    </w:rPr>
                    <w:t>2L/m</w:t>
                  </w:r>
                  <w:r>
                    <w:rPr>
                      <w:sz w:val="18"/>
                      <w:szCs w:val="18"/>
                      <w:vertAlign w:val="superscript"/>
                    </w:rPr>
                    <w:t>2</w:t>
                  </w:r>
                  <w:r>
                    <w:rPr>
                      <w:sz w:val="18"/>
                      <w:szCs w:val="18"/>
                    </w:rPr>
                    <w:t>·</w:t>
                  </w:r>
                  <w:r>
                    <w:rPr>
                      <w:rFonts w:hint="eastAsia"/>
                      <w:sz w:val="18"/>
                      <w:szCs w:val="18"/>
                    </w:rPr>
                    <w:t>次</w:t>
                  </w:r>
                </w:p>
              </w:tc>
              <w:tc>
                <w:tcPr>
                  <w:tcW w:w="1577" w:type="dxa"/>
                  <w:noWrap w:val="0"/>
                  <w:vAlign w:val="center"/>
                </w:tcPr>
                <w:p>
                  <w:pPr>
                    <w:jc w:val="center"/>
                    <w:rPr>
                      <w:sz w:val="18"/>
                      <w:szCs w:val="18"/>
                    </w:rPr>
                  </w:pPr>
                  <w:r>
                    <w:rPr>
                      <w:rFonts w:hint="eastAsia"/>
                      <w:sz w:val="18"/>
                      <w:szCs w:val="18"/>
                    </w:rPr>
                    <w:t>0.06</w:t>
                  </w:r>
                </w:p>
                <w:p>
                  <w:pPr>
                    <w:jc w:val="center"/>
                    <w:rPr>
                      <w:sz w:val="18"/>
                      <w:szCs w:val="18"/>
                    </w:rPr>
                  </w:pPr>
                  <w:r>
                    <w:rPr>
                      <w:rFonts w:hint="eastAsia"/>
                      <w:sz w:val="18"/>
                      <w:szCs w:val="18"/>
                    </w:rPr>
                    <w:t>（</w:t>
                  </w:r>
                  <w:r>
                    <w:rPr>
                      <w:sz w:val="18"/>
                      <w:szCs w:val="18"/>
                    </w:rPr>
                    <w:t>1.77m</w:t>
                  </w:r>
                  <w:r>
                    <w:rPr>
                      <w:rFonts w:hint="eastAsia"/>
                      <w:sz w:val="18"/>
                      <w:szCs w:val="18"/>
                      <w:vertAlign w:val="superscript"/>
                    </w:rPr>
                    <w:t>3</w:t>
                  </w:r>
                  <w:r>
                    <w:rPr>
                      <w:rFonts w:hint="eastAsia"/>
                      <w:sz w:val="18"/>
                      <w:szCs w:val="18"/>
                    </w:rPr>
                    <w:t>/次）</w:t>
                  </w:r>
                </w:p>
              </w:tc>
              <w:tc>
                <w:tcPr>
                  <w:tcW w:w="704" w:type="dxa"/>
                  <w:noWrap w:val="0"/>
                  <w:vAlign w:val="center"/>
                </w:tcPr>
                <w:p>
                  <w:pPr>
                    <w:jc w:val="center"/>
                    <w:rPr>
                      <w:sz w:val="18"/>
                      <w:szCs w:val="18"/>
                    </w:rPr>
                  </w:pPr>
                  <w:r>
                    <w:rPr>
                      <w:rFonts w:hint="eastAsia"/>
                      <w:sz w:val="18"/>
                      <w:szCs w:val="18"/>
                    </w:rPr>
                    <w:t>0</w:t>
                  </w:r>
                  <w:r>
                    <w:rPr>
                      <w:sz w:val="18"/>
                      <w:szCs w:val="18"/>
                    </w:rPr>
                    <w:t>.8</w:t>
                  </w:r>
                </w:p>
              </w:tc>
              <w:tc>
                <w:tcPr>
                  <w:tcW w:w="1138" w:type="dxa"/>
                  <w:noWrap w:val="0"/>
                  <w:vAlign w:val="center"/>
                </w:tcPr>
                <w:p>
                  <w:pPr>
                    <w:jc w:val="center"/>
                    <w:rPr>
                      <w:sz w:val="18"/>
                      <w:szCs w:val="18"/>
                    </w:rPr>
                  </w:pPr>
                  <w:r>
                    <w:rPr>
                      <w:rFonts w:hint="eastAsia"/>
                      <w:sz w:val="18"/>
                      <w:szCs w:val="18"/>
                    </w:rPr>
                    <w:t>0.05</w:t>
                  </w:r>
                </w:p>
                <w:p>
                  <w:pPr>
                    <w:jc w:val="center"/>
                    <w:rPr>
                      <w:sz w:val="18"/>
                      <w:szCs w:val="18"/>
                    </w:rPr>
                  </w:pPr>
                  <w:r>
                    <w:rPr>
                      <w:rFonts w:hint="eastAsia"/>
                      <w:sz w:val="18"/>
                      <w:szCs w:val="18"/>
                    </w:rPr>
                    <w:t>（1.4</w:t>
                  </w:r>
                  <w:r>
                    <w:rPr>
                      <w:sz w:val="18"/>
                      <w:szCs w:val="18"/>
                    </w:rPr>
                    <w:t>2 m</w:t>
                  </w:r>
                  <w:r>
                    <w:rPr>
                      <w:rFonts w:hint="eastAsia"/>
                      <w:sz w:val="18"/>
                      <w:szCs w:val="18"/>
                      <w:vertAlign w:val="superscript"/>
                    </w:rPr>
                    <w:t>3</w:t>
                  </w:r>
                  <w:r>
                    <w:rPr>
                      <w:rFonts w:hint="eastAsia"/>
                      <w:sz w:val="18"/>
                      <w:szCs w:val="18"/>
                    </w:rPr>
                    <w:t>/次）</w:t>
                  </w:r>
                </w:p>
              </w:tc>
              <w:tc>
                <w:tcPr>
                  <w:tcW w:w="1026" w:type="dxa"/>
                  <w:noWrap w:val="0"/>
                  <w:vAlign w:val="center"/>
                </w:tcPr>
                <w:p>
                  <w:pPr>
                    <w:jc w:val="center"/>
                    <w:rPr>
                      <w:rFonts w:hint="eastAsia"/>
                      <w:sz w:val="18"/>
                      <w:szCs w:val="18"/>
                    </w:rPr>
                  </w:pPr>
                  <w:r>
                    <w:rPr>
                      <w:rFonts w:hint="eastAsia"/>
                      <w:sz w:val="18"/>
                      <w:szCs w:val="18"/>
                    </w:rPr>
                    <w:t>每月1次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5</w:t>
                  </w:r>
                </w:p>
              </w:tc>
              <w:tc>
                <w:tcPr>
                  <w:tcW w:w="1158" w:type="dxa"/>
                  <w:noWrap w:val="0"/>
                  <w:vAlign w:val="center"/>
                </w:tcPr>
                <w:p>
                  <w:pPr>
                    <w:jc w:val="center"/>
                    <w:rPr>
                      <w:sz w:val="18"/>
                      <w:szCs w:val="18"/>
                    </w:rPr>
                  </w:pPr>
                  <w:r>
                    <w:rPr>
                      <w:rFonts w:hint="eastAsia"/>
                      <w:sz w:val="18"/>
                      <w:szCs w:val="18"/>
                    </w:rPr>
                    <w:t>绿化用水</w:t>
                  </w:r>
                </w:p>
              </w:tc>
              <w:tc>
                <w:tcPr>
                  <w:tcW w:w="884" w:type="dxa"/>
                  <w:noWrap w:val="0"/>
                  <w:vAlign w:val="center"/>
                </w:tcPr>
                <w:p>
                  <w:pPr>
                    <w:jc w:val="center"/>
                    <w:rPr>
                      <w:sz w:val="18"/>
                      <w:szCs w:val="18"/>
                    </w:rPr>
                  </w:pPr>
                  <w:r>
                    <w:rPr>
                      <w:rFonts w:hint="eastAsia"/>
                      <w:sz w:val="18"/>
                      <w:szCs w:val="18"/>
                    </w:rPr>
                    <w:t>9</w:t>
                  </w:r>
                  <w:r>
                    <w:rPr>
                      <w:sz w:val="18"/>
                      <w:szCs w:val="18"/>
                    </w:rPr>
                    <w:t>91</w:t>
                  </w:r>
                  <w:r>
                    <w:rPr>
                      <w:rFonts w:hint="eastAsia"/>
                      <w:sz w:val="18"/>
                      <w:szCs w:val="18"/>
                    </w:rPr>
                    <w:t>m</w:t>
                  </w:r>
                  <w:r>
                    <w:rPr>
                      <w:sz w:val="18"/>
                      <w:szCs w:val="18"/>
                      <w:vertAlign w:val="superscript"/>
                    </w:rPr>
                    <w:t>2</w:t>
                  </w:r>
                </w:p>
              </w:tc>
              <w:tc>
                <w:tcPr>
                  <w:tcW w:w="1239" w:type="dxa"/>
                  <w:noWrap w:val="0"/>
                  <w:vAlign w:val="center"/>
                </w:tcPr>
                <w:p>
                  <w:pPr>
                    <w:jc w:val="center"/>
                    <w:rPr>
                      <w:sz w:val="18"/>
                      <w:szCs w:val="18"/>
                    </w:rPr>
                  </w:pPr>
                  <w:r>
                    <w:rPr>
                      <w:rFonts w:hint="eastAsia"/>
                      <w:sz w:val="18"/>
                      <w:szCs w:val="18"/>
                    </w:rPr>
                    <w:t>0.55m</w:t>
                  </w:r>
                  <w:r>
                    <w:rPr>
                      <w:sz w:val="18"/>
                      <w:szCs w:val="18"/>
                      <w:vertAlign w:val="superscript"/>
                    </w:rPr>
                    <w:t>3</w:t>
                  </w:r>
                  <w:r>
                    <w:rPr>
                      <w:sz w:val="18"/>
                      <w:szCs w:val="18"/>
                    </w:rPr>
                    <w:t>/</w:t>
                  </w:r>
                  <w:r>
                    <w:rPr>
                      <w:rFonts w:hint="eastAsia"/>
                      <w:sz w:val="18"/>
                      <w:szCs w:val="18"/>
                    </w:rPr>
                    <w:t>m</w:t>
                  </w:r>
                  <w:r>
                    <w:rPr>
                      <w:sz w:val="18"/>
                      <w:szCs w:val="18"/>
                      <w:vertAlign w:val="superscript"/>
                    </w:rPr>
                    <w:t>2</w:t>
                  </w:r>
                  <w:r>
                    <w:rPr>
                      <w:sz w:val="18"/>
                      <w:szCs w:val="18"/>
                    </w:rPr>
                    <w:t>·</w:t>
                  </w:r>
                  <w:r>
                    <w:rPr>
                      <w:rFonts w:hint="eastAsia"/>
                      <w:sz w:val="18"/>
                      <w:szCs w:val="18"/>
                    </w:rPr>
                    <w:t>a</w:t>
                  </w:r>
                </w:p>
              </w:tc>
              <w:tc>
                <w:tcPr>
                  <w:tcW w:w="1577" w:type="dxa"/>
                  <w:noWrap w:val="0"/>
                  <w:vAlign w:val="center"/>
                </w:tcPr>
                <w:p>
                  <w:pPr>
                    <w:jc w:val="center"/>
                    <w:rPr>
                      <w:sz w:val="18"/>
                      <w:szCs w:val="18"/>
                    </w:rPr>
                  </w:pPr>
                  <w:r>
                    <w:rPr>
                      <w:rFonts w:hint="eastAsia"/>
                      <w:sz w:val="18"/>
                      <w:szCs w:val="18"/>
                    </w:rPr>
                    <w:t>1.49（545.05m</w:t>
                  </w:r>
                  <w:r>
                    <w:rPr>
                      <w:sz w:val="18"/>
                      <w:szCs w:val="18"/>
                      <w:vertAlign w:val="superscript"/>
                    </w:rPr>
                    <w:t>3</w:t>
                  </w:r>
                  <w:r>
                    <w:rPr>
                      <w:sz w:val="18"/>
                      <w:szCs w:val="18"/>
                    </w:rPr>
                    <w:t>/a</w:t>
                  </w:r>
                  <w:r>
                    <w:rPr>
                      <w:rFonts w:hint="eastAsia"/>
                      <w:sz w:val="18"/>
                      <w:szCs w:val="18"/>
                    </w:rPr>
                    <w:t>）</w:t>
                  </w:r>
                </w:p>
              </w:tc>
              <w:tc>
                <w:tcPr>
                  <w:tcW w:w="704" w:type="dxa"/>
                  <w:noWrap w:val="0"/>
                  <w:vAlign w:val="center"/>
                </w:tcPr>
                <w:p>
                  <w:pPr>
                    <w:jc w:val="center"/>
                    <w:rPr>
                      <w:sz w:val="18"/>
                      <w:szCs w:val="18"/>
                    </w:rPr>
                  </w:pPr>
                  <w:r>
                    <w:rPr>
                      <w:rFonts w:hint="eastAsia"/>
                      <w:sz w:val="18"/>
                      <w:szCs w:val="18"/>
                    </w:rPr>
                    <w:t>/</w:t>
                  </w:r>
                </w:p>
              </w:tc>
              <w:tc>
                <w:tcPr>
                  <w:tcW w:w="1138" w:type="dxa"/>
                  <w:noWrap w:val="0"/>
                  <w:vAlign w:val="center"/>
                </w:tcPr>
                <w:p>
                  <w:pPr>
                    <w:jc w:val="center"/>
                    <w:rPr>
                      <w:sz w:val="18"/>
                      <w:szCs w:val="18"/>
                    </w:rPr>
                  </w:pPr>
                  <w:r>
                    <w:rPr>
                      <w:rFonts w:hint="eastAsia"/>
                      <w:sz w:val="18"/>
                      <w:szCs w:val="18"/>
                    </w:rPr>
                    <w:t>0</w:t>
                  </w:r>
                </w:p>
              </w:tc>
              <w:tc>
                <w:tcPr>
                  <w:tcW w:w="1026" w:type="dxa"/>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r>
                    <w:rPr>
                      <w:rFonts w:hint="eastAsia"/>
                      <w:sz w:val="18"/>
                      <w:szCs w:val="18"/>
                    </w:rPr>
                    <w:t>6</w:t>
                  </w:r>
                </w:p>
              </w:tc>
              <w:tc>
                <w:tcPr>
                  <w:tcW w:w="1158" w:type="dxa"/>
                  <w:noWrap w:val="0"/>
                  <w:vAlign w:val="center"/>
                </w:tcPr>
                <w:p>
                  <w:pPr>
                    <w:jc w:val="center"/>
                    <w:rPr>
                      <w:sz w:val="18"/>
                      <w:szCs w:val="18"/>
                    </w:rPr>
                  </w:pPr>
                  <w:r>
                    <w:rPr>
                      <w:rFonts w:hint="eastAsia"/>
                      <w:sz w:val="18"/>
                      <w:szCs w:val="18"/>
                    </w:rPr>
                    <w:t>未预见和漏失水</w:t>
                  </w:r>
                </w:p>
              </w:tc>
              <w:tc>
                <w:tcPr>
                  <w:tcW w:w="2123" w:type="dxa"/>
                  <w:gridSpan w:val="2"/>
                  <w:noWrap w:val="0"/>
                  <w:vAlign w:val="center"/>
                </w:tcPr>
                <w:p>
                  <w:pPr>
                    <w:jc w:val="center"/>
                    <w:rPr>
                      <w:rFonts w:hint="eastAsia"/>
                      <w:sz w:val="18"/>
                      <w:szCs w:val="18"/>
                    </w:rPr>
                  </w:pPr>
                  <w:r>
                    <w:rPr>
                      <w:rFonts w:hint="eastAsia"/>
                      <w:sz w:val="18"/>
                      <w:szCs w:val="18"/>
                    </w:rPr>
                    <w:t>按以上用水量的10%计</w:t>
                  </w:r>
                </w:p>
              </w:tc>
              <w:tc>
                <w:tcPr>
                  <w:tcW w:w="1577" w:type="dxa"/>
                  <w:noWrap w:val="0"/>
                  <w:vAlign w:val="center"/>
                </w:tcPr>
                <w:p>
                  <w:pPr>
                    <w:jc w:val="center"/>
                    <w:rPr>
                      <w:sz w:val="18"/>
                      <w:szCs w:val="18"/>
                    </w:rPr>
                  </w:pPr>
                  <w:r>
                    <w:rPr>
                      <w:sz w:val="18"/>
                      <w:szCs w:val="18"/>
                    </w:rPr>
                    <w:t>0.</w:t>
                  </w:r>
                  <w:r>
                    <w:rPr>
                      <w:rFonts w:hint="eastAsia"/>
                      <w:sz w:val="18"/>
                      <w:szCs w:val="18"/>
                    </w:rPr>
                    <w:t>49</w:t>
                  </w:r>
                </w:p>
              </w:tc>
              <w:tc>
                <w:tcPr>
                  <w:tcW w:w="704" w:type="dxa"/>
                  <w:noWrap w:val="0"/>
                  <w:vAlign w:val="center"/>
                </w:tcPr>
                <w:p>
                  <w:pPr>
                    <w:jc w:val="center"/>
                    <w:rPr>
                      <w:sz w:val="18"/>
                      <w:szCs w:val="18"/>
                    </w:rPr>
                  </w:pPr>
                  <w:r>
                    <w:rPr>
                      <w:rFonts w:hint="eastAsia"/>
                      <w:sz w:val="18"/>
                      <w:szCs w:val="18"/>
                    </w:rPr>
                    <w:t>/</w:t>
                  </w:r>
                </w:p>
              </w:tc>
              <w:tc>
                <w:tcPr>
                  <w:tcW w:w="1138" w:type="dxa"/>
                  <w:noWrap w:val="0"/>
                  <w:vAlign w:val="center"/>
                </w:tcPr>
                <w:p>
                  <w:pPr>
                    <w:jc w:val="center"/>
                    <w:rPr>
                      <w:sz w:val="18"/>
                      <w:szCs w:val="18"/>
                    </w:rPr>
                  </w:pPr>
                  <w:r>
                    <w:rPr>
                      <w:rFonts w:hint="eastAsia"/>
                      <w:sz w:val="18"/>
                      <w:szCs w:val="18"/>
                    </w:rPr>
                    <w:t>0</w:t>
                  </w:r>
                </w:p>
              </w:tc>
              <w:tc>
                <w:tcPr>
                  <w:tcW w:w="1026" w:type="dxa"/>
                  <w:noWrap w:val="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noWrap w:val="0"/>
                  <w:vAlign w:val="center"/>
                </w:tcPr>
                <w:p>
                  <w:pPr>
                    <w:jc w:val="center"/>
                    <w:rPr>
                      <w:sz w:val="18"/>
                      <w:szCs w:val="18"/>
                    </w:rPr>
                  </w:pPr>
                </w:p>
              </w:tc>
              <w:tc>
                <w:tcPr>
                  <w:tcW w:w="1158" w:type="dxa"/>
                  <w:noWrap w:val="0"/>
                  <w:vAlign w:val="center"/>
                </w:tcPr>
                <w:p>
                  <w:pPr>
                    <w:jc w:val="center"/>
                    <w:rPr>
                      <w:rFonts w:hint="eastAsia"/>
                      <w:sz w:val="18"/>
                      <w:szCs w:val="18"/>
                    </w:rPr>
                  </w:pPr>
                  <w:r>
                    <w:rPr>
                      <w:rFonts w:hint="eastAsia"/>
                      <w:sz w:val="18"/>
                      <w:szCs w:val="18"/>
                    </w:rPr>
                    <w:t>合计</w:t>
                  </w:r>
                </w:p>
              </w:tc>
              <w:tc>
                <w:tcPr>
                  <w:tcW w:w="884" w:type="dxa"/>
                  <w:noWrap w:val="0"/>
                  <w:vAlign w:val="center"/>
                </w:tcPr>
                <w:p>
                  <w:pPr>
                    <w:jc w:val="center"/>
                    <w:rPr>
                      <w:sz w:val="18"/>
                      <w:szCs w:val="18"/>
                    </w:rPr>
                  </w:pPr>
                  <w:r>
                    <w:rPr>
                      <w:rFonts w:hint="eastAsia"/>
                      <w:sz w:val="18"/>
                      <w:szCs w:val="18"/>
                    </w:rPr>
                    <w:t>/</w:t>
                  </w:r>
                </w:p>
              </w:tc>
              <w:tc>
                <w:tcPr>
                  <w:tcW w:w="1239" w:type="dxa"/>
                  <w:noWrap w:val="0"/>
                  <w:vAlign w:val="center"/>
                </w:tcPr>
                <w:p>
                  <w:pPr>
                    <w:jc w:val="center"/>
                    <w:rPr>
                      <w:sz w:val="18"/>
                      <w:szCs w:val="18"/>
                    </w:rPr>
                  </w:pPr>
                  <w:r>
                    <w:rPr>
                      <w:rFonts w:hint="eastAsia"/>
                      <w:sz w:val="18"/>
                      <w:szCs w:val="18"/>
                    </w:rPr>
                    <w:t>/</w:t>
                  </w:r>
                </w:p>
              </w:tc>
              <w:tc>
                <w:tcPr>
                  <w:tcW w:w="1577" w:type="dxa"/>
                  <w:noWrap w:val="0"/>
                  <w:vAlign w:val="center"/>
                </w:tcPr>
                <w:p>
                  <w:pPr>
                    <w:jc w:val="center"/>
                    <w:rPr>
                      <w:sz w:val="18"/>
                      <w:szCs w:val="18"/>
                    </w:rPr>
                  </w:pPr>
                  <w:r>
                    <w:rPr>
                      <w:rFonts w:hint="eastAsia"/>
                      <w:sz w:val="18"/>
                      <w:szCs w:val="18"/>
                    </w:rPr>
                    <w:t>5.36</w:t>
                  </w:r>
                </w:p>
                <w:p>
                  <w:pPr>
                    <w:jc w:val="center"/>
                    <w:rPr>
                      <w:sz w:val="18"/>
                      <w:szCs w:val="18"/>
                    </w:rPr>
                  </w:pPr>
                  <w:r>
                    <w:rPr>
                      <w:rFonts w:hint="eastAsia"/>
                      <w:sz w:val="18"/>
                      <w:szCs w:val="18"/>
                    </w:rPr>
                    <w:t>（其中回用水量0.86</w:t>
                  </w:r>
                  <w:r>
                    <w:rPr>
                      <w:sz w:val="18"/>
                      <w:szCs w:val="18"/>
                    </w:rPr>
                    <w:t>m</w:t>
                  </w:r>
                  <w:r>
                    <w:rPr>
                      <w:sz w:val="18"/>
                      <w:szCs w:val="18"/>
                      <w:vertAlign w:val="superscript"/>
                    </w:rPr>
                    <w:t>3</w:t>
                  </w:r>
                  <w:r>
                    <w:rPr>
                      <w:sz w:val="18"/>
                      <w:szCs w:val="18"/>
                    </w:rPr>
                    <w:t>/d</w:t>
                  </w:r>
                  <w:r>
                    <w:rPr>
                      <w:rFonts w:hint="eastAsia"/>
                      <w:sz w:val="18"/>
                      <w:szCs w:val="18"/>
                    </w:rPr>
                    <w:t>）</w:t>
                  </w:r>
                </w:p>
              </w:tc>
              <w:tc>
                <w:tcPr>
                  <w:tcW w:w="704" w:type="dxa"/>
                  <w:noWrap w:val="0"/>
                  <w:vAlign w:val="center"/>
                </w:tcPr>
                <w:p>
                  <w:pPr>
                    <w:jc w:val="center"/>
                    <w:rPr>
                      <w:sz w:val="18"/>
                      <w:szCs w:val="18"/>
                    </w:rPr>
                  </w:pPr>
                </w:p>
              </w:tc>
              <w:tc>
                <w:tcPr>
                  <w:tcW w:w="1138" w:type="dxa"/>
                  <w:noWrap w:val="0"/>
                  <w:vAlign w:val="center"/>
                </w:tcPr>
                <w:p>
                  <w:pPr>
                    <w:jc w:val="center"/>
                    <w:rPr>
                      <w:sz w:val="18"/>
                      <w:szCs w:val="18"/>
                    </w:rPr>
                  </w:pPr>
                  <w:r>
                    <w:rPr>
                      <w:rFonts w:hint="eastAsia"/>
                      <w:sz w:val="18"/>
                      <w:szCs w:val="18"/>
                    </w:rPr>
                    <w:t>2.71</w:t>
                  </w:r>
                </w:p>
              </w:tc>
              <w:tc>
                <w:tcPr>
                  <w:tcW w:w="1026" w:type="dxa"/>
                  <w:noWrap w:val="0"/>
                  <w:vAlign w:val="center"/>
                </w:tcPr>
                <w:p>
                  <w:pPr>
                    <w:jc w:val="center"/>
                    <w:rPr>
                      <w:sz w:val="18"/>
                      <w:szCs w:val="18"/>
                    </w:rPr>
                  </w:pPr>
                </w:p>
              </w:tc>
            </w:tr>
          </w:tbl>
          <w:p>
            <w:pPr>
              <w:pStyle w:val="647"/>
              <w:ind w:firstLine="480"/>
              <w:jc w:val="center"/>
              <w:rPr>
                <w:rFonts w:hint="eastAsia"/>
              </w:rPr>
            </w:pPr>
            <w:r>
              <w:t>综上分析，项目运营期的</w:t>
            </w:r>
            <w:r>
              <w:rPr>
                <w:rFonts w:hint="eastAsia"/>
              </w:rPr>
              <w:t>新鲜水</w:t>
            </w:r>
            <w:r>
              <w:t>总用水量为</w:t>
            </w:r>
            <w:r>
              <w:rPr>
                <w:rFonts w:hint="eastAsia"/>
              </w:rPr>
              <w:t>4.5</w:t>
            </w:r>
            <w:r>
              <w:t>m</w:t>
            </w:r>
            <w:r>
              <w:rPr>
                <w:vertAlign w:val="superscript"/>
              </w:rPr>
              <w:t>3</w:t>
            </w:r>
            <w:r>
              <w:t>/d</w:t>
            </w:r>
            <w:r>
              <w:rPr>
                <w:rFonts w:hint="eastAsia"/>
              </w:rPr>
              <w:t>（1642.5</w:t>
            </w:r>
            <w:r>
              <w:t>m</w:t>
            </w:r>
            <w:r>
              <w:rPr>
                <w:vertAlign w:val="superscript"/>
              </w:rPr>
              <w:t>3</w:t>
            </w:r>
            <w:r>
              <w:t>/a</w:t>
            </w:r>
            <w:r>
              <w:rPr>
                <w:rFonts w:hint="eastAsia"/>
              </w:rPr>
              <w:t>）</w:t>
            </w:r>
            <w:r>
              <w:t>，废水排放量为</w:t>
            </w:r>
            <w:r>
              <w:rPr>
                <w:rFonts w:hint="eastAsia"/>
              </w:rPr>
              <w:t>1.85</w:t>
            </w:r>
            <w:r>
              <w:t>m</w:t>
            </w:r>
            <w:r>
              <w:rPr>
                <w:vertAlign w:val="superscript"/>
              </w:rPr>
              <w:t>3</w:t>
            </w:r>
            <w:r>
              <w:t>/d (</w:t>
            </w:r>
            <w:r>
              <w:rPr>
                <w:rFonts w:hint="eastAsia"/>
              </w:rPr>
              <w:t>675.25</w:t>
            </w:r>
            <w:r>
              <w:t>m</w:t>
            </w:r>
            <w:r>
              <w:rPr>
                <w:vertAlign w:val="superscript"/>
              </w:rPr>
              <w:t>3</w:t>
            </w:r>
            <w:r>
              <w:t>/a ) 。</w:t>
            </w:r>
            <w:r>
              <w:rPr>
                <w:rFonts w:hint="eastAsia"/>
              </w:rPr>
              <w:t>项目水平衡见图2-1。</w:t>
            </w:r>
            <w:r>
              <w:object>
                <v:shape id="_x0000_i1025" o:spt="75" type="#_x0000_t75" style="height:303pt;width:408.35pt;" o:ole="t" filled="f"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p>
          <w:p>
            <w:pPr>
              <w:keepNext/>
              <w:keepLines/>
              <w:contextualSpacing/>
              <w:jc w:val="center"/>
              <w:outlineLvl w:val="3"/>
              <w:rPr>
                <w:rFonts w:hint="eastAsia"/>
                <w:b/>
                <w:bCs/>
                <w:kern w:val="0"/>
                <w:szCs w:val="21"/>
              </w:rPr>
            </w:pPr>
            <w:r>
              <w:rPr>
                <w:rFonts w:hint="eastAsia"/>
                <w:b/>
                <w:bCs/>
                <w:kern w:val="0"/>
                <w:szCs w:val="21"/>
              </w:rPr>
              <w:t>图2-1</w:t>
            </w:r>
            <w:r>
              <w:rPr>
                <w:b/>
                <w:bCs/>
                <w:kern w:val="0"/>
                <w:szCs w:val="21"/>
              </w:rPr>
              <w:t xml:space="preserve"> </w:t>
            </w:r>
            <w:r>
              <w:rPr>
                <w:rFonts w:hint="eastAsia"/>
                <w:b/>
                <w:bCs/>
                <w:kern w:val="0"/>
                <w:szCs w:val="21"/>
              </w:rPr>
              <w:t>项目水平衡图（单位：m</w:t>
            </w:r>
            <w:r>
              <w:rPr>
                <w:b/>
                <w:bCs/>
                <w:kern w:val="0"/>
                <w:szCs w:val="21"/>
                <w:vertAlign w:val="superscript"/>
              </w:rPr>
              <w:t>3</w:t>
            </w:r>
            <w:r>
              <w:rPr>
                <w:b/>
                <w:bCs/>
                <w:kern w:val="0"/>
                <w:szCs w:val="21"/>
              </w:rPr>
              <w:t>/d</w:t>
            </w:r>
            <w:r>
              <w:rPr>
                <w:rFonts w:hint="eastAsia"/>
                <w:b/>
                <w:bCs/>
                <w:kern w:val="0"/>
                <w:szCs w:val="21"/>
              </w:rPr>
              <w:t>）</w:t>
            </w:r>
          </w:p>
          <w:p>
            <w:pPr>
              <w:pStyle w:val="647"/>
              <w:ind w:firstLine="480"/>
            </w:pPr>
            <w:r>
              <w:rPr>
                <w:rFonts w:hint="eastAsia"/>
              </w:rPr>
              <w:t>（2）</w:t>
            </w:r>
            <w:r>
              <w:t>供电系统</w:t>
            </w:r>
          </w:p>
          <w:p>
            <w:pPr>
              <w:pStyle w:val="647"/>
              <w:ind w:firstLine="480"/>
            </w:pPr>
            <w:r>
              <w:t>本项目供电负荷为三级，由当地市政电网提供。为保证仪表、自控系统、报警系统等重要设备的供电，本工程设置不间断应急电源装置（UPS）</w:t>
            </w:r>
            <w:r>
              <w:rPr>
                <w:rFonts w:hint="eastAsia"/>
              </w:rPr>
              <w:t>，</w:t>
            </w:r>
            <w:r>
              <w:t>容量为 3kVA，后备时间按2h设计</w:t>
            </w:r>
            <w:r>
              <w:rPr>
                <w:rFonts w:hint="eastAsia"/>
              </w:rPr>
              <w:t>。同时</w:t>
            </w:r>
            <w:r>
              <w:t>加油加气站</w:t>
            </w:r>
            <w:r>
              <w:rPr>
                <w:rFonts w:hint="eastAsia"/>
              </w:rPr>
              <w:t>内</w:t>
            </w:r>
            <w:r>
              <w:t>设置一台</w:t>
            </w:r>
            <w:r>
              <w:rPr>
                <w:rFonts w:hint="eastAsia"/>
              </w:rPr>
              <w:t>2</w:t>
            </w:r>
            <w:r>
              <w:t>5kW柴油发电机作为备用电源。</w:t>
            </w:r>
          </w:p>
          <w:p>
            <w:pPr>
              <w:pStyle w:val="647"/>
              <w:ind w:firstLine="480"/>
            </w:pPr>
            <w:r>
              <w:rPr>
                <w:rFonts w:hint="eastAsia"/>
              </w:rPr>
              <w:t>（3）</w:t>
            </w:r>
            <w:r>
              <w:t>消防系统</w:t>
            </w:r>
          </w:p>
          <w:p>
            <w:pPr>
              <w:pStyle w:val="647"/>
              <w:ind w:firstLine="480"/>
            </w:pPr>
            <w:r>
              <w:t>本项目为二级加油加气合建站，站内按照要求配置了</w:t>
            </w:r>
            <w:r>
              <w:rPr>
                <w:rFonts w:hint="eastAsia"/>
              </w:rPr>
              <w:t>室外消火栓（消防水源由市政给水管网供给）、</w:t>
            </w:r>
            <w:r>
              <w:t>消防沙和灭火器等，以保护加油加气站消防安全。</w:t>
            </w:r>
          </w:p>
          <w:p>
            <w:pPr>
              <w:pStyle w:val="647"/>
              <w:ind w:firstLine="482"/>
              <w:rPr>
                <w:b/>
                <w:bCs/>
                <w:snapToGrid w:val="0"/>
              </w:rPr>
            </w:pPr>
            <w:r>
              <w:rPr>
                <w:rFonts w:hint="eastAsia"/>
                <w:b/>
                <w:bCs/>
                <w:snapToGrid w:val="0"/>
              </w:rPr>
              <w:t>8</w:t>
            </w:r>
            <w:r>
              <w:rPr>
                <w:b/>
                <w:bCs/>
                <w:snapToGrid w:val="0"/>
              </w:rPr>
              <w:t>、劳动定员及工作制度</w:t>
            </w:r>
          </w:p>
          <w:p>
            <w:pPr>
              <w:pStyle w:val="647"/>
              <w:ind w:firstLine="480"/>
            </w:pPr>
            <w:r>
              <w:rPr>
                <w:rFonts w:hint="eastAsia"/>
              </w:rPr>
              <w:t>劳动定员：项目</w:t>
            </w:r>
            <w:r>
              <w:t>加油加气站</w:t>
            </w:r>
            <w:r>
              <w:rPr>
                <w:rFonts w:hint="eastAsia"/>
              </w:rPr>
              <w:t>定员</w:t>
            </w:r>
            <w:r>
              <w:t>1</w:t>
            </w:r>
            <w:r>
              <w:rPr>
                <w:rFonts w:hint="eastAsia"/>
              </w:rPr>
              <w:t>0人，其中管理人员2人，加油作业人员8人。</w:t>
            </w:r>
          </w:p>
          <w:p>
            <w:pPr>
              <w:pStyle w:val="647"/>
              <w:ind w:firstLine="480"/>
              <w:rPr>
                <w:rFonts w:hint="eastAsia"/>
              </w:rPr>
            </w:pPr>
            <w:r>
              <w:rPr>
                <w:rFonts w:hint="eastAsia"/>
              </w:rPr>
              <w:t>工作制度：</w:t>
            </w:r>
            <w:r>
              <w:t>全年365天营业，每天24小时，采取2班工作制，日常在岗人</w:t>
            </w:r>
            <w:r>
              <w:rPr>
                <w:rFonts w:hint="eastAsia"/>
              </w:rPr>
              <w:t>数5人。</w:t>
            </w:r>
          </w:p>
          <w:p>
            <w:pPr>
              <w:pStyle w:val="647"/>
              <w:ind w:firstLine="482"/>
              <w:rPr>
                <w:b/>
                <w:bCs/>
                <w:snapToGrid w:val="0"/>
              </w:rPr>
            </w:pPr>
            <w:r>
              <w:rPr>
                <w:rFonts w:hint="eastAsia"/>
                <w:b/>
                <w:bCs/>
                <w:snapToGrid w:val="0"/>
              </w:rPr>
              <w:t>9</w:t>
            </w:r>
            <w:r>
              <w:rPr>
                <w:b/>
                <w:bCs/>
                <w:snapToGrid w:val="0"/>
              </w:rPr>
              <w:t>、总平面布置合理性分析</w:t>
            </w:r>
          </w:p>
          <w:p>
            <w:pPr>
              <w:pStyle w:val="647"/>
              <w:ind w:firstLine="480"/>
            </w:pPr>
            <w:r>
              <w:t>本站位于达州市通川区北外镇张家坝江湾城，龙王潭街北侧、G65包茂</w:t>
            </w:r>
            <w:r>
              <w:rPr>
                <w:rFonts w:hint="eastAsia"/>
              </w:rPr>
              <w:t>高速西</w:t>
            </w:r>
            <w:r>
              <w:t>侧。在场站南侧面向公路侧龙王潭街设进出口各一个，进出口宽度为15m。站</w:t>
            </w:r>
            <w:r>
              <w:rPr>
                <w:rFonts w:hint="eastAsia"/>
              </w:rPr>
              <w:t>场主要分为3个区域，</w:t>
            </w:r>
            <w:r>
              <w:t>分别是工艺生产区、辅助生产区和经营区。</w:t>
            </w:r>
          </w:p>
          <w:p>
            <w:pPr>
              <w:pStyle w:val="647"/>
              <w:ind w:firstLine="480"/>
            </w:pPr>
            <w:r>
              <w:t>工艺生产区设置在场站北侧，设置埋地油罐工艺区和LNG 储罐工艺区</w:t>
            </w:r>
            <w:r>
              <w:rPr>
                <w:rFonts w:hint="eastAsia"/>
              </w:rPr>
              <w:t>；</w:t>
            </w:r>
            <w:r>
              <w:t>辅助生产区设置在站场中部，设置综合站房（内设置办公室、控制室、值班室、休息室、会议室、便利店、卫生间等功能）</w:t>
            </w:r>
            <w:r>
              <w:rPr>
                <w:rFonts w:hint="eastAsia"/>
              </w:rPr>
              <w:t>；</w:t>
            </w:r>
            <w:r>
              <w:t>经营区设置在站场辅助生产区南侧和东南侧，设置一座加油加气罩棚</w:t>
            </w:r>
            <w:r>
              <w:rPr>
                <w:rFonts w:hint="eastAsia"/>
              </w:rPr>
              <w:t>（内设4台加油机、2台加气机）</w:t>
            </w:r>
            <w:r>
              <w:t>、充电区、洗车区</w:t>
            </w:r>
            <w:r>
              <w:rPr>
                <w:rFonts w:hint="eastAsia"/>
              </w:rPr>
              <w:t>。项目化粪池拟设置在站房西侧；隔油池拟设置在</w:t>
            </w:r>
            <w:r>
              <w:rPr>
                <w:szCs w:val="21"/>
              </w:rPr>
              <w:t>站区出口附近绿化带处</w:t>
            </w:r>
            <w:r>
              <w:rPr>
                <w:rFonts w:hint="eastAsia"/>
                <w:szCs w:val="21"/>
              </w:rPr>
              <w:t>，</w:t>
            </w:r>
            <w:r>
              <w:t>通过沟渠连接至加油区，方便收集该区域的冲洗水。</w:t>
            </w:r>
          </w:p>
          <w:p>
            <w:pPr>
              <w:pStyle w:val="647"/>
              <w:ind w:firstLine="480"/>
            </w:pPr>
            <w:r>
              <w:rPr>
                <w:rFonts w:hint="eastAsia"/>
              </w:rPr>
              <w:t>同时为美化站区环境，</w:t>
            </w:r>
            <w:r>
              <w:t>站内在边角位置、不影响交通组织的地方和站区北侧进行绿化</w:t>
            </w:r>
            <w:r>
              <w:rPr>
                <w:rFonts w:hint="eastAsia"/>
              </w:rPr>
              <w:t>，绿化植被选择低矮</w:t>
            </w:r>
            <w:r>
              <w:t>花木</w:t>
            </w:r>
            <w:r>
              <w:rPr>
                <w:rFonts w:hint="eastAsia"/>
              </w:rPr>
              <w:t>和</w:t>
            </w:r>
            <w:r>
              <w:t>草坪</w:t>
            </w:r>
            <w:r>
              <w:rPr>
                <w:rFonts w:hint="eastAsia"/>
              </w:rPr>
              <w:t>，站区绿化面积991.0</w:t>
            </w:r>
            <w:r>
              <w:t>m</w:t>
            </w:r>
            <w:r>
              <w:rPr>
                <w:rFonts w:hint="eastAsia"/>
                <w:vertAlign w:val="superscript"/>
              </w:rPr>
              <w:t>2</w:t>
            </w:r>
            <w:r>
              <w:rPr>
                <w:rFonts w:hint="eastAsia"/>
              </w:rPr>
              <w:t>，绿化率为20.16%。</w:t>
            </w:r>
          </w:p>
          <w:p>
            <w:pPr>
              <w:pStyle w:val="647"/>
              <w:ind w:firstLine="480"/>
            </w:pPr>
            <w:r>
              <w:rPr>
                <w:rFonts w:hint="eastAsia"/>
              </w:rPr>
              <w:t>项目站内设施的防火间距符合性分析见表2-8所示。</w:t>
            </w:r>
          </w:p>
          <w:p>
            <w:pPr>
              <w:keepNext/>
              <w:keepLines/>
              <w:contextualSpacing/>
              <w:jc w:val="center"/>
              <w:outlineLvl w:val="3"/>
              <w:rPr>
                <w:rFonts w:hint="eastAsia"/>
                <w:b/>
                <w:bCs/>
                <w:kern w:val="0"/>
                <w:szCs w:val="21"/>
              </w:rPr>
            </w:pPr>
            <w:r>
              <w:rPr>
                <w:rFonts w:hint="eastAsia"/>
                <w:b/>
                <w:bCs/>
                <w:kern w:val="0"/>
                <w:szCs w:val="21"/>
              </w:rPr>
              <w:t>表2-8</w:t>
            </w:r>
            <w:r>
              <w:rPr>
                <w:b/>
                <w:bCs/>
                <w:kern w:val="0"/>
                <w:szCs w:val="21"/>
              </w:rPr>
              <w:t>站内设施的防火间距</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648"/>
              <w:gridCol w:w="759"/>
              <w:gridCol w:w="759"/>
              <w:gridCol w:w="759"/>
              <w:gridCol w:w="746"/>
              <w:gridCol w:w="759"/>
              <w:gridCol w:w="852"/>
              <w:gridCol w:w="760"/>
              <w:gridCol w:w="760"/>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p>
              </w:tc>
              <w:tc>
                <w:tcPr>
                  <w:tcW w:w="648" w:type="dxa"/>
                  <w:noWrap w:val="0"/>
                  <w:vAlign w:val="center"/>
                </w:tcPr>
                <w:p>
                  <w:pPr>
                    <w:jc w:val="center"/>
                    <w:rPr>
                      <w:sz w:val="18"/>
                      <w:szCs w:val="18"/>
                    </w:rPr>
                  </w:pPr>
                  <w:r>
                    <w:rPr>
                      <w:sz w:val="18"/>
                      <w:szCs w:val="18"/>
                    </w:rPr>
                    <w:t>站房</w:t>
                  </w:r>
                </w:p>
              </w:tc>
              <w:tc>
                <w:tcPr>
                  <w:tcW w:w="759" w:type="dxa"/>
                  <w:noWrap w:val="0"/>
                  <w:vAlign w:val="center"/>
                </w:tcPr>
                <w:p>
                  <w:pPr>
                    <w:jc w:val="center"/>
                    <w:rPr>
                      <w:sz w:val="18"/>
                      <w:szCs w:val="18"/>
                    </w:rPr>
                  </w:pPr>
                  <w:r>
                    <w:rPr>
                      <w:sz w:val="18"/>
                      <w:szCs w:val="18"/>
                    </w:rPr>
                    <w:t>油罐</w:t>
                  </w:r>
                </w:p>
              </w:tc>
              <w:tc>
                <w:tcPr>
                  <w:tcW w:w="759" w:type="dxa"/>
                  <w:noWrap w:val="0"/>
                  <w:vAlign w:val="center"/>
                </w:tcPr>
                <w:p>
                  <w:pPr>
                    <w:jc w:val="center"/>
                    <w:rPr>
                      <w:sz w:val="18"/>
                      <w:szCs w:val="18"/>
                    </w:rPr>
                  </w:pPr>
                  <w:r>
                    <w:rPr>
                      <w:sz w:val="18"/>
                      <w:szCs w:val="18"/>
                    </w:rPr>
                    <w:t>通气管口</w:t>
                  </w:r>
                </w:p>
              </w:tc>
              <w:tc>
                <w:tcPr>
                  <w:tcW w:w="759" w:type="dxa"/>
                  <w:noWrap w:val="0"/>
                  <w:vAlign w:val="center"/>
                </w:tcPr>
                <w:p>
                  <w:pPr>
                    <w:jc w:val="center"/>
                    <w:rPr>
                      <w:sz w:val="18"/>
                      <w:szCs w:val="18"/>
                    </w:rPr>
                  </w:pPr>
                  <w:r>
                    <w:rPr>
                      <w:sz w:val="18"/>
                      <w:szCs w:val="18"/>
                    </w:rPr>
                    <w:t>油品卸车点</w:t>
                  </w:r>
                </w:p>
              </w:tc>
              <w:tc>
                <w:tcPr>
                  <w:tcW w:w="746" w:type="dxa"/>
                  <w:noWrap w:val="0"/>
                  <w:vAlign w:val="center"/>
                </w:tcPr>
                <w:p>
                  <w:pPr>
                    <w:jc w:val="center"/>
                    <w:rPr>
                      <w:sz w:val="18"/>
                      <w:szCs w:val="18"/>
                    </w:rPr>
                  </w:pPr>
                  <w:r>
                    <w:rPr>
                      <w:sz w:val="18"/>
                      <w:szCs w:val="18"/>
                    </w:rPr>
                    <w:t>加油机</w:t>
                  </w:r>
                </w:p>
              </w:tc>
              <w:tc>
                <w:tcPr>
                  <w:tcW w:w="759" w:type="dxa"/>
                  <w:noWrap w:val="0"/>
                  <w:vAlign w:val="center"/>
                </w:tcPr>
                <w:p>
                  <w:pPr>
                    <w:jc w:val="center"/>
                    <w:rPr>
                      <w:sz w:val="18"/>
                      <w:szCs w:val="18"/>
                    </w:rPr>
                  </w:pPr>
                  <w:r>
                    <w:rPr>
                      <w:sz w:val="18"/>
                      <w:szCs w:val="18"/>
                    </w:rPr>
                    <w:t>加气机</w:t>
                  </w:r>
                </w:p>
              </w:tc>
              <w:tc>
                <w:tcPr>
                  <w:tcW w:w="852" w:type="dxa"/>
                  <w:noWrap w:val="0"/>
                  <w:vAlign w:val="center"/>
                </w:tcPr>
                <w:p>
                  <w:pPr>
                    <w:jc w:val="center"/>
                    <w:rPr>
                      <w:sz w:val="18"/>
                      <w:szCs w:val="18"/>
                    </w:rPr>
                  </w:pPr>
                  <w:r>
                    <w:rPr>
                      <w:sz w:val="18"/>
                      <w:szCs w:val="18"/>
                    </w:rPr>
                    <w:t>LNG储罐</w:t>
                  </w:r>
                </w:p>
              </w:tc>
              <w:tc>
                <w:tcPr>
                  <w:tcW w:w="760" w:type="dxa"/>
                  <w:noWrap w:val="0"/>
                  <w:vAlign w:val="center"/>
                </w:tcPr>
                <w:p>
                  <w:pPr>
                    <w:jc w:val="center"/>
                    <w:rPr>
                      <w:sz w:val="18"/>
                      <w:szCs w:val="18"/>
                    </w:rPr>
                  </w:pPr>
                  <w:r>
                    <w:rPr>
                      <w:sz w:val="18"/>
                      <w:szCs w:val="18"/>
                    </w:rPr>
                    <w:t>LNG卸车点</w:t>
                  </w:r>
                </w:p>
              </w:tc>
              <w:tc>
                <w:tcPr>
                  <w:tcW w:w="760" w:type="dxa"/>
                  <w:noWrap w:val="0"/>
                  <w:vAlign w:val="center"/>
                </w:tcPr>
                <w:p>
                  <w:pPr>
                    <w:jc w:val="center"/>
                    <w:rPr>
                      <w:sz w:val="18"/>
                      <w:szCs w:val="18"/>
                    </w:rPr>
                  </w:pPr>
                  <w:r>
                    <w:rPr>
                      <w:sz w:val="18"/>
                      <w:szCs w:val="18"/>
                    </w:rPr>
                    <w:t>LNG放散管</w:t>
                  </w:r>
                </w:p>
              </w:tc>
              <w:tc>
                <w:tcPr>
                  <w:tcW w:w="760" w:type="dxa"/>
                  <w:noWrap w:val="0"/>
                  <w:vAlign w:val="center"/>
                </w:tcPr>
                <w:p>
                  <w:pPr>
                    <w:jc w:val="center"/>
                    <w:rPr>
                      <w:sz w:val="18"/>
                      <w:szCs w:val="18"/>
                    </w:rPr>
                  </w:pPr>
                  <w:r>
                    <w:rPr>
                      <w:sz w:val="18"/>
                      <w:szCs w:val="18"/>
                    </w:rPr>
                    <w:t>LNG潜液泵池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站房</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r>
                    <w:rPr>
                      <w:sz w:val="18"/>
                      <w:szCs w:val="18"/>
                    </w:rPr>
                    <w:t>4/10.5</w:t>
                  </w:r>
                </w:p>
              </w:tc>
              <w:tc>
                <w:tcPr>
                  <w:tcW w:w="759" w:type="dxa"/>
                  <w:noWrap w:val="0"/>
                  <w:vAlign w:val="center"/>
                </w:tcPr>
                <w:p>
                  <w:pPr>
                    <w:jc w:val="center"/>
                    <w:rPr>
                      <w:sz w:val="18"/>
                      <w:szCs w:val="18"/>
                    </w:rPr>
                  </w:pPr>
                  <w:r>
                    <w:rPr>
                      <w:sz w:val="18"/>
                      <w:szCs w:val="18"/>
                    </w:rPr>
                    <w:t>4/18.2</w:t>
                  </w:r>
                </w:p>
              </w:tc>
              <w:tc>
                <w:tcPr>
                  <w:tcW w:w="759" w:type="dxa"/>
                  <w:noWrap w:val="0"/>
                  <w:vAlign w:val="center"/>
                </w:tcPr>
                <w:p>
                  <w:pPr>
                    <w:jc w:val="center"/>
                    <w:rPr>
                      <w:sz w:val="18"/>
                      <w:szCs w:val="18"/>
                    </w:rPr>
                  </w:pPr>
                  <w:r>
                    <w:rPr>
                      <w:sz w:val="18"/>
                      <w:szCs w:val="18"/>
                    </w:rPr>
                    <w:t>5/17.1</w:t>
                  </w:r>
                </w:p>
              </w:tc>
              <w:tc>
                <w:tcPr>
                  <w:tcW w:w="746" w:type="dxa"/>
                  <w:noWrap w:val="0"/>
                  <w:vAlign w:val="center"/>
                </w:tcPr>
                <w:p>
                  <w:pPr>
                    <w:jc w:val="center"/>
                    <w:rPr>
                      <w:sz w:val="18"/>
                      <w:szCs w:val="18"/>
                    </w:rPr>
                  </w:pPr>
                  <w:r>
                    <w:rPr>
                      <w:sz w:val="18"/>
                      <w:szCs w:val="18"/>
                    </w:rPr>
                    <w:t>5/7.2</w:t>
                  </w:r>
                </w:p>
              </w:tc>
              <w:tc>
                <w:tcPr>
                  <w:tcW w:w="759" w:type="dxa"/>
                  <w:noWrap w:val="0"/>
                  <w:vAlign w:val="center"/>
                </w:tcPr>
                <w:p>
                  <w:pPr>
                    <w:jc w:val="center"/>
                    <w:rPr>
                      <w:sz w:val="18"/>
                      <w:szCs w:val="18"/>
                    </w:rPr>
                  </w:pPr>
                  <w:r>
                    <w:rPr>
                      <w:sz w:val="18"/>
                      <w:szCs w:val="18"/>
                    </w:rPr>
                    <w:t>6/19.2</w:t>
                  </w:r>
                </w:p>
              </w:tc>
              <w:tc>
                <w:tcPr>
                  <w:tcW w:w="852" w:type="dxa"/>
                  <w:noWrap w:val="0"/>
                  <w:vAlign w:val="center"/>
                </w:tcPr>
                <w:p>
                  <w:pPr>
                    <w:jc w:val="center"/>
                    <w:rPr>
                      <w:sz w:val="18"/>
                      <w:szCs w:val="18"/>
                    </w:rPr>
                  </w:pPr>
                  <w:r>
                    <w:rPr>
                      <w:sz w:val="18"/>
                      <w:szCs w:val="18"/>
                    </w:rPr>
                    <w:t>6/11.6</w:t>
                  </w:r>
                </w:p>
              </w:tc>
              <w:tc>
                <w:tcPr>
                  <w:tcW w:w="760" w:type="dxa"/>
                  <w:noWrap w:val="0"/>
                  <w:vAlign w:val="center"/>
                </w:tcPr>
                <w:p>
                  <w:pPr>
                    <w:jc w:val="center"/>
                    <w:rPr>
                      <w:sz w:val="18"/>
                      <w:szCs w:val="18"/>
                    </w:rPr>
                  </w:pPr>
                  <w:r>
                    <w:rPr>
                      <w:sz w:val="18"/>
                      <w:szCs w:val="18"/>
                    </w:rPr>
                    <w:t>6/12.3</w:t>
                  </w:r>
                </w:p>
              </w:tc>
              <w:tc>
                <w:tcPr>
                  <w:tcW w:w="760" w:type="dxa"/>
                  <w:noWrap w:val="0"/>
                  <w:vAlign w:val="center"/>
                </w:tcPr>
                <w:p>
                  <w:pPr>
                    <w:jc w:val="center"/>
                    <w:rPr>
                      <w:sz w:val="18"/>
                      <w:szCs w:val="18"/>
                    </w:rPr>
                  </w:pPr>
                  <w:r>
                    <w:rPr>
                      <w:sz w:val="18"/>
                      <w:szCs w:val="18"/>
                    </w:rPr>
                    <w:t>8/18.5</w:t>
                  </w:r>
                </w:p>
              </w:tc>
              <w:tc>
                <w:tcPr>
                  <w:tcW w:w="760" w:type="dxa"/>
                  <w:noWrap w:val="0"/>
                  <w:vAlign w:val="center"/>
                </w:tcPr>
                <w:p>
                  <w:pPr>
                    <w:jc w:val="center"/>
                    <w:rPr>
                      <w:sz w:val="18"/>
                      <w:szCs w:val="18"/>
                    </w:rPr>
                  </w:pPr>
                  <w:r>
                    <w:rPr>
                      <w:sz w:val="18"/>
                      <w:szCs w:val="18"/>
                    </w:rPr>
                    <w:t>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油罐</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r>
                    <w:rPr>
                      <w:sz w:val="18"/>
                      <w:szCs w:val="18"/>
                    </w:rPr>
                    <w:t>-</w:t>
                  </w:r>
                </w:p>
              </w:tc>
              <w:tc>
                <w:tcPr>
                  <w:tcW w:w="759" w:type="dxa"/>
                  <w:noWrap w:val="0"/>
                  <w:vAlign w:val="center"/>
                </w:tcPr>
                <w:p>
                  <w:pPr>
                    <w:jc w:val="center"/>
                    <w:rPr>
                      <w:sz w:val="18"/>
                      <w:szCs w:val="18"/>
                    </w:rPr>
                  </w:pPr>
                  <w:r>
                    <w:rPr>
                      <w:sz w:val="18"/>
                      <w:szCs w:val="18"/>
                    </w:rPr>
                    <w:t>-</w:t>
                  </w:r>
                </w:p>
              </w:tc>
              <w:tc>
                <w:tcPr>
                  <w:tcW w:w="746" w:type="dxa"/>
                  <w:noWrap w:val="0"/>
                  <w:vAlign w:val="center"/>
                </w:tcPr>
                <w:p>
                  <w:pPr>
                    <w:jc w:val="center"/>
                    <w:rPr>
                      <w:sz w:val="18"/>
                      <w:szCs w:val="18"/>
                    </w:rPr>
                  </w:pPr>
                  <w:r>
                    <w:rPr>
                      <w:sz w:val="18"/>
                      <w:szCs w:val="18"/>
                    </w:rPr>
                    <w:t>-</w:t>
                  </w:r>
                </w:p>
              </w:tc>
              <w:tc>
                <w:tcPr>
                  <w:tcW w:w="759" w:type="dxa"/>
                  <w:noWrap w:val="0"/>
                  <w:vAlign w:val="center"/>
                </w:tcPr>
                <w:p>
                  <w:pPr>
                    <w:jc w:val="center"/>
                    <w:rPr>
                      <w:sz w:val="18"/>
                      <w:szCs w:val="18"/>
                    </w:rPr>
                  </w:pPr>
                  <w:r>
                    <w:rPr>
                      <w:sz w:val="18"/>
                      <w:szCs w:val="18"/>
                    </w:rPr>
                    <w:t>4/14</w:t>
                  </w:r>
                </w:p>
              </w:tc>
              <w:tc>
                <w:tcPr>
                  <w:tcW w:w="852" w:type="dxa"/>
                  <w:noWrap w:val="0"/>
                  <w:vAlign w:val="center"/>
                </w:tcPr>
                <w:p>
                  <w:pPr>
                    <w:jc w:val="center"/>
                    <w:rPr>
                      <w:sz w:val="18"/>
                      <w:szCs w:val="18"/>
                    </w:rPr>
                  </w:pPr>
                  <w:r>
                    <w:rPr>
                      <w:sz w:val="18"/>
                      <w:szCs w:val="18"/>
                    </w:rPr>
                    <w:t>10/19.2</w:t>
                  </w:r>
                </w:p>
              </w:tc>
              <w:tc>
                <w:tcPr>
                  <w:tcW w:w="760" w:type="dxa"/>
                  <w:noWrap w:val="0"/>
                  <w:vAlign w:val="center"/>
                </w:tcPr>
                <w:p>
                  <w:pPr>
                    <w:jc w:val="center"/>
                    <w:rPr>
                      <w:sz w:val="18"/>
                      <w:szCs w:val="18"/>
                    </w:rPr>
                  </w:pPr>
                  <w:r>
                    <w:rPr>
                      <w:sz w:val="18"/>
                      <w:szCs w:val="18"/>
                    </w:rPr>
                    <w:t>6/38.7</w:t>
                  </w:r>
                </w:p>
              </w:tc>
              <w:tc>
                <w:tcPr>
                  <w:tcW w:w="760" w:type="dxa"/>
                  <w:noWrap w:val="0"/>
                  <w:vAlign w:val="center"/>
                </w:tcPr>
                <w:p>
                  <w:pPr>
                    <w:jc w:val="center"/>
                    <w:rPr>
                      <w:sz w:val="18"/>
                      <w:szCs w:val="18"/>
                    </w:rPr>
                  </w:pPr>
                  <w:r>
                    <w:rPr>
                      <w:sz w:val="18"/>
                      <w:szCs w:val="18"/>
                    </w:rPr>
                    <w:t>6/31</w:t>
                  </w:r>
                </w:p>
              </w:tc>
              <w:tc>
                <w:tcPr>
                  <w:tcW w:w="760" w:type="dxa"/>
                  <w:noWrap w:val="0"/>
                  <w:vAlign w:val="center"/>
                </w:tcPr>
                <w:p>
                  <w:pPr>
                    <w:jc w:val="center"/>
                    <w:rPr>
                      <w:sz w:val="18"/>
                      <w:szCs w:val="18"/>
                    </w:rPr>
                  </w:pPr>
                  <w:r>
                    <w:rPr>
                      <w:sz w:val="18"/>
                      <w:szCs w:val="18"/>
                    </w:rPr>
                    <w:t>6/35.3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通气管口</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r>
                    <w:rPr>
                      <w:sz w:val="18"/>
                      <w:szCs w:val="18"/>
                    </w:rPr>
                    <w:t>3/11.6</w:t>
                  </w:r>
                </w:p>
              </w:tc>
              <w:tc>
                <w:tcPr>
                  <w:tcW w:w="746" w:type="dxa"/>
                  <w:noWrap w:val="0"/>
                  <w:vAlign w:val="center"/>
                </w:tcPr>
                <w:p>
                  <w:pPr>
                    <w:jc w:val="center"/>
                    <w:rPr>
                      <w:sz w:val="18"/>
                      <w:szCs w:val="18"/>
                    </w:rPr>
                  </w:pPr>
                  <w:r>
                    <w:rPr>
                      <w:sz w:val="18"/>
                      <w:szCs w:val="18"/>
                    </w:rPr>
                    <w:t>--</w:t>
                  </w:r>
                </w:p>
              </w:tc>
              <w:tc>
                <w:tcPr>
                  <w:tcW w:w="759" w:type="dxa"/>
                  <w:noWrap w:val="0"/>
                  <w:vAlign w:val="center"/>
                </w:tcPr>
                <w:p>
                  <w:pPr>
                    <w:jc w:val="center"/>
                    <w:rPr>
                      <w:sz w:val="18"/>
                      <w:szCs w:val="18"/>
                    </w:rPr>
                  </w:pPr>
                  <w:r>
                    <w:rPr>
                      <w:sz w:val="18"/>
                      <w:szCs w:val="18"/>
                    </w:rPr>
                    <w:t>8/49</w:t>
                  </w:r>
                </w:p>
              </w:tc>
              <w:tc>
                <w:tcPr>
                  <w:tcW w:w="852" w:type="dxa"/>
                  <w:noWrap w:val="0"/>
                  <w:vAlign w:val="center"/>
                </w:tcPr>
                <w:p>
                  <w:pPr>
                    <w:jc w:val="center"/>
                    <w:rPr>
                      <w:sz w:val="18"/>
                      <w:szCs w:val="18"/>
                    </w:rPr>
                  </w:pPr>
                  <w:r>
                    <w:rPr>
                      <w:sz w:val="18"/>
                      <w:szCs w:val="18"/>
                    </w:rPr>
                    <w:t>8/23</w:t>
                  </w:r>
                </w:p>
              </w:tc>
              <w:tc>
                <w:tcPr>
                  <w:tcW w:w="760" w:type="dxa"/>
                  <w:noWrap w:val="0"/>
                  <w:vAlign w:val="center"/>
                </w:tcPr>
                <w:p>
                  <w:pPr>
                    <w:jc w:val="center"/>
                    <w:rPr>
                      <w:sz w:val="18"/>
                      <w:szCs w:val="18"/>
                    </w:rPr>
                  </w:pPr>
                  <w:r>
                    <w:rPr>
                      <w:sz w:val="18"/>
                      <w:szCs w:val="18"/>
                    </w:rPr>
                    <w:t>8/43.2</w:t>
                  </w:r>
                </w:p>
              </w:tc>
              <w:tc>
                <w:tcPr>
                  <w:tcW w:w="760" w:type="dxa"/>
                  <w:noWrap w:val="0"/>
                  <w:vAlign w:val="center"/>
                </w:tcPr>
                <w:p>
                  <w:pPr>
                    <w:jc w:val="center"/>
                    <w:rPr>
                      <w:sz w:val="18"/>
                      <w:szCs w:val="18"/>
                    </w:rPr>
                  </w:pPr>
                  <w:r>
                    <w:rPr>
                      <w:sz w:val="18"/>
                      <w:szCs w:val="18"/>
                    </w:rPr>
                    <w:t>6/34.2</w:t>
                  </w:r>
                </w:p>
              </w:tc>
              <w:tc>
                <w:tcPr>
                  <w:tcW w:w="760" w:type="dxa"/>
                  <w:noWrap w:val="0"/>
                  <w:vAlign w:val="center"/>
                </w:tcPr>
                <w:p>
                  <w:pPr>
                    <w:jc w:val="center"/>
                    <w:rPr>
                      <w:sz w:val="18"/>
                      <w:szCs w:val="18"/>
                    </w:rPr>
                  </w:pPr>
                  <w:r>
                    <w:rPr>
                      <w:sz w:val="18"/>
                      <w:szCs w:val="18"/>
                    </w:rPr>
                    <w:t>8/38.7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油品卸车点</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r>
                    <w:rPr>
                      <w:sz w:val="18"/>
                      <w:szCs w:val="18"/>
                    </w:rPr>
                    <w:t>-</w:t>
                  </w:r>
                </w:p>
              </w:tc>
              <w:tc>
                <w:tcPr>
                  <w:tcW w:w="759" w:type="dxa"/>
                  <w:noWrap w:val="0"/>
                  <w:vAlign w:val="center"/>
                </w:tcPr>
                <w:p>
                  <w:pPr>
                    <w:jc w:val="center"/>
                    <w:rPr>
                      <w:sz w:val="18"/>
                      <w:szCs w:val="18"/>
                    </w:rPr>
                  </w:pPr>
                  <w:r>
                    <w:rPr>
                      <w:sz w:val="18"/>
                      <w:szCs w:val="18"/>
                    </w:rPr>
                    <w:t>6/46.4</w:t>
                  </w:r>
                </w:p>
              </w:tc>
              <w:tc>
                <w:tcPr>
                  <w:tcW w:w="852" w:type="dxa"/>
                  <w:noWrap w:val="0"/>
                  <w:vAlign w:val="center"/>
                </w:tcPr>
                <w:p>
                  <w:pPr>
                    <w:jc w:val="center"/>
                    <w:rPr>
                      <w:sz w:val="18"/>
                      <w:szCs w:val="18"/>
                    </w:rPr>
                  </w:pPr>
                  <w:r>
                    <w:rPr>
                      <w:sz w:val="18"/>
                      <w:szCs w:val="18"/>
                    </w:rPr>
                    <w:t>8/9.7</w:t>
                  </w:r>
                </w:p>
              </w:tc>
              <w:tc>
                <w:tcPr>
                  <w:tcW w:w="760" w:type="dxa"/>
                  <w:noWrap w:val="0"/>
                  <w:vAlign w:val="center"/>
                </w:tcPr>
                <w:p>
                  <w:pPr>
                    <w:jc w:val="center"/>
                    <w:rPr>
                      <w:sz w:val="18"/>
                      <w:szCs w:val="18"/>
                    </w:rPr>
                  </w:pPr>
                  <w:r>
                    <w:rPr>
                      <w:sz w:val="18"/>
                      <w:szCs w:val="18"/>
                    </w:rPr>
                    <w:t>6/30</w:t>
                  </w:r>
                </w:p>
              </w:tc>
              <w:tc>
                <w:tcPr>
                  <w:tcW w:w="760" w:type="dxa"/>
                  <w:noWrap w:val="0"/>
                  <w:vAlign w:val="center"/>
                </w:tcPr>
                <w:p>
                  <w:pPr>
                    <w:jc w:val="center"/>
                    <w:rPr>
                      <w:sz w:val="18"/>
                      <w:szCs w:val="18"/>
                    </w:rPr>
                  </w:pPr>
                  <w:r>
                    <w:rPr>
                      <w:sz w:val="18"/>
                      <w:szCs w:val="18"/>
                    </w:rPr>
                    <w:t>6/20.7</w:t>
                  </w:r>
                </w:p>
              </w:tc>
              <w:tc>
                <w:tcPr>
                  <w:tcW w:w="760" w:type="dxa"/>
                  <w:noWrap w:val="0"/>
                  <w:vAlign w:val="center"/>
                </w:tcPr>
                <w:p>
                  <w:pPr>
                    <w:jc w:val="center"/>
                    <w:rPr>
                      <w:sz w:val="18"/>
                      <w:szCs w:val="18"/>
                    </w:rPr>
                  </w:pPr>
                  <w:r>
                    <w:rPr>
                      <w:sz w:val="18"/>
                      <w:szCs w:val="18"/>
                    </w:rPr>
                    <w:t>6/25.2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加油机</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p>
              </w:tc>
              <w:tc>
                <w:tcPr>
                  <w:tcW w:w="759" w:type="dxa"/>
                  <w:noWrap w:val="0"/>
                  <w:vAlign w:val="center"/>
                </w:tcPr>
                <w:p>
                  <w:pPr>
                    <w:jc w:val="center"/>
                    <w:rPr>
                      <w:sz w:val="18"/>
                      <w:szCs w:val="18"/>
                    </w:rPr>
                  </w:pPr>
                  <w:r>
                    <w:rPr>
                      <w:sz w:val="18"/>
                      <w:szCs w:val="18"/>
                    </w:rPr>
                    <w:t>2/11.4</w:t>
                  </w:r>
                </w:p>
              </w:tc>
              <w:tc>
                <w:tcPr>
                  <w:tcW w:w="852" w:type="dxa"/>
                  <w:noWrap w:val="0"/>
                  <w:vAlign w:val="center"/>
                </w:tcPr>
                <w:p>
                  <w:pPr>
                    <w:jc w:val="center"/>
                    <w:rPr>
                      <w:sz w:val="18"/>
                      <w:szCs w:val="18"/>
                    </w:rPr>
                  </w:pPr>
                  <w:r>
                    <w:rPr>
                      <w:sz w:val="18"/>
                      <w:szCs w:val="18"/>
                    </w:rPr>
                    <w:t>6/28.9</w:t>
                  </w:r>
                </w:p>
              </w:tc>
              <w:tc>
                <w:tcPr>
                  <w:tcW w:w="760" w:type="dxa"/>
                  <w:noWrap w:val="0"/>
                  <w:vAlign w:val="center"/>
                </w:tcPr>
                <w:p>
                  <w:pPr>
                    <w:jc w:val="center"/>
                    <w:rPr>
                      <w:sz w:val="18"/>
                      <w:szCs w:val="18"/>
                    </w:rPr>
                  </w:pPr>
                  <w:r>
                    <w:rPr>
                      <w:sz w:val="18"/>
                      <w:szCs w:val="18"/>
                    </w:rPr>
                    <w:t>6/27.2</w:t>
                  </w:r>
                </w:p>
              </w:tc>
              <w:tc>
                <w:tcPr>
                  <w:tcW w:w="760" w:type="dxa"/>
                  <w:noWrap w:val="0"/>
                  <w:vAlign w:val="center"/>
                </w:tcPr>
                <w:p>
                  <w:pPr>
                    <w:jc w:val="center"/>
                    <w:rPr>
                      <w:sz w:val="18"/>
                      <w:szCs w:val="18"/>
                    </w:rPr>
                  </w:pPr>
                  <w:r>
                    <w:rPr>
                      <w:sz w:val="18"/>
                      <w:szCs w:val="18"/>
                    </w:rPr>
                    <w:t>6/36.1</w:t>
                  </w:r>
                </w:p>
              </w:tc>
              <w:tc>
                <w:tcPr>
                  <w:tcW w:w="760" w:type="dxa"/>
                  <w:noWrap w:val="0"/>
                  <w:vAlign w:val="center"/>
                </w:tcPr>
                <w:p>
                  <w:pPr>
                    <w:jc w:val="center"/>
                    <w:rPr>
                      <w:sz w:val="18"/>
                      <w:szCs w:val="18"/>
                    </w:rPr>
                  </w:pPr>
                  <w:r>
                    <w:rPr>
                      <w:sz w:val="18"/>
                      <w:szCs w:val="18"/>
                    </w:rPr>
                    <w:t>6/30.4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加气机</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p>
              </w:tc>
              <w:tc>
                <w:tcPr>
                  <w:tcW w:w="759" w:type="dxa"/>
                  <w:noWrap w:val="0"/>
                  <w:vAlign w:val="center"/>
                </w:tcPr>
                <w:p>
                  <w:pPr>
                    <w:jc w:val="center"/>
                    <w:rPr>
                      <w:sz w:val="18"/>
                      <w:szCs w:val="18"/>
                    </w:rPr>
                  </w:pPr>
                </w:p>
              </w:tc>
              <w:tc>
                <w:tcPr>
                  <w:tcW w:w="852" w:type="dxa"/>
                  <w:noWrap w:val="0"/>
                  <w:vAlign w:val="center"/>
                </w:tcPr>
                <w:p>
                  <w:pPr>
                    <w:jc w:val="center"/>
                    <w:rPr>
                      <w:sz w:val="18"/>
                      <w:szCs w:val="18"/>
                    </w:rPr>
                  </w:pPr>
                  <w:r>
                    <w:rPr>
                      <w:sz w:val="18"/>
                      <w:szCs w:val="18"/>
                    </w:rPr>
                    <w:t>2/40.9</w:t>
                  </w:r>
                </w:p>
              </w:tc>
              <w:tc>
                <w:tcPr>
                  <w:tcW w:w="760" w:type="dxa"/>
                  <w:noWrap w:val="0"/>
                  <w:vAlign w:val="center"/>
                </w:tcPr>
                <w:p>
                  <w:pPr>
                    <w:jc w:val="center"/>
                    <w:rPr>
                      <w:sz w:val="18"/>
                      <w:szCs w:val="18"/>
                    </w:rPr>
                  </w:pPr>
                  <w:r>
                    <w:rPr>
                      <w:sz w:val="18"/>
                      <w:szCs w:val="18"/>
                    </w:rPr>
                    <w:t>-</w:t>
                  </w:r>
                </w:p>
              </w:tc>
              <w:tc>
                <w:tcPr>
                  <w:tcW w:w="760" w:type="dxa"/>
                  <w:noWrap w:val="0"/>
                  <w:vAlign w:val="center"/>
                </w:tcPr>
                <w:p>
                  <w:pPr>
                    <w:jc w:val="center"/>
                    <w:rPr>
                      <w:sz w:val="18"/>
                      <w:szCs w:val="18"/>
                    </w:rPr>
                  </w:pPr>
                  <w:r>
                    <w:rPr>
                      <w:sz w:val="18"/>
                      <w:szCs w:val="18"/>
                    </w:rPr>
                    <w:t>-</w:t>
                  </w:r>
                </w:p>
              </w:tc>
              <w:tc>
                <w:tcPr>
                  <w:tcW w:w="760" w:type="dxa"/>
                  <w:noWrap w:val="0"/>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LNG储罐</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p>
              </w:tc>
              <w:tc>
                <w:tcPr>
                  <w:tcW w:w="759" w:type="dxa"/>
                  <w:noWrap w:val="0"/>
                  <w:vAlign w:val="center"/>
                </w:tcPr>
                <w:p>
                  <w:pPr>
                    <w:jc w:val="center"/>
                    <w:rPr>
                      <w:sz w:val="18"/>
                      <w:szCs w:val="18"/>
                    </w:rPr>
                  </w:pPr>
                </w:p>
              </w:tc>
              <w:tc>
                <w:tcPr>
                  <w:tcW w:w="852" w:type="dxa"/>
                  <w:noWrap w:val="0"/>
                  <w:vAlign w:val="center"/>
                </w:tcPr>
                <w:p>
                  <w:pPr>
                    <w:jc w:val="center"/>
                    <w:rPr>
                      <w:sz w:val="18"/>
                      <w:szCs w:val="18"/>
                    </w:rPr>
                  </w:pPr>
                </w:p>
              </w:tc>
              <w:tc>
                <w:tcPr>
                  <w:tcW w:w="760" w:type="dxa"/>
                  <w:noWrap w:val="0"/>
                  <w:vAlign w:val="center"/>
                </w:tcPr>
                <w:p>
                  <w:pPr>
                    <w:jc w:val="center"/>
                    <w:rPr>
                      <w:sz w:val="18"/>
                      <w:szCs w:val="18"/>
                    </w:rPr>
                  </w:pPr>
                  <w:r>
                    <w:rPr>
                      <w:sz w:val="18"/>
                      <w:szCs w:val="18"/>
                    </w:rPr>
                    <w:t>2/8.2</w:t>
                  </w:r>
                </w:p>
              </w:tc>
              <w:tc>
                <w:tcPr>
                  <w:tcW w:w="760" w:type="dxa"/>
                  <w:noWrap w:val="0"/>
                  <w:vAlign w:val="center"/>
                </w:tcPr>
                <w:p>
                  <w:pPr>
                    <w:jc w:val="center"/>
                    <w:rPr>
                      <w:sz w:val="18"/>
                      <w:szCs w:val="18"/>
                    </w:rPr>
                  </w:pPr>
                  <w:r>
                    <w:rPr>
                      <w:sz w:val="18"/>
                      <w:szCs w:val="18"/>
                    </w:rPr>
                    <w:t>-</w:t>
                  </w:r>
                </w:p>
              </w:tc>
              <w:tc>
                <w:tcPr>
                  <w:tcW w:w="760" w:type="dxa"/>
                  <w:noWrap w:val="0"/>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LNG卸车点</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p>
              </w:tc>
              <w:tc>
                <w:tcPr>
                  <w:tcW w:w="759" w:type="dxa"/>
                  <w:noWrap w:val="0"/>
                  <w:vAlign w:val="center"/>
                </w:tcPr>
                <w:p>
                  <w:pPr>
                    <w:jc w:val="center"/>
                    <w:rPr>
                      <w:sz w:val="18"/>
                      <w:szCs w:val="18"/>
                    </w:rPr>
                  </w:pPr>
                </w:p>
              </w:tc>
              <w:tc>
                <w:tcPr>
                  <w:tcW w:w="852" w:type="dxa"/>
                  <w:noWrap w:val="0"/>
                  <w:vAlign w:val="center"/>
                </w:tcPr>
                <w:p>
                  <w:pPr>
                    <w:jc w:val="center"/>
                    <w:rPr>
                      <w:sz w:val="18"/>
                      <w:szCs w:val="18"/>
                    </w:rPr>
                  </w:pPr>
                </w:p>
              </w:tc>
              <w:tc>
                <w:tcPr>
                  <w:tcW w:w="760" w:type="dxa"/>
                  <w:noWrap w:val="0"/>
                  <w:vAlign w:val="center"/>
                </w:tcPr>
                <w:p>
                  <w:pPr>
                    <w:jc w:val="center"/>
                    <w:rPr>
                      <w:sz w:val="18"/>
                      <w:szCs w:val="18"/>
                    </w:rPr>
                  </w:pPr>
                </w:p>
              </w:tc>
              <w:tc>
                <w:tcPr>
                  <w:tcW w:w="760" w:type="dxa"/>
                  <w:noWrap w:val="0"/>
                  <w:vAlign w:val="center"/>
                </w:tcPr>
                <w:p>
                  <w:pPr>
                    <w:jc w:val="center"/>
                    <w:rPr>
                      <w:sz w:val="18"/>
                      <w:szCs w:val="18"/>
                    </w:rPr>
                  </w:pPr>
                  <w:r>
                    <w:rPr>
                      <w:sz w:val="18"/>
                      <w:szCs w:val="18"/>
                    </w:rPr>
                    <w:t>3/13.7</w:t>
                  </w:r>
                </w:p>
              </w:tc>
              <w:tc>
                <w:tcPr>
                  <w:tcW w:w="760" w:type="dxa"/>
                  <w:noWrap w:val="0"/>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LNG放散管</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59" w:type="dxa"/>
                  <w:noWrap w:val="0"/>
                  <w:vAlign w:val="center"/>
                </w:tcPr>
                <w:p>
                  <w:pPr>
                    <w:jc w:val="center"/>
                    <w:rPr>
                      <w:sz w:val="18"/>
                      <w:szCs w:val="18"/>
                    </w:rPr>
                  </w:pPr>
                </w:p>
              </w:tc>
              <w:tc>
                <w:tcPr>
                  <w:tcW w:w="746" w:type="dxa"/>
                  <w:noWrap w:val="0"/>
                  <w:vAlign w:val="center"/>
                </w:tcPr>
                <w:p>
                  <w:pPr>
                    <w:jc w:val="center"/>
                    <w:rPr>
                      <w:sz w:val="18"/>
                      <w:szCs w:val="18"/>
                    </w:rPr>
                  </w:pPr>
                </w:p>
              </w:tc>
              <w:tc>
                <w:tcPr>
                  <w:tcW w:w="759" w:type="dxa"/>
                  <w:noWrap w:val="0"/>
                  <w:vAlign w:val="center"/>
                </w:tcPr>
                <w:p>
                  <w:pPr>
                    <w:jc w:val="center"/>
                    <w:rPr>
                      <w:sz w:val="18"/>
                      <w:szCs w:val="18"/>
                    </w:rPr>
                  </w:pPr>
                </w:p>
              </w:tc>
              <w:tc>
                <w:tcPr>
                  <w:tcW w:w="852" w:type="dxa"/>
                  <w:noWrap w:val="0"/>
                  <w:vAlign w:val="center"/>
                </w:tcPr>
                <w:p>
                  <w:pPr>
                    <w:jc w:val="center"/>
                    <w:rPr>
                      <w:sz w:val="18"/>
                      <w:szCs w:val="18"/>
                    </w:rPr>
                  </w:pPr>
                </w:p>
              </w:tc>
              <w:tc>
                <w:tcPr>
                  <w:tcW w:w="760" w:type="dxa"/>
                  <w:noWrap w:val="0"/>
                  <w:vAlign w:val="center"/>
                </w:tcPr>
                <w:p>
                  <w:pPr>
                    <w:jc w:val="center"/>
                    <w:rPr>
                      <w:sz w:val="18"/>
                      <w:szCs w:val="18"/>
                    </w:rPr>
                  </w:pPr>
                </w:p>
              </w:tc>
              <w:tc>
                <w:tcPr>
                  <w:tcW w:w="760" w:type="dxa"/>
                  <w:noWrap w:val="0"/>
                  <w:vAlign w:val="center"/>
                </w:tcPr>
                <w:p>
                  <w:pPr>
                    <w:jc w:val="center"/>
                    <w:rPr>
                      <w:sz w:val="18"/>
                      <w:szCs w:val="18"/>
                    </w:rPr>
                  </w:pPr>
                </w:p>
              </w:tc>
              <w:tc>
                <w:tcPr>
                  <w:tcW w:w="760" w:type="dxa"/>
                  <w:noWrap w:val="0"/>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7" w:type="dxa"/>
                  <w:noWrap w:val="0"/>
                  <w:vAlign w:val="center"/>
                </w:tcPr>
                <w:p>
                  <w:pPr>
                    <w:jc w:val="center"/>
                    <w:rPr>
                      <w:sz w:val="18"/>
                      <w:szCs w:val="18"/>
                    </w:rPr>
                  </w:pPr>
                  <w:r>
                    <w:rPr>
                      <w:sz w:val="18"/>
                      <w:szCs w:val="18"/>
                    </w:rPr>
                    <w:t>围墙</w:t>
                  </w:r>
                </w:p>
              </w:tc>
              <w:tc>
                <w:tcPr>
                  <w:tcW w:w="648" w:type="dxa"/>
                  <w:noWrap w:val="0"/>
                  <w:vAlign w:val="center"/>
                </w:tcPr>
                <w:p>
                  <w:pPr>
                    <w:jc w:val="center"/>
                    <w:rPr>
                      <w:sz w:val="18"/>
                      <w:szCs w:val="18"/>
                    </w:rPr>
                  </w:pPr>
                </w:p>
              </w:tc>
              <w:tc>
                <w:tcPr>
                  <w:tcW w:w="759" w:type="dxa"/>
                  <w:noWrap w:val="0"/>
                  <w:vAlign w:val="center"/>
                </w:tcPr>
                <w:p>
                  <w:pPr>
                    <w:jc w:val="center"/>
                    <w:rPr>
                      <w:sz w:val="18"/>
                      <w:szCs w:val="18"/>
                    </w:rPr>
                  </w:pPr>
                  <w:r>
                    <w:rPr>
                      <w:sz w:val="18"/>
                      <w:szCs w:val="18"/>
                    </w:rPr>
                    <w:t>2/3.4</w:t>
                  </w:r>
                </w:p>
              </w:tc>
              <w:tc>
                <w:tcPr>
                  <w:tcW w:w="759" w:type="dxa"/>
                  <w:noWrap w:val="0"/>
                  <w:vAlign w:val="center"/>
                </w:tcPr>
                <w:p>
                  <w:pPr>
                    <w:jc w:val="center"/>
                    <w:rPr>
                      <w:sz w:val="18"/>
                      <w:szCs w:val="18"/>
                    </w:rPr>
                  </w:pPr>
                  <w:r>
                    <w:rPr>
                      <w:sz w:val="18"/>
                      <w:szCs w:val="18"/>
                    </w:rPr>
                    <w:t>2/8</w:t>
                  </w:r>
                </w:p>
              </w:tc>
              <w:tc>
                <w:tcPr>
                  <w:tcW w:w="759" w:type="dxa"/>
                  <w:noWrap w:val="0"/>
                  <w:vAlign w:val="center"/>
                </w:tcPr>
                <w:p>
                  <w:pPr>
                    <w:jc w:val="center"/>
                    <w:rPr>
                      <w:sz w:val="18"/>
                      <w:szCs w:val="18"/>
                    </w:rPr>
                  </w:pPr>
                  <w:r>
                    <w:rPr>
                      <w:sz w:val="18"/>
                      <w:szCs w:val="18"/>
                    </w:rPr>
                    <w:t>-</w:t>
                  </w:r>
                </w:p>
              </w:tc>
              <w:tc>
                <w:tcPr>
                  <w:tcW w:w="746" w:type="dxa"/>
                  <w:noWrap w:val="0"/>
                  <w:vAlign w:val="center"/>
                </w:tcPr>
                <w:p>
                  <w:pPr>
                    <w:jc w:val="center"/>
                    <w:rPr>
                      <w:sz w:val="18"/>
                      <w:szCs w:val="18"/>
                    </w:rPr>
                  </w:pPr>
                  <w:r>
                    <w:rPr>
                      <w:sz w:val="18"/>
                      <w:szCs w:val="18"/>
                    </w:rPr>
                    <w:t>-</w:t>
                  </w:r>
                </w:p>
              </w:tc>
              <w:tc>
                <w:tcPr>
                  <w:tcW w:w="759" w:type="dxa"/>
                  <w:noWrap w:val="0"/>
                  <w:vAlign w:val="center"/>
                </w:tcPr>
                <w:p>
                  <w:pPr>
                    <w:jc w:val="center"/>
                    <w:rPr>
                      <w:sz w:val="18"/>
                      <w:szCs w:val="18"/>
                    </w:rPr>
                  </w:pPr>
                  <w:r>
                    <w:rPr>
                      <w:sz w:val="18"/>
                      <w:szCs w:val="18"/>
                    </w:rPr>
                    <w:t>-</w:t>
                  </w:r>
                </w:p>
              </w:tc>
              <w:tc>
                <w:tcPr>
                  <w:tcW w:w="852" w:type="dxa"/>
                  <w:noWrap w:val="0"/>
                  <w:vAlign w:val="center"/>
                </w:tcPr>
                <w:p>
                  <w:pPr>
                    <w:jc w:val="center"/>
                    <w:rPr>
                      <w:sz w:val="18"/>
                      <w:szCs w:val="18"/>
                    </w:rPr>
                  </w:pPr>
                  <w:r>
                    <w:rPr>
                      <w:sz w:val="18"/>
                      <w:szCs w:val="18"/>
                    </w:rPr>
                    <w:t>4/10.4</w:t>
                  </w:r>
                </w:p>
              </w:tc>
              <w:tc>
                <w:tcPr>
                  <w:tcW w:w="760" w:type="dxa"/>
                  <w:noWrap w:val="0"/>
                  <w:vAlign w:val="center"/>
                </w:tcPr>
                <w:p>
                  <w:pPr>
                    <w:jc w:val="center"/>
                    <w:rPr>
                      <w:sz w:val="18"/>
                      <w:szCs w:val="18"/>
                    </w:rPr>
                  </w:pPr>
                  <w:r>
                    <w:rPr>
                      <w:sz w:val="18"/>
                      <w:szCs w:val="18"/>
                    </w:rPr>
                    <w:t>2/3.6</w:t>
                  </w:r>
                </w:p>
              </w:tc>
              <w:tc>
                <w:tcPr>
                  <w:tcW w:w="760" w:type="dxa"/>
                  <w:noWrap w:val="0"/>
                  <w:vAlign w:val="center"/>
                </w:tcPr>
                <w:p>
                  <w:pPr>
                    <w:jc w:val="center"/>
                    <w:rPr>
                      <w:sz w:val="18"/>
                      <w:szCs w:val="18"/>
                    </w:rPr>
                  </w:pPr>
                  <w:r>
                    <w:rPr>
                      <w:sz w:val="18"/>
                      <w:szCs w:val="18"/>
                    </w:rPr>
                    <w:t>2/5.5</w:t>
                  </w:r>
                </w:p>
              </w:tc>
              <w:tc>
                <w:tcPr>
                  <w:tcW w:w="760" w:type="dxa"/>
                  <w:noWrap w:val="0"/>
                  <w:vAlign w:val="center"/>
                </w:tcPr>
                <w:p>
                  <w:pPr>
                    <w:jc w:val="center"/>
                    <w:rPr>
                      <w:sz w:val="18"/>
                      <w:szCs w:val="18"/>
                    </w:rPr>
                  </w:pPr>
                  <w:r>
                    <w:rPr>
                      <w:sz w:val="18"/>
                      <w:szCs w:val="18"/>
                    </w:rPr>
                    <w:t>2/4.6</w:t>
                  </w:r>
                </w:p>
              </w:tc>
            </w:tr>
          </w:tbl>
          <w:p>
            <w:pPr>
              <w:pStyle w:val="647"/>
              <w:ind w:firstLine="175" w:firstLineChars="83"/>
              <w:rPr>
                <w:rFonts w:hint="eastAsia"/>
                <w:b/>
                <w:bCs/>
                <w:sz w:val="21"/>
                <w:szCs w:val="21"/>
              </w:rPr>
            </w:pPr>
            <w:r>
              <w:rPr>
                <w:rFonts w:hint="eastAsia"/>
                <w:b/>
                <w:bCs/>
                <w:sz w:val="21"/>
                <w:szCs w:val="21"/>
              </w:rPr>
              <w:t>注：A/</w:t>
            </w:r>
            <w:r>
              <w:rPr>
                <w:b/>
                <w:bCs/>
                <w:sz w:val="21"/>
                <w:szCs w:val="21"/>
              </w:rPr>
              <w:t>B</w:t>
            </w:r>
            <w:r>
              <w:rPr>
                <w:rFonts w:hint="eastAsia"/>
                <w:b/>
                <w:bCs/>
                <w:sz w:val="21"/>
                <w:szCs w:val="21"/>
              </w:rPr>
              <w:t>，A为</w:t>
            </w:r>
            <w:r>
              <w:rPr>
                <w:b/>
                <w:bCs/>
                <w:sz w:val="21"/>
                <w:szCs w:val="21"/>
              </w:rPr>
              <w:t>《汽车加油加气加氢站技术标准》</w:t>
            </w:r>
            <w:r>
              <w:rPr>
                <w:rFonts w:hint="eastAsia"/>
                <w:b/>
                <w:bCs/>
                <w:sz w:val="21"/>
                <w:szCs w:val="21"/>
              </w:rPr>
              <w:t>（</w:t>
            </w:r>
            <w:r>
              <w:rPr>
                <w:b/>
                <w:bCs/>
                <w:sz w:val="21"/>
                <w:szCs w:val="21"/>
              </w:rPr>
              <w:t>GB50156-2021</w:t>
            </w:r>
            <w:r>
              <w:rPr>
                <w:rFonts w:hint="eastAsia"/>
                <w:b/>
                <w:bCs/>
                <w:sz w:val="21"/>
                <w:szCs w:val="21"/>
              </w:rPr>
              <w:t>）第5.0.13条要求间距，B为实际间距。</w:t>
            </w:r>
          </w:p>
          <w:p>
            <w:pPr>
              <w:pStyle w:val="647"/>
              <w:ind w:firstLine="480"/>
            </w:pPr>
            <w:r>
              <w:t>综上所述，本项目将加油加气区、油罐区、</w:t>
            </w:r>
            <w:r>
              <w:rPr>
                <w:rFonts w:hint="eastAsia"/>
              </w:rPr>
              <w:t>LNG储罐区、</w:t>
            </w:r>
            <w:r>
              <w:t>站房等分区设置， 各功能区相对独立，减少了彼此的干扰，既方便管理，又减少了安全隐患，</w:t>
            </w:r>
            <w:r>
              <w:rPr>
                <w:rFonts w:hint="eastAsia"/>
              </w:rPr>
              <w:t>项目</w:t>
            </w:r>
            <w:r>
              <w:t xml:space="preserve">功能分区明确，布局较合理；同时总图布置充分考虑了消防、安全、环保等规范规定的要求，站内设施之间的防火距离满足《汽车加油加气加氢站技术标准》  </w:t>
            </w:r>
            <w:r>
              <w:rPr>
                <w:rFonts w:hint="eastAsia"/>
              </w:rPr>
              <w:t>（</w:t>
            </w:r>
            <w:r>
              <w:t>GB50156-2021</w:t>
            </w:r>
            <w:r>
              <w:rPr>
                <w:rFonts w:hint="eastAsia"/>
              </w:rPr>
              <w:t>）</w:t>
            </w:r>
            <w:r>
              <w:t>表5.0.13中的各项要求。</w:t>
            </w:r>
          </w:p>
          <w:p>
            <w:pPr>
              <w:pStyle w:val="647"/>
              <w:ind w:firstLine="480"/>
              <w:rPr>
                <w:rFonts w:hint="eastAsia"/>
                <w:bCs/>
              </w:rPr>
            </w:pPr>
            <w:r>
              <w:t>综上所述，从环保角度分析，本项目平面布置合理可行。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442" w:type="dxa"/>
            <w:noWrap w:val="0"/>
            <w:vAlign w:val="center"/>
          </w:tcPr>
          <w:p>
            <w:pPr>
              <w:pStyle w:val="65"/>
              <w:adjustRightInd w:val="0"/>
              <w:snapToGrid w:val="0"/>
              <w:spacing w:before="0" w:beforeAutospacing="0" w:after="0" w:afterAutospacing="0"/>
              <w:jc w:val="center"/>
              <w:rPr>
                <w:rFonts w:ascii="Times New Roman" w:hAnsi="Times New Roman"/>
                <w:b/>
                <w:bCs/>
                <w:szCs w:val="24"/>
              </w:rPr>
            </w:pPr>
            <w:r>
              <w:rPr>
                <w:rFonts w:ascii="Times New Roman" w:hAnsi="Times New Roman"/>
                <w:b/>
                <w:bCs/>
                <w:szCs w:val="24"/>
              </w:rPr>
              <w:t>工艺流程和产排污环节</w:t>
            </w:r>
          </w:p>
        </w:tc>
        <w:tc>
          <w:tcPr>
            <w:tcW w:w="8618" w:type="dxa"/>
            <w:noWrap w:val="0"/>
            <w:vAlign w:val="top"/>
          </w:tcPr>
          <w:p>
            <w:pPr>
              <w:spacing w:line="360" w:lineRule="auto"/>
              <w:ind w:firstLine="482" w:firstLineChars="200"/>
              <w:rPr>
                <w:b/>
                <w:bCs/>
                <w:sz w:val="24"/>
              </w:rPr>
            </w:pPr>
            <w:r>
              <w:rPr>
                <w:b/>
                <w:bCs/>
                <w:sz w:val="24"/>
              </w:rPr>
              <w:t>一、施工期工艺流程及产污环节分析</w:t>
            </w:r>
          </w:p>
          <w:p>
            <w:pPr>
              <w:pStyle w:val="864"/>
              <w:rPr>
                <w:kern w:val="2"/>
              </w:rPr>
            </w:pPr>
            <w:r>
              <w:rPr>
                <w:kern w:val="2"/>
              </w:rPr>
              <w:t xml:space="preserve">（一）施工期工艺流程 </w:t>
            </w:r>
          </w:p>
          <w:p>
            <w:pPr>
              <w:spacing w:line="360" w:lineRule="auto"/>
              <w:ind w:firstLine="480" w:firstLineChars="200"/>
              <w:rPr>
                <w:sz w:val="24"/>
              </w:rPr>
            </w:pPr>
            <w:r>
              <w:rPr>
                <w:sz w:val="24"/>
              </w:rPr>
              <w:t>本项目为加油加气站建设项目，项目建设地为平整净地，因此，本项目施工期不存在大规模的土石方工程。本工程建设内容主要包括该加油加气站站房、罩棚、油罐区、加气设备区相关配套设施的建设以及设备的安装等。工程施工期工艺流程及产污</w:t>
            </w:r>
            <w:r>
              <w:rPr>
                <w:rFonts w:hint="eastAsia"/>
                <w:sz w:val="24"/>
              </w:rPr>
              <w:t>环节见</w:t>
            </w:r>
            <w:r>
              <w:rPr>
                <w:sz w:val="24"/>
              </w:rPr>
              <w:t>图</w:t>
            </w:r>
            <w:r>
              <w:rPr>
                <w:rFonts w:hint="eastAsia"/>
                <w:sz w:val="24"/>
              </w:rPr>
              <w:t>2-2</w:t>
            </w:r>
            <w:r>
              <w:rPr>
                <w:sz w:val="24"/>
              </w:rPr>
              <w:t>所示。</w:t>
            </w:r>
          </w:p>
          <w:p>
            <w:pPr>
              <w:pStyle w:val="864"/>
              <w:ind w:firstLine="482"/>
              <w:rPr>
                <w:kern w:val="2"/>
              </w:rPr>
            </w:pPr>
            <w:r>
              <w:rPr>
                <w:b/>
                <w:bCs/>
              </w:rPr>
              <mc:AlternateContent>
                <mc:Choice Requires="wps">
                  <w:drawing>
                    <wp:anchor distT="0" distB="0" distL="114300" distR="114300" simplePos="0" relativeHeight="251667456" behindDoc="0" locked="0" layoutInCell="1" allowOverlap="1">
                      <wp:simplePos x="0" y="0"/>
                      <wp:positionH relativeFrom="column">
                        <wp:posOffset>4307205</wp:posOffset>
                      </wp:positionH>
                      <wp:positionV relativeFrom="paragraph">
                        <wp:posOffset>179705</wp:posOffset>
                      </wp:positionV>
                      <wp:extent cx="763905" cy="473075"/>
                      <wp:effectExtent l="0" t="0" r="17145" b="3175"/>
                      <wp:wrapNone/>
                      <wp:docPr id="4267" name="文本框 4267"/>
                      <wp:cNvGraphicFramePr/>
                      <a:graphic xmlns:a="http://schemas.openxmlformats.org/drawingml/2006/main">
                        <a:graphicData uri="http://schemas.microsoft.com/office/word/2010/wordprocessingShape">
                          <wps:wsp>
                            <wps:cNvSpPr txBox="1">
                              <a:spLocks noChangeArrowheads="1"/>
                            </wps:cNvSpPr>
                            <wps:spPr bwMode="auto">
                              <a:xfrm>
                                <a:off x="0" y="0"/>
                                <a:ext cx="846455" cy="541655"/>
                              </a:xfrm>
                              <a:prstGeom prst="rect">
                                <a:avLst/>
                              </a:prstGeom>
                              <a:solidFill>
                                <a:srgbClr val="FFFFFF"/>
                              </a:solidFill>
                              <a:ln>
                                <a:noFill/>
                              </a:ln>
                              <a:effectLst/>
                            </wps:spPr>
                            <wps:txbx>
                              <w:txbxContent>
                                <w:p>
                                  <w:pPr>
                                    <w:jc w:val="center"/>
                                    <w:rPr>
                                      <w:szCs w:val="21"/>
                                    </w:rPr>
                                  </w:pPr>
                                  <w:r>
                                    <w:rPr>
                                      <w:rFonts w:hint="eastAsia"/>
                                      <w:szCs w:val="21"/>
                                    </w:rPr>
                                    <w:t>市政建渣堆场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9.15pt;margin-top:14.15pt;height:37.25pt;width:60.15pt;z-index:251667456;mso-width-relative:page;mso-height-relative:page;" fillcolor="#FFFFFF" filled="t" stroked="f" coordsize="21600,21600" o:gfxdata="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76nN1wAAAAoBAAAPAAAAAAAAAAEAIAAAACIAAABkcnMvZG93bnJldi54bWxQ&#10;SwECFAAUAAAACACHTuJA8r+TZzECAABRBAAADgAAAAAAAAABACAAAAAmAQAAZHJzL2Uyb0RvYy54&#10;bWxQSwUGAAAAAAYABgBZAQAAyQUAAAAA&#10;">
                      <v:fill on="t" focussize="0,0"/>
                      <v:stroke on="f"/>
                      <v:imagedata o:title=""/>
                      <o:lock v:ext="edit" aspectratio="f"/>
                      <v:textbox>
                        <w:txbxContent>
                          <w:p>
                            <w:pPr>
                              <w:jc w:val="center"/>
                              <w:rPr>
                                <w:szCs w:val="21"/>
                              </w:rPr>
                            </w:pPr>
                            <w:r>
                              <w:rPr>
                                <w:rFonts w:hint="eastAsia"/>
                                <w:szCs w:val="21"/>
                              </w:rPr>
                              <w:t>市政建渣堆场</w:t>
                            </w:r>
                          </w:p>
                        </w:txbxContent>
                      </v:textbox>
                    </v:shape>
                  </w:pict>
                </mc:Fallback>
              </mc:AlternateContent>
            </w:r>
            <w:r>
              <w:rPr>
                <w:b/>
                <w:bCs/>
              </w:rPr>
              <mc:AlternateContent>
                <mc:Choice Requires="wpg">
                  <w:drawing>
                    <wp:anchor distT="0" distB="0" distL="114300" distR="114300" simplePos="0" relativeHeight="251666432" behindDoc="0" locked="0" layoutInCell="1" allowOverlap="1">
                      <wp:simplePos x="0" y="0"/>
                      <wp:positionH relativeFrom="column">
                        <wp:posOffset>156845</wp:posOffset>
                      </wp:positionH>
                      <wp:positionV relativeFrom="paragraph">
                        <wp:posOffset>233045</wp:posOffset>
                      </wp:positionV>
                      <wp:extent cx="5177155" cy="3122930"/>
                      <wp:effectExtent l="4445" t="0" r="19050" b="20320"/>
                      <wp:wrapNone/>
                      <wp:docPr id="4268" name="组合 4268"/>
                      <wp:cNvGraphicFramePr/>
                      <a:graphic xmlns:a="http://schemas.openxmlformats.org/drawingml/2006/main">
                        <a:graphicData uri="http://schemas.microsoft.com/office/word/2010/wordprocessingGroup">
                          <wpg:wgp>
                            <wpg:cNvGrpSpPr/>
                            <wpg:grpSpPr>
                              <a:xfrm>
                                <a:off x="0" y="0"/>
                                <a:ext cx="5177155" cy="3122930"/>
                                <a:chOff x="0" y="0"/>
                                <a:chExt cx="8153" cy="4918"/>
                              </a:xfrm>
                              <a:effectLst/>
                            </wpg:grpSpPr>
                            <wps:wsp>
                              <wps:cNvPr id="4269" name="Text Box 2905"/>
                              <wps:cNvSpPr txBox="1">
                                <a:spLocks noChangeArrowheads="1"/>
                              </wps:cNvSpPr>
                              <wps:spPr bwMode="auto">
                                <a:xfrm>
                                  <a:off x="1563" y="1810"/>
                                  <a:ext cx="1390" cy="548"/>
                                </a:xfrm>
                                <a:prstGeom prst="rect">
                                  <a:avLst/>
                                </a:prstGeom>
                                <a:solidFill>
                                  <a:srgbClr val="FFFFFF"/>
                                </a:solidFill>
                                <a:ln>
                                  <a:noFill/>
                                </a:ln>
                                <a:effectLst/>
                              </wps:spPr>
                              <wps:txbx>
                                <w:txbxContent>
                                  <w:p>
                                    <w:pPr>
                                      <w:ind w:firstLine="409" w:firstLineChars="195"/>
                                      <w:rPr>
                                        <w:szCs w:val="21"/>
                                      </w:rPr>
                                    </w:pPr>
                                    <w:r>
                                      <w:rPr>
                                        <w:rFonts w:hint="eastAsia"/>
                                        <w:szCs w:val="21"/>
                                      </w:rPr>
                                      <w:t>扬尘</w:t>
                                    </w:r>
                                  </w:p>
                                </w:txbxContent>
                              </wps:txbx>
                              <wps:bodyPr rot="0" vert="horz" wrap="square" lIns="91440" tIns="45720" rIns="91440" bIns="45720" anchor="t" anchorCtr="0" upright="1">
                                <a:noAutofit/>
                              </wps:bodyPr>
                            </wps:wsp>
                            <wps:wsp>
                              <wps:cNvPr id="4270" name="FreeForm 2906"/>
                              <wps:cNvSpPr/>
                              <wps:spPr bwMode="auto">
                                <a:xfrm>
                                  <a:off x="7170" y="661"/>
                                  <a:ext cx="2" cy="1278"/>
                                </a:xfrm>
                                <a:custGeom>
                                  <a:avLst/>
                                  <a:gdLst>
                                    <a:gd name="T0" fmla="*/ 2 w 2"/>
                                    <a:gd name="T1" fmla="*/ 1199 h 1199"/>
                                    <a:gd name="T2" fmla="*/ 0 w 2"/>
                                    <a:gd name="T3" fmla="*/ 0 h 1199"/>
                                  </a:gdLst>
                                  <a:ahLst/>
                                  <a:cxnLst>
                                    <a:cxn ang="0">
                                      <a:pos x="T0" y="T1"/>
                                    </a:cxn>
                                    <a:cxn ang="0">
                                      <a:pos x="T2" y="T3"/>
                                    </a:cxn>
                                  </a:cxnLst>
                                  <a:rect l="0" t="0" r="r" b="b"/>
                                  <a:pathLst>
                                    <a:path w="2" h="1199">
                                      <a:moveTo>
                                        <a:pt x="2" y="1199"/>
                                      </a:moveTo>
                                      <a:lnTo>
                                        <a:pt x="0" y="0"/>
                                      </a:lnTo>
                                    </a:path>
                                  </a:pathLst>
                                </a:custGeom>
                                <a:noFill/>
                                <a:ln w="9525" cap="flat" cmpd="sng">
                                  <a:solidFill>
                                    <a:srgbClr val="000000"/>
                                  </a:solidFill>
                                  <a:prstDash val="lgDash"/>
                                  <a:round/>
                                  <a:tailEnd type="triangle" w="med" len="med"/>
                                </a:ln>
                                <a:effectLst/>
                              </wps:spPr>
                              <wps:bodyPr rot="0" vert="horz" wrap="square" lIns="91440" tIns="45720" rIns="91440" bIns="45720" anchor="t" anchorCtr="0" upright="1">
                                <a:noAutofit/>
                              </wps:bodyPr>
                            </wps:wsp>
                            <wps:wsp>
                              <wps:cNvPr id="4271" name="Text Box 2907"/>
                              <wps:cNvSpPr txBox="1">
                                <a:spLocks noChangeArrowheads="1"/>
                              </wps:cNvSpPr>
                              <wps:spPr bwMode="auto">
                                <a:xfrm>
                                  <a:off x="6446" y="1687"/>
                                  <a:ext cx="1420" cy="662"/>
                                </a:xfrm>
                                <a:prstGeom prst="rect">
                                  <a:avLst/>
                                </a:prstGeom>
                                <a:solidFill>
                                  <a:srgbClr val="FFFFFF"/>
                                </a:solidFill>
                                <a:ln>
                                  <a:noFill/>
                                </a:ln>
                                <a:effectLst/>
                              </wps:spPr>
                              <wps:txbx>
                                <w:txbxContent>
                                  <w:p>
                                    <w:pPr>
                                      <w:rPr>
                                        <w:szCs w:val="21"/>
                                      </w:rPr>
                                    </w:pPr>
                                    <w:r>
                                      <w:rPr>
                                        <w:rFonts w:hint="eastAsia"/>
                                        <w:szCs w:val="21"/>
                                      </w:rPr>
                                      <w:t>少量建筑垃圾</w:t>
                                    </w:r>
                                  </w:p>
                                </w:txbxContent>
                              </wps:txbx>
                              <wps:bodyPr rot="0" vert="horz" wrap="square" lIns="91440" tIns="45720" rIns="91440" bIns="45720" anchor="t" anchorCtr="0" upright="1">
                                <a:noAutofit/>
                              </wps:bodyPr>
                            </wps:wsp>
                            <wps:wsp>
                              <wps:cNvPr id="4272" name="FreeForm 2908"/>
                              <wps:cNvSpPr/>
                              <wps:spPr bwMode="auto">
                                <a:xfrm>
                                  <a:off x="5532" y="1413"/>
                                  <a:ext cx="1" cy="399"/>
                                </a:xfrm>
                                <a:custGeom>
                                  <a:avLst/>
                                  <a:gdLst>
                                    <a:gd name="T0" fmla="*/ 0 w 1"/>
                                    <a:gd name="T1" fmla="*/ 375 h 375"/>
                                    <a:gd name="T2" fmla="*/ 0 w 1"/>
                                    <a:gd name="T3" fmla="*/ 0 h 375"/>
                                  </a:gdLst>
                                  <a:ahLst/>
                                  <a:cxnLst>
                                    <a:cxn ang="0">
                                      <a:pos x="T0" y="T1"/>
                                    </a:cxn>
                                    <a:cxn ang="0">
                                      <a:pos x="T2" y="T3"/>
                                    </a:cxn>
                                  </a:cxnLst>
                                  <a:rect l="0" t="0" r="r" b="b"/>
                                  <a:pathLst>
                                    <a:path w="1" h="375">
                                      <a:moveTo>
                                        <a:pt x="0" y="375"/>
                                      </a:moveTo>
                                      <a:lnTo>
                                        <a:pt x="0" y="0"/>
                                      </a:lnTo>
                                    </a:path>
                                  </a:pathLst>
                                </a:custGeom>
                                <a:noFill/>
                                <a:ln w="9525" cap="flat" cmpd="sng">
                                  <a:solidFill>
                                    <a:srgbClr val="000000"/>
                                  </a:solidFill>
                                  <a:prstDash val="dash"/>
                                  <a:round/>
                                  <a:tailEnd type="triangle" w="med" len="med"/>
                                </a:ln>
                                <a:effectLst/>
                              </wps:spPr>
                              <wps:bodyPr rot="0" vert="horz" wrap="square" lIns="91440" tIns="45720" rIns="91440" bIns="45720" anchor="t" anchorCtr="0" upright="1">
                                <a:noAutofit/>
                              </wps:bodyPr>
                            </wps:wsp>
                            <wps:wsp>
                              <wps:cNvPr id="4273" name="Line 2909"/>
                              <wps:cNvCnPr/>
                              <wps:spPr bwMode="auto">
                                <a:xfrm>
                                  <a:off x="7285" y="2749"/>
                                  <a:ext cx="0" cy="499"/>
                                </a:xfrm>
                                <a:prstGeom prst="line">
                                  <a:avLst/>
                                </a:prstGeom>
                                <a:noFill/>
                                <a:ln w="9525">
                                  <a:solidFill>
                                    <a:srgbClr val="000000"/>
                                  </a:solidFill>
                                  <a:round/>
                                </a:ln>
                                <a:effectLst/>
                              </wps:spPr>
                              <wps:bodyPr/>
                            </wps:wsp>
                            <wps:wsp>
                              <wps:cNvPr id="4274" name="Text Box 2910"/>
                              <wps:cNvSpPr txBox="1">
                                <a:spLocks noChangeArrowheads="1"/>
                              </wps:cNvSpPr>
                              <wps:spPr bwMode="auto">
                                <a:xfrm>
                                  <a:off x="152" y="214"/>
                                  <a:ext cx="1377" cy="441"/>
                                </a:xfrm>
                                <a:prstGeom prst="rect">
                                  <a:avLst/>
                                </a:prstGeom>
                                <a:solidFill>
                                  <a:srgbClr val="FFFFFF"/>
                                </a:solidFill>
                                <a:ln>
                                  <a:noFill/>
                                </a:ln>
                                <a:effectLst/>
                              </wps:spPr>
                              <wps:txbx>
                                <w:txbxContent>
                                  <w:p>
                                    <w:pPr>
                                      <w:jc w:val="center"/>
                                      <w:rPr>
                                        <w:szCs w:val="21"/>
                                      </w:rPr>
                                    </w:pPr>
                                    <w:r>
                                      <w:rPr>
                                        <w:rFonts w:hint="eastAsia"/>
                                        <w:szCs w:val="21"/>
                                      </w:rPr>
                                      <w:t>声学环境</w:t>
                                    </w:r>
                                  </w:p>
                                </w:txbxContent>
                              </wps:txbx>
                              <wps:bodyPr rot="0" vert="horz" wrap="square" lIns="91440" tIns="45720" rIns="91440" bIns="45720" anchor="t" anchorCtr="0" upright="1">
                                <a:noAutofit/>
                              </wps:bodyPr>
                            </wps:wsp>
                            <wps:wsp>
                              <wps:cNvPr id="4275" name="Text Box 2911"/>
                              <wps:cNvSpPr txBox="1">
                                <a:spLocks noChangeArrowheads="1"/>
                              </wps:cNvSpPr>
                              <wps:spPr bwMode="auto">
                                <a:xfrm>
                                  <a:off x="1610" y="261"/>
                                  <a:ext cx="1317" cy="440"/>
                                </a:xfrm>
                                <a:prstGeom prst="rect">
                                  <a:avLst/>
                                </a:prstGeom>
                                <a:solidFill>
                                  <a:srgbClr val="FFFFFF"/>
                                </a:solidFill>
                                <a:ln>
                                  <a:noFill/>
                                </a:ln>
                                <a:effectLst/>
                              </wps:spPr>
                              <wps:txbx>
                                <w:txbxContent>
                                  <w:p>
                                    <w:pPr>
                                      <w:jc w:val="center"/>
                                      <w:rPr>
                                        <w:szCs w:val="21"/>
                                      </w:rPr>
                                    </w:pPr>
                                    <w:r>
                                      <w:rPr>
                                        <w:rFonts w:hint="eastAsia"/>
                                        <w:szCs w:val="21"/>
                                      </w:rPr>
                                      <w:t>大气环境</w:t>
                                    </w:r>
                                  </w:p>
                                </w:txbxContent>
                              </wps:txbx>
                              <wps:bodyPr rot="0" vert="horz" wrap="square" lIns="91440" tIns="45720" rIns="91440" bIns="45720" anchor="t" anchorCtr="0" upright="1">
                                <a:noAutofit/>
                              </wps:bodyPr>
                            </wps:wsp>
                            <wps:wsp>
                              <wps:cNvPr id="4276" name="Text Box 2912"/>
                              <wps:cNvSpPr txBox="1">
                                <a:spLocks noChangeArrowheads="1"/>
                              </wps:cNvSpPr>
                              <wps:spPr bwMode="auto">
                                <a:xfrm>
                                  <a:off x="418" y="1809"/>
                                  <a:ext cx="869" cy="499"/>
                                </a:xfrm>
                                <a:prstGeom prst="rect">
                                  <a:avLst/>
                                </a:prstGeom>
                                <a:solidFill>
                                  <a:srgbClr val="FFFFFF"/>
                                </a:solidFill>
                                <a:ln>
                                  <a:noFill/>
                                </a:ln>
                                <a:effectLst/>
                              </wps:spPr>
                              <wps:txbx>
                                <w:txbxContent>
                                  <w:p>
                                    <w:pPr>
                                      <w:rPr>
                                        <w:szCs w:val="21"/>
                                      </w:rPr>
                                    </w:pPr>
                                    <w:r>
                                      <w:rPr>
                                        <w:rFonts w:hint="eastAsia"/>
                                        <w:szCs w:val="21"/>
                                      </w:rPr>
                                      <w:t>噪声</w:t>
                                    </w:r>
                                  </w:p>
                                </w:txbxContent>
                              </wps:txbx>
                              <wps:bodyPr rot="0" vert="horz" wrap="square" lIns="91440" tIns="45720" rIns="91440" bIns="45720" anchor="t" anchorCtr="0" upright="1">
                                <a:noAutofit/>
                              </wps:bodyPr>
                            </wps:wsp>
                            <wps:wsp>
                              <wps:cNvPr id="4277" name="Text Box 2913"/>
                              <wps:cNvSpPr txBox="1">
                                <a:spLocks noChangeArrowheads="1"/>
                              </wps:cNvSpPr>
                              <wps:spPr bwMode="auto">
                                <a:xfrm>
                                  <a:off x="3204" y="1683"/>
                                  <a:ext cx="1225" cy="597"/>
                                </a:xfrm>
                                <a:prstGeom prst="rect">
                                  <a:avLst/>
                                </a:prstGeom>
                                <a:solidFill>
                                  <a:srgbClr val="FFFFFF"/>
                                </a:solidFill>
                                <a:ln>
                                  <a:noFill/>
                                </a:ln>
                                <a:effectLst/>
                              </wps:spPr>
                              <wps:txbx>
                                <w:txbxContent>
                                  <w:p>
                                    <w:pPr>
                                      <w:rPr>
                                        <w:szCs w:val="21"/>
                                      </w:rPr>
                                    </w:pPr>
                                    <w:r>
                                      <w:rPr>
                                        <w:rFonts w:hint="eastAsia"/>
                                        <w:szCs w:val="21"/>
                                      </w:rPr>
                                      <w:t>建筑废水</w:t>
                                    </w:r>
                                  </w:p>
                                </w:txbxContent>
                              </wps:txbx>
                              <wps:bodyPr rot="0" vert="horz" wrap="square" lIns="91440" tIns="45720" rIns="91440" bIns="45720" anchor="t" anchorCtr="0" upright="1">
                                <a:noAutofit/>
                              </wps:bodyPr>
                            </wps:wsp>
                            <wps:wsp>
                              <wps:cNvPr id="4278" name="Text Box 2914"/>
                              <wps:cNvSpPr txBox="1">
                                <a:spLocks noChangeArrowheads="1"/>
                              </wps:cNvSpPr>
                              <wps:spPr bwMode="auto">
                                <a:xfrm>
                                  <a:off x="4814" y="1714"/>
                                  <a:ext cx="1383" cy="624"/>
                                </a:xfrm>
                                <a:prstGeom prst="rect">
                                  <a:avLst/>
                                </a:prstGeom>
                                <a:solidFill>
                                  <a:srgbClr val="FFFFFF"/>
                                </a:solidFill>
                                <a:ln>
                                  <a:noFill/>
                                </a:ln>
                                <a:effectLst/>
                              </wps:spPr>
                              <wps:txbx>
                                <w:txbxContent>
                                  <w:p>
                                    <w:pPr>
                                      <w:ind w:firstLine="199" w:firstLineChars="95"/>
                                      <w:rPr>
                                        <w:szCs w:val="21"/>
                                      </w:rPr>
                                    </w:pPr>
                                    <w:r>
                                      <w:rPr>
                                        <w:rFonts w:hint="eastAsia"/>
                                        <w:szCs w:val="21"/>
                                      </w:rPr>
                                      <w:t>生活污水</w:t>
                                    </w:r>
                                  </w:p>
                                </w:txbxContent>
                              </wps:txbx>
                              <wps:bodyPr rot="0" vert="horz" wrap="square" lIns="91440" tIns="45720" rIns="91440" bIns="45720" anchor="t" anchorCtr="0" upright="1">
                                <a:noAutofit/>
                              </wps:bodyPr>
                            </wps:wsp>
                            <wps:wsp>
                              <wps:cNvPr id="4280" name="Text Box 2915"/>
                              <wps:cNvSpPr txBox="1">
                                <a:spLocks noChangeArrowheads="1"/>
                              </wps:cNvSpPr>
                              <wps:spPr bwMode="auto">
                                <a:xfrm>
                                  <a:off x="3204" y="989"/>
                                  <a:ext cx="1225" cy="487"/>
                                </a:xfrm>
                                <a:prstGeom prst="rect">
                                  <a:avLst/>
                                </a:prstGeom>
                                <a:solidFill>
                                  <a:srgbClr val="FFFFFF"/>
                                </a:solidFill>
                                <a:ln w="9525">
                                  <a:solidFill>
                                    <a:srgbClr val="000000"/>
                                  </a:solidFill>
                                  <a:miter lim="800000"/>
                                </a:ln>
                                <a:effectLst/>
                              </wps:spPr>
                              <wps:txbx>
                                <w:txbxContent>
                                  <w:p>
                                    <w:pPr>
                                      <w:ind w:firstLine="199" w:firstLineChars="95"/>
                                      <w:rPr>
                                        <w:szCs w:val="21"/>
                                      </w:rPr>
                                    </w:pPr>
                                    <w:r>
                                      <w:rPr>
                                        <w:rFonts w:hint="eastAsia"/>
                                        <w:szCs w:val="21"/>
                                      </w:rPr>
                                      <w:t>沉淀池</w:t>
                                    </w:r>
                                  </w:p>
                                </w:txbxContent>
                              </wps:txbx>
                              <wps:bodyPr rot="0" vert="horz" wrap="square" lIns="91440" tIns="45720" rIns="91440" bIns="45720" anchor="t" anchorCtr="0" upright="1">
                                <a:noAutofit/>
                              </wps:bodyPr>
                            </wps:wsp>
                            <wps:wsp>
                              <wps:cNvPr id="4281" name="Text Box 2916"/>
                              <wps:cNvSpPr txBox="1">
                                <a:spLocks noChangeArrowheads="1"/>
                              </wps:cNvSpPr>
                              <wps:spPr bwMode="auto">
                                <a:xfrm>
                                  <a:off x="4554" y="1002"/>
                                  <a:ext cx="2006" cy="444"/>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化粪池预处理</w:t>
                                    </w:r>
                                  </w:p>
                                </w:txbxContent>
                              </wps:txbx>
                              <wps:bodyPr rot="0" vert="horz" wrap="square" lIns="91440" tIns="45720" rIns="91440" bIns="45720" anchor="t" anchorCtr="0" upright="1">
                                <a:noAutofit/>
                              </wps:bodyPr>
                            </wps:wsp>
                            <wps:wsp>
                              <wps:cNvPr id="4282" name="Text Box 2917"/>
                              <wps:cNvSpPr txBox="1">
                                <a:spLocks noChangeArrowheads="1"/>
                              </wps:cNvSpPr>
                              <wps:spPr bwMode="auto">
                                <a:xfrm>
                                  <a:off x="50" y="3261"/>
                                  <a:ext cx="1257" cy="442"/>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基础工程</w:t>
                                    </w:r>
                                  </w:p>
                                </w:txbxContent>
                              </wps:txbx>
                              <wps:bodyPr rot="0" vert="horz" wrap="square" lIns="91440" tIns="45720" rIns="91440" bIns="45720" anchor="t" anchorCtr="0" upright="1">
                                <a:noAutofit/>
                              </wps:bodyPr>
                            </wps:wsp>
                            <wps:wsp>
                              <wps:cNvPr id="4283" name="Text Box 2918"/>
                              <wps:cNvSpPr txBox="1">
                                <a:spLocks noChangeArrowheads="1"/>
                              </wps:cNvSpPr>
                              <wps:spPr bwMode="auto">
                                <a:xfrm>
                                  <a:off x="1672" y="3256"/>
                                  <a:ext cx="1438" cy="441"/>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主体工程</w:t>
                                    </w:r>
                                  </w:p>
                                </w:txbxContent>
                              </wps:txbx>
                              <wps:bodyPr rot="0" vert="horz" wrap="square" lIns="91440" tIns="45720" rIns="91440" bIns="45720" anchor="t" anchorCtr="0" upright="1">
                                <a:noAutofit/>
                              </wps:bodyPr>
                            </wps:wsp>
                            <wps:wsp>
                              <wps:cNvPr id="4284" name="Text Box 2919"/>
                              <wps:cNvSpPr txBox="1">
                                <a:spLocks noChangeArrowheads="1"/>
                              </wps:cNvSpPr>
                              <wps:spPr bwMode="auto">
                                <a:xfrm>
                                  <a:off x="3467" y="3250"/>
                                  <a:ext cx="1345" cy="441"/>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装饰工程</w:t>
                                    </w:r>
                                  </w:p>
                                </w:txbxContent>
                              </wps:txbx>
                              <wps:bodyPr rot="0" vert="horz" wrap="square" lIns="91440" tIns="45720" rIns="91440" bIns="45720" anchor="t" anchorCtr="0" upright="1">
                                <a:noAutofit/>
                              </wps:bodyPr>
                            </wps:wsp>
                            <wps:wsp>
                              <wps:cNvPr id="4285" name="Text Box 2920"/>
                              <wps:cNvSpPr txBox="1">
                                <a:spLocks noChangeArrowheads="1"/>
                              </wps:cNvSpPr>
                              <wps:spPr bwMode="auto">
                                <a:xfrm>
                                  <a:off x="6845" y="3258"/>
                                  <a:ext cx="1308" cy="441"/>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工程验收</w:t>
                                    </w:r>
                                  </w:p>
                                </w:txbxContent>
                              </wps:txbx>
                              <wps:bodyPr rot="0" vert="horz" wrap="square" lIns="91440" tIns="45720" rIns="91440" bIns="45720" anchor="t" anchorCtr="0" upright="1">
                                <a:noAutofit/>
                              </wps:bodyPr>
                            </wps:wsp>
                            <wps:wsp>
                              <wps:cNvPr id="4286" name="Line 2921"/>
                              <wps:cNvCnPr/>
                              <wps:spPr bwMode="auto">
                                <a:xfrm flipV="1">
                                  <a:off x="2253" y="661"/>
                                  <a:ext cx="0" cy="1163"/>
                                </a:xfrm>
                                <a:prstGeom prst="line">
                                  <a:avLst/>
                                </a:prstGeom>
                                <a:noFill/>
                                <a:ln w="9525">
                                  <a:solidFill>
                                    <a:srgbClr val="000000"/>
                                  </a:solidFill>
                                  <a:prstDash val="dash"/>
                                  <a:round/>
                                  <a:tailEnd type="triangle" w="med" len="med"/>
                                </a:ln>
                                <a:effectLst/>
                              </wps:spPr>
                              <wps:bodyPr/>
                            </wps:wsp>
                            <wps:wsp>
                              <wps:cNvPr id="4287" name="Line 2922"/>
                              <wps:cNvCnPr/>
                              <wps:spPr bwMode="auto">
                                <a:xfrm flipV="1">
                                  <a:off x="5532" y="504"/>
                                  <a:ext cx="0" cy="453"/>
                                </a:xfrm>
                                <a:prstGeom prst="line">
                                  <a:avLst/>
                                </a:prstGeom>
                                <a:noFill/>
                                <a:ln w="9525">
                                  <a:solidFill>
                                    <a:srgbClr val="000000"/>
                                  </a:solidFill>
                                  <a:prstDash val="dash"/>
                                  <a:round/>
                                  <a:tailEnd type="triangle" w="med" len="med"/>
                                </a:ln>
                                <a:effectLst/>
                              </wps:spPr>
                              <wps:bodyPr/>
                            </wps:wsp>
                            <wps:wsp>
                              <wps:cNvPr id="2941" name="Line 2923"/>
                              <wps:cNvCnPr/>
                              <wps:spPr bwMode="auto">
                                <a:xfrm>
                                  <a:off x="515" y="2741"/>
                                  <a:ext cx="0" cy="499"/>
                                </a:xfrm>
                                <a:prstGeom prst="line">
                                  <a:avLst/>
                                </a:prstGeom>
                                <a:noFill/>
                                <a:ln w="9525">
                                  <a:solidFill>
                                    <a:srgbClr val="000000"/>
                                  </a:solidFill>
                                  <a:round/>
                                </a:ln>
                                <a:effectLst/>
                              </wps:spPr>
                              <wps:bodyPr/>
                            </wps:wsp>
                            <wps:wsp>
                              <wps:cNvPr id="2942" name="Line 2924"/>
                              <wps:cNvCnPr/>
                              <wps:spPr bwMode="auto">
                                <a:xfrm>
                                  <a:off x="515" y="2737"/>
                                  <a:ext cx="6777" cy="0"/>
                                </a:xfrm>
                                <a:prstGeom prst="line">
                                  <a:avLst/>
                                </a:prstGeom>
                                <a:noFill/>
                                <a:ln w="9525">
                                  <a:solidFill>
                                    <a:srgbClr val="000000"/>
                                  </a:solidFill>
                                  <a:round/>
                                </a:ln>
                                <a:effectLst/>
                              </wps:spPr>
                              <wps:bodyPr/>
                            </wps:wsp>
                            <wps:wsp>
                              <wps:cNvPr id="2943" name="Line 2925"/>
                              <wps:cNvCnPr/>
                              <wps:spPr bwMode="auto">
                                <a:xfrm>
                                  <a:off x="3110" y="3465"/>
                                  <a:ext cx="348" cy="0"/>
                                </a:xfrm>
                                <a:prstGeom prst="line">
                                  <a:avLst/>
                                </a:prstGeom>
                                <a:noFill/>
                                <a:ln w="9525">
                                  <a:solidFill>
                                    <a:srgbClr val="000000"/>
                                  </a:solidFill>
                                  <a:round/>
                                  <a:tailEnd type="triangle" w="med" len="med"/>
                                </a:ln>
                                <a:effectLst/>
                              </wps:spPr>
                              <wps:bodyPr/>
                            </wps:wsp>
                            <wps:wsp>
                              <wps:cNvPr id="4065" name="Line 2926"/>
                              <wps:cNvCnPr/>
                              <wps:spPr bwMode="auto">
                                <a:xfrm>
                                  <a:off x="4821" y="3487"/>
                                  <a:ext cx="405" cy="0"/>
                                </a:xfrm>
                                <a:prstGeom prst="line">
                                  <a:avLst/>
                                </a:prstGeom>
                                <a:noFill/>
                                <a:ln w="9525">
                                  <a:solidFill>
                                    <a:srgbClr val="000000"/>
                                  </a:solidFill>
                                  <a:round/>
                                  <a:tailEnd type="triangle" w="med" len="med"/>
                                </a:ln>
                                <a:effectLst/>
                              </wps:spPr>
                              <wps:bodyPr/>
                            </wps:wsp>
                            <wps:wsp>
                              <wps:cNvPr id="4066" name="Line 2927"/>
                              <wps:cNvCnPr/>
                              <wps:spPr bwMode="auto">
                                <a:xfrm>
                                  <a:off x="6327" y="3487"/>
                                  <a:ext cx="521" cy="0"/>
                                </a:xfrm>
                                <a:prstGeom prst="line">
                                  <a:avLst/>
                                </a:prstGeom>
                                <a:noFill/>
                                <a:ln w="9525">
                                  <a:solidFill>
                                    <a:srgbClr val="000000"/>
                                  </a:solidFill>
                                  <a:round/>
                                  <a:tailEnd type="triangle" w="med" len="med"/>
                                </a:ln>
                                <a:effectLst/>
                              </wps:spPr>
                              <wps:bodyPr/>
                            </wps:wsp>
                            <wps:wsp>
                              <wps:cNvPr id="4067" name="Line 2928"/>
                              <wps:cNvCnPr/>
                              <wps:spPr bwMode="auto">
                                <a:xfrm flipV="1">
                                  <a:off x="747" y="2178"/>
                                  <a:ext cx="0" cy="562"/>
                                </a:xfrm>
                                <a:prstGeom prst="line">
                                  <a:avLst/>
                                </a:prstGeom>
                                <a:noFill/>
                                <a:ln w="9525">
                                  <a:solidFill>
                                    <a:srgbClr val="000000"/>
                                  </a:solidFill>
                                  <a:prstDash val="dash"/>
                                  <a:round/>
                                  <a:tailEnd type="triangle" w="med" len="med"/>
                                </a:ln>
                                <a:effectLst/>
                              </wps:spPr>
                              <wps:bodyPr/>
                            </wps:wsp>
                            <wps:wsp>
                              <wps:cNvPr id="4068" name="Line 2929"/>
                              <wps:cNvCnPr/>
                              <wps:spPr bwMode="auto">
                                <a:xfrm flipV="1">
                                  <a:off x="2253" y="2157"/>
                                  <a:ext cx="0" cy="561"/>
                                </a:xfrm>
                                <a:prstGeom prst="line">
                                  <a:avLst/>
                                </a:prstGeom>
                                <a:noFill/>
                                <a:ln w="9525">
                                  <a:solidFill>
                                    <a:srgbClr val="000000"/>
                                  </a:solidFill>
                                  <a:prstDash val="dash"/>
                                  <a:round/>
                                  <a:tailEnd type="triangle" w="med" len="med"/>
                                </a:ln>
                                <a:effectLst/>
                              </wps:spPr>
                              <wps:bodyPr/>
                            </wps:wsp>
                            <wps:wsp>
                              <wps:cNvPr id="4069" name="Line 2930"/>
                              <wps:cNvCnPr/>
                              <wps:spPr bwMode="auto">
                                <a:xfrm flipV="1">
                                  <a:off x="3797" y="2178"/>
                                  <a:ext cx="0" cy="562"/>
                                </a:xfrm>
                                <a:prstGeom prst="line">
                                  <a:avLst/>
                                </a:prstGeom>
                                <a:noFill/>
                                <a:ln w="9525">
                                  <a:solidFill>
                                    <a:srgbClr val="000000"/>
                                  </a:solidFill>
                                  <a:prstDash val="dash"/>
                                  <a:round/>
                                  <a:tailEnd type="triangle" w="med" len="med"/>
                                </a:ln>
                                <a:effectLst/>
                              </wps:spPr>
                              <wps:bodyPr/>
                            </wps:wsp>
                            <wps:wsp>
                              <wps:cNvPr id="4070" name="Line 2931"/>
                              <wps:cNvCnPr/>
                              <wps:spPr bwMode="auto">
                                <a:xfrm flipV="1">
                                  <a:off x="5532" y="2179"/>
                                  <a:ext cx="0" cy="562"/>
                                </a:xfrm>
                                <a:prstGeom prst="line">
                                  <a:avLst/>
                                </a:prstGeom>
                                <a:noFill/>
                                <a:ln w="9525">
                                  <a:solidFill>
                                    <a:srgbClr val="000000"/>
                                  </a:solidFill>
                                  <a:prstDash val="dash"/>
                                  <a:round/>
                                  <a:tailEnd type="triangle" w="med" len="med"/>
                                </a:ln>
                                <a:effectLst/>
                              </wps:spPr>
                              <wps:bodyPr/>
                            </wps:wsp>
                            <wps:wsp>
                              <wps:cNvPr id="4071" name="Text Box 2932"/>
                              <wps:cNvSpPr txBox="1">
                                <a:spLocks noChangeArrowheads="1"/>
                              </wps:cNvSpPr>
                              <wps:spPr bwMode="auto">
                                <a:xfrm>
                                  <a:off x="3356" y="27"/>
                                  <a:ext cx="784" cy="437"/>
                                </a:xfrm>
                                <a:prstGeom prst="rect">
                                  <a:avLst/>
                                </a:prstGeom>
                                <a:solidFill>
                                  <a:srgbClr val="FFFFFF"/>
                                </a:solidFill>
                                <a:ln>
                                  <a:noFill/>
                                </a:ln>
                                <a:effectLst/>
                              </wps:spPr>
                              <wps:txbx>
                                <w:txbxContent>
                                  <w:p>
                                    <w:pPr>
                                      <w:rPr>
                                        <w:szCs w:val="21"/>
                                      </w:rPr>
                                    </w:pPr>
                                    <w:r>
                                      <w:rPr>
                                        <w:rFonts w:hint="eastAsia"/>
                                        <w:szCs w:val="21"/>
                                      </w:rPr>
                                      <w:t>回用</w:t>
                                    </w:r>
                                  </w:p>
                                </w:txbxContent>
                              </wps:txbx>
                              <wps:bodyPr rot="0" vert="horz" wrap="square" lIns="91440" tIns="45720" rIns="91440" bIns="45720" anchor="t" anchorCtr="0" upright="1">
                                <a:noAutofit/>
                              </wps:bodyPr>
                            </wps:wsp>
                            <wps:wsp>
                              <wps:cNvPr id="4072" name="Text Box 2933"/>
                              <wps:cNvSpPr txBox="1">
                                <a:spLocks noChangeArrowheads="1"/>
                              </wps:cNvSpPr>
                              <wps:spPr bwMode="auto">
                                <a:xfrm>
                                  <a:off x="4717" y="0"/>
                                  <a:ext cx="2033" cy="504"/>
                                </a:xfrm>
                                <a:prstGeom prst="rect">
                                  <a:avLst/>
                                </a:prstGeom>
                                <a:solidFill>
                                  <a:srgbClr val="FFFFFF"/>
                                </a:solidFill>
                                <a:ln>
                                  <a:noFill/>
                                </a:ln>
                                <a:effectLst/>
                              </wps:spPr>
                              <wps:txbx>
                                <w:txbxContent>
                                  <w:p>
                                    <w:pPr>
                                      <w:rPr>
                                        <w:szCs w:val="21"/>
                                      </w:rPr>
                                    </w:pPr>
                                    <w:r>
                                      <w:rPr>
                                        <w:rFonts w:hint="eastAsia"/>
                                        <w:szCs w:val="21"/>
                                      </w:rPr>
                                      <w:t>第二污水处理厂</w:t>
                                    </w:r>
                                  </w:p>
                                </w:txbxContent>
                              </wps:txbx>
                              <wps:bodyPr rot="0" vert="horz" wrap="square" lIns="91440" tIns="45720" rIns="91440" bIns="45720" anchor="t" anchorCtr="0" upright="1">
                                <a:noAutofit/>
                              </wps:bodyPr>
                            </wps:wsp>
                            <wps:wsp>
                              <wps:cNvPr id="4073" name="Line 2934"/>
                              <wps:cNvCnPr/>
                              <wps:spPr bwMode="auto">
                                <a:xfrm flipV="1">
                                  <a:off x="739" y="640"/>
                                  <a:ext cx="0" cy="1165"/>
                                </a:xfrm>
                                <a:prstGeom prst="line">
                                  <a:avLst/>
                                </a:prstGeom>
                                <a:noFill/>
                                <a:ln w="9525">
                                  <a:solidFill>
                                    <a:srgbClr val="000000"/>
                                  </a:solidFill>
                                  <a:prstDash val="lgDash"/>
                                  <a:round/>
                                  <a:tailEnd type="triangle" w="med" len="med"/>
                                </a:ln>
                                <a:effectLst/>
                              </wps:spPr>
                              <wps:bodyPr/>
                            </wps:wsp>
                            <wps:wsp>
                              <wps:cNvPr id="4074" name="Line 2935"/>
                              <wps:cNvCnPr/>
                              <wps:spPr bwMode="auto">
                                <a:xfrm flipV="1">
                                  <a:off x="3740" y="488"/>
                                  <a:ext cx="5" cy="397"/>
                                </a:xfrm>
                                <a:prstGeom prst="line">
                                  <a:avLst/>
                                </a:prstGeom>
                                <a:noFill/>
                                <a:ln w="9525">
                                  <a:solidFill>
                                    <a:srgbClr val="000000"/>
                                  </a:solidFill>
                                  <a:prstDash val="lgDash"/>
                                  <a:round/>
                                  <a:tailEnd type="triangle" w="med" len="med"/>
                                </a:ln>
                                <a:effectLst/>
                              </wps:spPr>
                              <wps:bodyPr/>
                            </wps:wsp>
                            <wps:wsp>
                              <wps:cNvPr id="4075" name="FreeForm 2936"/>
                              <wps:cNvSpPr/>
                              <wps:spPr bwMode="auto">
                                <a:xfrm>
                                  <a:off x="3770" y="1476"/>
                                  <a:ext cx="5" cy="314"/>
                                </a:xfrm>
                                <a:custGeom>
                                  <a:avLst/>
                                  <a:gdLst>
                                    <a:gd name="T0" fmla="*/ 5 w 5"/>
                                    <a:gd name="T1" fmla="*/ 295 h 295"/>
                                    <a:gd name="T2" fmla="*/ 0 w 5"/>
                                    <a:gd name="T3" fmla="*/ 0 h 295"/>
                                  </a:gdLst>
                                  <a:ahLst/>
                                  <a:cxnLst>
                                    <a:cxn ang="0">
                                      <a:pos x="T0" y="T1"/>
                                    </a:cxn>
                                    <a:cxn ang="0">
                                      <a:pos x="T2" y="T3"/>
                                    </a:cxn>
                                  </a:cxnLst>
                                  <a:rect l="0" t="0" r="r" b="b"/>
                                  <a:pathLst>
                                    <a:path w="5" h="295">
                                      <a:moveTo>
                                        <a:pt x="5" y="295"/>
                                      </a:moveTo>
                                      <a:lnTo>
                                        <a:pt x="0" y="0"/>
                                      </a:lnTo>
                                    </a:path>
                                  </a:pathLst>
                                </a:custGeom>
                                <a:noFill/>
                                <a:ln w="9525" cap="flat" cmpd="sng">
                                  <a:solidFill>
                                    <a:srgbClr val="000000"/>
                                  </a:solidFill>
                                  <a:prstDash val="dash"/>
                                  <a:round/>
                                  <a:tailEnd type="triangle" w="med" len="med"/>
                                </a:ln>
                                <a:effectLst/>
                              </wps:spPr>
                              <wps:bodyPr rot="0" vert="horz" wrap="square" lIns="91440" tIns="45720" rIns="91440" bIns="45720" anchor="t" anchorCtr="0" upright="1">
                                <a:noAutofit/>
                              </wps:bodyPr>
                            </wps:wsp>
                            <wps:wsp>
                              <wps:cNvPr id="4076" name="FreeForm 2937"/>
                              <wps:cNvSpPr/>
                              <wps:spPr bwMode="auto">
                                <a:xfrm>
                                  <a:off x="1332" y="3471"/>
                                  <a:ext cx="299" cy="2"/>
                                </a:xfrm>
                                <a:custGeom>
                                  <a:avLst/>
                                  <a:gdLst>
                                    <a:gd name="T0" fmla="*/ 0 w 310"/>
                                    <a:gd name="T1" fmla="*/ 0 h 1"/>
                                    <a:gd name="T2" fmla="*/ 310 w 310"/>
                                    <a:gd name="T3" fmla="*/ 0 h 1"/>
                                  </a:gdLst>
                                  <a:ahLst/>
                                  <a:cxnLst>
                                    <a:cxn ang="0">
                                      <a:pos x="T0" y="T1"/>
                                    </a:cxn>
                                    <a:cxn ang="0">
                                      <a:pos x="T2" y="T3"/>
                                    </a:cxn>
                                  </a:cxnLst>
                                  <a:rect l="0" t="0" r="r" b="b"/>
                                  <a:pathLst>
                                    <a:path w="310" h="1">
                                      <a:moveTo>
                                        <a:pt x="0" y="0"/>
                                      </a:moveTo>
                                      <a:lnTo>
                                        <a:pt x="310" y="0"/>
                                      </a:lnTo>
                                    </a:path>
                                  </a:pathLst>
                                </a:custGeom>
                                <a:noFill/>
                                <a:ln w="9525" cmpd="sng">
                                  <a:solidFill>
                                    <a:srgbClr val="000000"/>
                                  </a:solidFill>
                                  <a:round/>
                                  <a:tailEnd type="triangle" w="med" len="med"/>
                                </a:ln>
                                <a:effectLst/>
                              </wps:spPr>
                              <wps:bodyPr rot="0" vert="horz" wrap="square" lIns="91440" tIns="45720" rIns="91440" bIns="45720" anchor="t" anchorCtr="0" upright="1">
                                <a:noAutofit/>
                              </wps:bodyPr>
                            </wps:wsp>
                            <wps:wsp>
                              <wps:cNvPr id="4077" name="Line 2938"/>
                              <wps:cNvCnPr/>
                              <wps:spPr bwMode="auto">
                                <a:xfrm flipV="1">
                                  <a:off x="7187" y="2173"/>
                                  <a:ext cx="0" cy="562"/>
                                </a:xfrm>
                                <a:prstGeom prst="line">
                                  <a:avLst/>
                                </a:prstGeom>
                                <a:noFill/>
                                <a:ln w="9525">
                                  <a:solidFill>
                                    <a:srgbClr val="000000"/>
                                  </a:solidFill>
                                  <a:prstDash val="dashDot"/>
                                  <a:round/>
                                  <a:tailEnd type="triangle" w="med" len="med"/>
                                </a:ln>
                                <a:effectLst/>
                              </wps:spPr>
                              <wps:bodyPr/>
                            </wps:wsp>
                            <wps:wsp>
                              <wps:cNvPr id="4078" name="Text Box 2939"/>
                              <wps:cNvSpPr txBox="1">
                                <a:spLocks noChangeArrowheads="1"/>
                              </wps:cNvSpPr>
                              <wps:spPr bwMode="auto">
                                <a:xfrm>
                                  <a:off x="5214" y="3268"/>
                                  <a:ext cx="1307" cy="442"/>
                                </a:xfrm>
                                <a:prstGeom prst="rect">
                                  <a:avLst/>
                                </a:prstGeom>
                                <a:solidFill>
                                  <a:srgbClr val="FFFFFF"/>
                                </a:solidFill>
                                <a:ln w="9525">
                                  <a:solidFill>
                                    <a:srgbClr val="000000"/>
                                  </a:solidFill>
                                  <a:miter lim="800000"/>
                                </a:ln>
                                <a:effectLst/>
                              </wps:spPr>
                              <wps:txbx>
                                <w:txbxContent>
                                  <w:p>
                                    <w:pPr>
                                      <w:jc w:val="center"/>
                                      <w:rPr>
                                        <w:szCs w:val="21"/>
                                      </w:rPr>
                                    </w:pPr>
                                    <w:r>
                                      <w:rPr>
                                        <w:rFonts w:hint="eastAsia"/>
                                        <w:szCs w:val="21"/>
                                      </w:rPr>
                                      <w:t>设备安装</w:t>
                                    </w:r>
                                  </w:p>
                                </w:txbxContent>
                              </wps:txbx>
                              <wps:bodyPr rot="0" vert="horz" wrap="square" lIns="91440" tIns="45720" rIns="91440" bIns="45720" anchor="t" anchorCtr="0" upright="1">
                                <a:noAutofit/>
                              </wps:bodyPr>
                            </wps:wsp>
                            <wps:wsp>
                              <wps:cNvPr id="4079" name="Line 2940"/>
                              <wps:cNvCnPr/>
                              <wps:spPr bwMode="auto">
                                <a:xfrm>
                                  <a:off x="577" y="3704"/>
                                  <a:ext cx="0" cy="665"/>
                                </a:xfrm>
                                <a:prstGeom prst="line">
                                  <a:avLst/>
                                </a:prstGeom>
                                <a:noFill/>
                                <a:ln w="9525">
                                  <a:solidFill>
                                    <a:srgbClr val="000000"/>
                                  </a:solidFill>
                                  <a:prstDash val="dashDot"/>
                                  <a:round/>
                                  <a:tailEnd type="triangle" w="med" len="med"/>
                                </a:ln>
                                <a:effectLst/>
                              </wps:spPr>
                              <wps:bodyPr/>
                            </wps:wsp>
                            <wps:wsp>
                              <wps:cNvPr id="4080" name="Text Box 2941"/>
                              <wps:cNvSpPr txBox="1">
                                <a:spLocks noChangeArrowheads="1"/>
                              </wps:cNvSpPr>
                              <wps:spPr bwMode="auto">
                                <a:xfrm>
                                  <a:off x="0" y="4367"/>
                                  <a:ext cx="1236" cy="551"/>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建筑弃土</w:t>
                                    </w:r>
                                  </w:p>
                                </w:txbxContent>
                              </wps:txbx>
                              <wps:bodyPr rot="0" vert="horz" wrap="square" lIns="91440" tIns="45720" rIns="91440" bIns="45720" anchor="t" anchorCtr="0" upright="1">
                                <a:noAutofit/>
                              </wps:bodyPr>
                            </wps:wsp>
                            <wps:wsp>
                              <wps:cNvPr id="4081" name="Line 2942"/>
                              <wps:cNvCnPr/>
                              <wps:spPr bwMode="auto">
                                <a:xfrm rot="16200000">
                                  <a:off x="1508" y="4369"/>
                                  <a:ext cx="0" cy="502"/>
                                </a:xfrm>
                                <a:prstGeom prst="line">
                                  <a:avLst/>
                                </a:prstGeom>
                                <a:noFill/>
                                <a:ln w="9525">
                                  <a:solidFill>
                                    <a:srgbClr val="000000"/>
                                  </a:solidFill>
                                  <a:prstDash val="lgDash"/>
                                  <a:round/>
                                  <a:tailEnd type="triangle" w="med" len="med"/>
                                </a:ln>
                                <a:effectLst/>
                              </wps:spPr>
                              <wps:bodyPr/>
                            </wps:wsp>
                            <wps:wsp>
                              <wps:cNvPr id="4082" name="Text Box 2943"/>
                              <wps:cNvSpPr txBox="1">
                                <a:spLocks noChangeArrowheads="1"/>
                              </wps:cNvSpPr>
                              <wps:spPr bwMode="auto">
                                <a:xfrm>
                                  <a:off x="1701" y="4392"/>
                                  <a:ext cx="1620" cy="474"/>
                                </a:xfrm>
                                <a:prstGeom prst="rect">
                                  <a:avLst/>
                                </a:prstGeom>
                                <a:noFill/>
                                <a:ln>
                                  <a:noFill/>
                                </a:ln>
                                <a:effectLst/>
                              </wps:spPr>
                              <wps:txbx>
                                <w:txbxContent>
                                  <w:p>
                                    <w:pPr>
                                      <w:rPr>
                                        <w:szCs w:val="21"/>
                                      </w:rPr>
                                    </w:pPr>
                                    <w:r>
                                      <w:rPr>
                                        <w:rFonts w:hint="eastAsia"/>
                                        <w:szCs w:val="21"/>
                                      </w:rPr>
                                      <w:t>项目场地平整</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5pt;margin-top:18.35pt;height:245.9pt;width:407.65pt;z-index:251666432;mso-width-relative:page;mso-height-relative:page;" coordsize="8153,4918" o:gfxdata="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">
                      <o:lock v:ext="edit" aspectratio="f"/>
                      <v:shape id="Text Box 2905" o:spid="_x0000_s1026" o:spt="202" type="#_x0000_t202" style="position:absolute;left:1563;top:1810;height:548;width:1390;" fillcolor="#FFFFFF" filled="t" stroked="f" coordsize="21600,21600" o:gfxdata="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dGb5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ind w:firstLine="409" w:firstLineChars="195"/>
                                <w:rPr>
                                  <w:szCs w:val="21"/>
                                </w:rPr>
                              </w:pPr>
                              <w:r>
                                <w:rPr>
                                  <w:rFonts w:hint="eastAsia"/>
                                  <w:szCs w:val="21"/>
                                </w:rPr>
                                <w:t>扬尘</w:t>
                              </w:r>
                            </w:p>
                          </w:txbxContent>
                        </v:textbox>
                      </v:shape>
                      <v:shape id="FreeForm 2906" o:spid="_x0000_s1026" o:spt="100" style="position:absolute;left:7170;top:661;height:1278;width:2;" filled="f" stroked="t" coordsize="2,1199" o:gfxdata="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S/R8ugAAAN0A&#10;AAAPAAAAAAAAAAEAIAAAACIAAABkcnMvZG93bnJldi54bWxQSwECFAAUAAAACACHTuJAMy8FnjsA&#10;AAA5AAAAEAAAAAAAAAABACAAAAAJAQAAZHJzL3NoYXBleG1sLnhtbFBLBQYAAAAABgAGAFsBAACz&#10;AwAAAAA=&#10;" path="m2,1199l0,0e">
                        <v:path o:connectlocs="2,1278;0,0" o:connectangles="0,0"/>
                        <v:fill on="f" focussize="0,0"/>
                        <v:stroke color="#000000" joinstyle="round" dashstyle="longDash" endarrow="block"/>
                        <v:imagedata o:title=""/>
                        <o:lock v:ext="edit" aspectratio="f"/>
                      </v:shape>
                      <v:shape id="Text Box 2907" o:spid="_x0000_s1026" o:spt="202" type="#_x0000_t202" style="position:absolute;left:6446;top:1687;height:662;width:1420;" fillcolor="#FFFFFF" filled="t" stroked="f" coordsize="21600,21600" o:gfxdata="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b/CK/&#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szCs w:val="21"/>
                                </w:rPr>
                              </w:pPr>
                              <w:r>
                                <w:rPr>
                                  <w:rFonts w:hint="eastAsia"/>
                                  <w:szCs w:val="21"/>
                                </w:rPr>
                                <w:t>少量建筑垃圾</w:t>
                              </w:r>
                            </w:p>
                          </w:txbxContent>
                        </v:textbox>
                      </v:shape>
                      <v:shape id="FreeForm 2908" o:spid="_x0000_s1026" o:spt="100" style="position:absolute;left:5532;top:1413;height:399;width:1;" filled="f" stroked="t" coordsize="1,375" o:gfxdata="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6m5O/&#10;AAAA3QAAAA8AAAAAAAAAAQAgAAAAIgAAAGRycy9kb3ducmV2LnhtbFBLAQIUABQAAAAIAIdO4kAz&#10;LwWeOwAAADkAAAAQAAAAAAAAAAEAIAAAAA4BAABkcnMvc2hhcGV4bWwueG1sUEsFBgAAAAAGAAYA&#10;WwEAALgDAAAAAA==&#10;" path="m0,375l0,0e">
                        <v:path o:connectlocs="0,399;0,0" o:connectangles="0,0"/>
                        <v:fill on="f" focussize="0,0"/>
                        <v:stroke color="#000000" joinstyle="round" dashstyle="dash" endarrow="block"/>
                        <v:imagedata o:title=""/>
                        <o:lock v:ext="edit" aspectratio="f"/>
                      </v:shape>
                      <v:line id="Line 2909" o:spid="_x0000_s1026" o:spt="20" style="position:absolute;left:7285;top:2749;height:499;width:0;" filled="f" stroked="t" coordsize="21600,21600" o:gfxdata="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Jf/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2910" o:spid="_x0000_s1026" o:spt="202" type="#_x0000_t202" style="position:absolute;left:152;top:214;height:441;width:1377;" fillcolor="#FFFFFF" filled="t" stroked="f" coordsize="21600,21600" o:gfxdata="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sX7q/&#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szCs w:val="21"/>
                                </w:rPr>
                              </w:pPr>
                              <w:r>
                                <w:rPr>
                                  <w:rFonts w:hint="eastAsia"/>
                                  <w:szCs w:val="21"/>
                                </w:rPr>
                                <w:t>声学环境</w:t>
                              </w:r>
                            </w:p>
                          </w:txbxContent>
                        </v:textbox>
                      </v:shape>
                      <v:shape id="Text Box 2911" o:spid="_x0000_s1026" o:spt="202" type="#_x0000_t202" style="position:absolute;left:1610;top:261;height:440;width:1317;" fillcolor="#FFFFFF" filled="t" stroked="f" coordsize="21600,21600" o:gfxdata="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4Poh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Cs w:val="21"/>
                                </w:rPr>
                              </w:pPr>
                              <w:r>
                                <w:rPr>
                                  <w:rFonts w:hint="eastAsia"/>
                                  <w:szCs w:val="21"/>
                                </w:rPr>
                                <w:t>大气环境</w:t>
                              </w:r>
                            </w:p>
                          </w:txbxContent>
                        </v:textbox>
                      </v:shape>
                      <v:shape id="Text Box 2912" o:spid="_x0000_s1026" o:spt="202" type="#_x0000_t202" style="position:absolute;left:418;top:1809;height:499;width:869;" fillcolor="#FFFFFF" filled="t" stroked="f" coordsize="21600,21600" o:gfxdata="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Fa/&#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szCs w:val="21"/>
                                </w:rPr>
                              </w:pPr>
                              <w:r>
                                <w:rPr>
                                  <w:rFonts w:hint="eastAsia"/>
                                  <w:szCs w:val="21"/>
                                </w:rPr>
                                <w:t>噪声</w:t>
                              </w:r>
                            </w:p>
                          </w:txbxContent>
                        </v:textbox>
                      </v:shape>
                      <v:shape id="Text Box 2913" o:spid="_x0000_s1026" o:spt="202" type="#_x0000_t202" style="position:absolute;left:3204;top:1683;height:597;width:1225;" fillcolor="#FFFFFF" filled="t" stroked="f" coordsize="21600,21600" o:gfxdata="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fsHNugAAAN0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rPr>
                                  <w:szCs w:val="21"/>
                                </w:rPr>
                              </w:pPr>
                              <w:r>
                                <w:rPr>
                                  <w:rFonts w:hint="eastAsia"/>
                                  <w:szCs w:val="21"/>
                                </w:rPr>
                                <w:t>建筑废水</w:t>
                              </w:r>
                            </w:p>
                          </w:txbxContent>
                        </v:textbox>
                      </v:shape>
                      <v:shape id="Text Box 2914" o:spid="_x0000_s1026" o:spt="202" type="#_x0000_t202" style="position:absolute;left:4814;top:1714;height:624;width:1383;" fillcolor="#FFFFFF" filled="t" stroked="f" coordsize="21600,21600" o:gfxdata="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4VW/twAAAN0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199" w:firstLineChars="95"/>
                                <w:rPr>
                                  <w:szCs w:val="21"/>
                                </w:rPr>
                              </w:pPr>
                              <w:r>
                                <w:rPr>
                                  <w:rFonts w:hint="eastAsia"/>
                                  <w:szCs w:val="21"/>
                                </w:rPr>
                                <w:t>生活污水</w:t>
                              </w:r>
                            </w:p>
                          </w:txbxContent>
                        </v:textbox>
                      </v:shape>
                      <v:shape id="Text Box 2915" o:spid="_x0000_s1026" o:spt="202" type="#_x0000_t202" style="position:absolute;left:3204;top:989;height:487;width:1225;" fillcolor="#FFFFFF" filled="t" stroked="t" coordsize="21600,21600" o:gfxdata="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2d9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199" w:firstLineChars="95"/>
                                <w:rPr>
                                  <w:szCs w:val="21"/>
                                </w:rPr>
                              </w:pPr>
                              <w:r>
                                <w:rPr>
                                  <w:rFonts w:hint="eastAsia"/>
                                  <w:szCs w:val="21"/>
                                </w:rPr>
                                <w:t>沉淀池</w:t>
                              </w:r>
                            </w:p>
                          </w:txbxContent>
                        </v:textbox>
                      </v:shape>
                      <v:shape id="Text Box 2916" o:spid="_x0000_s1026" o:spt="202" type="#_x0000_t202" style="position:absolute;left:4554;top:1002;height:444;width:2006;" fillcolor="#FFFFFF" filled="t" stroked="t" coordsize="21600,21600" o:gfxdata="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tJM&#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Cs w:val="21"/>
                                </w:rPr>
                              </w:pPr>
                              <w:r>
                                <w:rPr>
                                  <w:rFonts w:hint="eastAsia"/>
                                  <w:szCs w:val="21"/>
                                </w:rPr>
                                <w:t>化粪池预处理</w:t>
                              </w:r>
                            </w:p>
                          </w:txbxContent>
                        </v:textbox>
                      </v:shape>
                      <v:shape id="Text Box 2917" o:spid="_x0000_s1026" o:spt="202" type="#_x0000_t202" style="position:absolute;left:50;top:3261;height:442;width:1257;" fillcolor="#FFFFFF" filled="t" stroked="t" coordsize="21600,21600" o:gfxdata="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oTDu/&#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rPr>
                                  <w:szCs w:val="21"/>
                                </w:rPr>
                              </w:pPr>
                              <w:r>
                                <w:rPr>
                                  <w:rFonts w:hint="eastAsia"/>
                                  <w:szCs w:val="21"/>
                                </w:rPr>
                                <w:t>基础工程</w:t>
                              </w:r>
                            </w:p>
                          </w:txbxContent>
                        </v:textbox>
                      </v:shape>
                      <v:shape id="Text Box 2918" o:spid="_x0000_s1026" o:spt="202" type="#_x0000_t202" style="position:absolute;left:1672;top:3256;height:441;width:1438;" fillcolor="#FFFFFF" filled="t" stroked="t" coordsize="21600,21600" o:gfxdata="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Omg&#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Cs w:val="21"/>
                                </w:rPr>
                              </w:pPr>
                              <w:r>
                                <w:rPr>
                                  <w:rFonts w:hint="eastAsia"/>
                                  <w:szCs w:val="21"/>
                                </w:rPr>
                                <w:t>主体工程</w:t>
                              </w:r>
                            </w:p>
                          </w:txbxContent>
                        </v:textbox>
                      </v:shape>
                      <v:shape id="Text Box 2919" o:spid="_x0000_s1026" o:spt="202" type="#_x0000_t202" style="position:absolute;left:3467;top:3250;height:441;width:1345;" fillcolor="#FFFFFF" filled="t" stroked="t" coordsize="21600,21600" o:gfxdata="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XHU&#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Cs w:val="21"/>
                                </w:rPr>
                              </w:pPr>
                              <w:r>
                                <w:rPr>
                                  <w:rFonts w:hint="eastAsia"/>
                                  <w:szCs w:val="21"/>
                                </w:rPr>
                                <w:t>装饰工程</w:t>
                              </w:r>
                            </w:p>
                          </w:txbxContent>
                        </v:textbox>
                      </v:shape>
                      <v:shape id="Text Box 2920" o:spid="_x0000_s1026" o:spt="202" type="#_x0000_t202" style="position:absolute;left:6845;top:3258;height:441;width:1308;" fillcolor="#FFFFFF" filled="t" stroked="t" coordsize="21600,21600" o:gfxdata="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dRP&#10;wAAAAN0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Cs w:val="21"/>
                                </w:rPr>
                              </w:pPr>
                              <w:r>
                                <w:rPr>
                                  <w:rFonts w:hint="eastAsia"/>
                                  <w:szCs w:val="21"/>
                                </w:rPr>
                                <w:t>工程验收</w:t>
                              </w:r>
                            </w:p>
                          </w:txbxContent>
                        </v:textbox>
                      </v:shape>
                      <v:line id="Line 2921" o:spid="_x0000_s1026" o:spt="20" style="position:absolute;left:2253;top:661;flip:y;height:1163;width:0;" filled="f" stroked="t" coordsize="21600,21600" o:gfxdata="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PkmYrgAAADd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Line 2922" o:spid="_x0000_s1026" o:spt="20" style="position:absolute;left:5532;top:504;flip:y;height:453;width:0;" filled="f" stroked="t" coordsize="21600,21600" o:gfxdata="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1g/m8AAAA&#10;3Q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Line 2923" o:spid="_x0000_s1026" o:spt="20" style="position:absolute;left:515;top:2741;height:499;width:0;" filled="f" stroked="t" coordsize="21600,21600" o:gfxdata="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lEz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24" o:spid="_x0000_s1026" o:spt="20" style="position:absolute;left:515;top:2737;height:0;width:6777;" filled="f" stroked="t" coordsize="21600,21600" o:gfxdata="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tK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925" o:spid="_x0000_s1026" o:spt="20" style="position:absolute;left:3110;top:3465;height:0;width:348;" filled="f" stroked="t" coordsize="21600,21600" o:gfxdata="UEsDBAoAAAAAAIdO4kAAAAAAAAAAAAAAAAAEAAAAZHJzL1BLAwQUAAAACACHTuJAHAzow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Tk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zo&#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2926" o:spid="_x0000_s1026" o:spt="20" style="position:absolute;left:4821;top:3487;height:0;width:405;" filled="f" stroked="t" coordsize="21600,21600" o:gfxdata="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Ny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27" o:spid="_x0000_s1026" o:spt="20" style="position:absolute;left:6327;top:3487;height:0;width:521;" filled="f" stroked="t" coordsize="21600,21600" o:gfxdata="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5bu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2928" o:spid="_x0000_s1026" o:spt="20" style="position:absolute;left:747;top:2178;flip:y;height:562;width:0;" filled="f" stroked="t" coordsize="21600,21600" o:gfxdata="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fQvi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Line 2929" o:spid="_x0000_s1026" o:spt="20" style="position:absolute;left:2253;top:2157;flip:y;height:561;width:0;" filled="f" stroked="t" coordsize="21600,21600" o:gfxdata="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fkLUAAADd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Line 2930" o:spid="_x0000_s1026" o:spt="20" style="position:absolute;left:3797;top:2178;flip:y;height:562;width:0;" filled="f" stroked="t" coordsize="21600,21600" o:gfxdata="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46C7sAAADd&#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Line 2931" o:spid="_x0000_s1026" o:spt="20" style="position:absolute;left:5532;top:2179;flip:y;height:562;width:0;" filled="f" stroked="t" coordsize="21600,21600" o:gfxdata="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E0FS7gAAADd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shape id="Text Box 2932" o:spid="_x0000_s1026" o:spt="202" type="#_x0000_t202" style="position:absolute;left:3356;top:27;height:437;width:784;" fillcolor="#FFFFFF" filled="t" stroked="f" coordsize="21600,21600" o:gfxdata="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5LD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szCs w:val="21"/>
                                </w:rPr>
                              </w:pPr>
                              <w:r>
                                <w:rPr>
                                  <w:rFonts w:hint="eastAsia"/>
                                  <w:szCs w:val="21"/>
                                </w:rPr>
                                <w:t>回用</w:t>
                              </w:r>
                            </w:p>
                          </w:txbxContent>
                        </v:textbox>
                      </v:shape>
                      <v:shape id="Text Box 2933" o:spid="_x0000_s1026" o:spt="202" type="#_x0000_t202" style="position:absolute;left:4717;top:0;height:504;width:2033;" fillcolor="#FFFFFF" filled="t" stroked="f" coordsize="21600,21600" o:gfxdata="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0MtL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szCs w:val="21"/>
                                </w:rPr>
                              </w:pPr>
                              <w:r>
                                <w:rPr>
                                  <w:rFonts w:hint="eastAsia"/>
                                  <w:szCs w:val="21"/>
                                </w:rPr>
                                <w:t>第二污水处理厂</w:t>
                              </w:r>
                            </w:p>
                          </w:txbxContent>
                        </v:textbox>
                      </v:shape>
                      <v:line id="Line 2934" o:spid="_x0000_s1026" o:spt="20" style="position:absolute;left:739;top:640;flip:y;height:1165;width:0;" filled="f" stroked="t" coordsize="21600,21600" o:gfxdata="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k0vQAA&#10;AN0AAAAPAAAAAAAAAAEAIAAAACIAAABkcnMvZG93bnJldi54bWxQSwECFAAUAAAACACHTuJAMy8F&#10;njsAAAA5AAAAEAAAAAAAAAABACAAAAAMAQAAZHJzL3NoYXBleG1sLnhtbFBLBQYAAAAABgAGAFsB&#10;AAC2AwAAAAA=&#10;">
                        <v:fill on="f" focussize="0,0"/>
                        <v:stroke color="#000000" joinstyle="round" dashstyle="longDash" endarrow="block"/>
                        <v:imagedata o:title=""/>
                        <o:lock v:ext="edit" aspectratio="f"/>
                      </v:line>
                      <v:line id="Line 2935" o:spid="_x0000_s1026" o:spt="20" style="position:absolute;left:3740;top:488;flip:y;height:397;width:5;" filled="f" stroked="t" coordsize="21600,21600" o:gfxdata="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cUC8AAAA&#10;3QAAAA8AAAAAAAAAAQAgAAAAIgAAAGRycy9kb3ducmV2LnhtbFBLAQIUABQAAAAIAIdO4kAzLwWe&#10;OwAAADkAAAAQAAAAAAAAAAEAIAAAAAsBAABkcnMvc2hhcGV4bWwueG1sUEsFBgAAAAAGAAYAWwEA&#10;ALUDAAAAAA==&#10;">
                        <v:fill on="f" focussize="0,0"/>
                        <v:stroke color="#000000" joinstyle="round" dashstyle="longDash" endarrow="block"/>
                        <v:imagedata o:title=""/>
                        <o:lock v:ext="edit" aspectratio="f"/>
                      </v:line>
                      <v:shape id="FreeForm 2936" o:spid="_x0000_s1026" o:spt="100" style="position:absolute;left:3770;top:1476;height:314;width:5;" filled="f" stroked="t" coordsize="5,295" o:gfxdata="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iFI&#10;qcEAAADdAAAADwAAAAAAAAABACAAAAAiAAAAZHJzL2Rvd25yZXYueG1sUEsBAhQAFAAAAAgAh07i&#10;QDMvBZ47AAAAOQAAABAAAAAAAAAAAQAgAAAAEAEAAGRycy9zaGFwZXhtbC54bWxQSwUGAAAAAAYA&#10;BgBbAQAAugMAAAAA&#10;" path="m5,295l0,0e">
                        <v:path o:connectlocs="5,314;0,0" o:connectangles="0,0"/>
                        <v:fill on="f" focussize="0,0"/>
                        <v:stroke color="#000000" joinstyle="round" dashstyle="dash" endarrow="block"/>
                        <v:imagedata o:title=""/>
                        <o:lock v:ext="edit" aspectratio="f"/>
                      </v:shape>
                      <v:shape id="FreeForm 2937" o:spid="_x0000_s1026" o:spt="100" style="position:absolute;left:1332;top:3471;height:2;width:299;" filled="f" stroked="t" coordsize="310,1" o:gfxdata="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R0ai/&#10;AAAA3QAAAA8AAAAAAAAAAQAgAAAAIgAAAGRycy9kb3ducmV2LnhtbFBLAQIUABQAAAAIAIdO4kAz&#10;LwWeOwAAADkAAAAQAAAAAAAAAAEAIAAAAA4BAABkcnMvc2hhcGV4bWwueG1sUEsFBgAAAAAGAAYA&#10;WwEAALgDAAAAAA==&#10;" path="m0,0l310,0e">
                        <v:path o:connectlocs="0,0;299,0" o:connectangles="0,0"/>
                        <v:fill on="f" focussize="0,0"/>
                        <v:stroke color="#000000" joinstyle="round" endarrow="block"/>
                        <v:imagedata o:title=""/>
                        <o:lock v:ext="edit" aspectratio="f"/>
                      </v:shape>
                      <v:line id="Line 2938" o:spid="_x0000_s1026" o:spt="20" style="position:absolute;left:7187;top:2173;flip:y;height:562;width:0;" filled="f" stroked="t" coordsize="21600,21600" o:gfxdata="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BMMb4A&#10;AADd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line>
                      <v:shape id="Text Box 2939" o:spid="_x0000_s1026" o:spt="202" type="#_x0000_t202" style="position:absolute;left:5214;top:3268;height:442;width:1307;" fillcolor="#FFFFFF" filled="t" stroked="t" coordsize="21600,21600" o:gfxdata="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RZRe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Cs w:val="21"/>
                                </w:rPr>
                              </w:pPr>
                              <w:r>
                                <w:rPr>
                                  <w:rFonts w:hint="eastAsia"/>
                                  <w:szCs w:val="21"/>
                                </w:rPr>
                                <w:t>设备安装</w:t>
                              </w:r>
                            </w:p>
                          </w:txbxContent>
                        </v:textbox>
                      </v:shape>
                      <v:line id="Line 2940" o:spid="_x0000_s1026" o:spt="20" style="position:absolute;left:577;top:3704;height:665;width:0;" filled="f" stroked="t" coordsize="21600,21600" o:gfxdata="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ANL&#10;wAAAAN0AAAAPAAAAAAAAAAEAIAAAACIAAABkcnMvZG93bnJldi54bWxQSwECFAAUAAAACACHTuJA&#10;My8FnjsAAAA5AAAAEAAAAAAAAAABACAAAAAPAQAAZHJzL3NoYXBleG1sLnhtbFBLBQYAAAAABgAG&#10;AFsBAAC5AwAAAAA=&#10;">
                        <v:fill on="f" focussize="0,0"/>
                        <v:stroke color="#000000" joinstyle="round" dashstyle="dashDot" endarrow="block"/>
                        <v:imagedata o:title=""/>
                        <o:lock v:ext="edit" aspectratio="f"/>
                      </v:line>
                      <v:shape id="Text Box 2941" o:spid="_x0000_s1026" o:spt="202" type="#_x0000_t202" style="position:absolute;left:0;top:4367;height:551;width:1236;" fillcolor="#FFFFFF" filled="t" stroked="t" coordsize="21600,21600" o:gfxdata="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GTa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szCs w:val="21"/>
                                </w:rPr>
                              </w:pPr>
                              <w:r>
                                <w:rPr>
                                  <w:rFonts w:hint="eastAsia"/>
                                  <w:szCs w:val="21"/>
                                </w:rPr>
                                <w:t>建筑弃土</w:t>
                              </w:r>
                            </w:p>
                          </w:txbxContent>
                        </v:textbox>
                      </v:shape>
                      <v:line id="Line 2942" o:spid="_x0000_s1026" o:spt="20" style="position:absolute;left:1508;top:4369;height:502;width:0;rotation:-5898240f;" filled="f" stroked="t" coordsize="21600,21600" o:gfxdata="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p5cJ&#10;wAAAAN0AAAAPAAAAAAAAAAEAIAAAACIAAABkcnMvZG93bnJldi54bWxQSwECFAAUAAAACACHTuJA&#10;My8FnjsAAAA5AAAAEAAAAAAAAAABACAAAAAPAQAAZHJzL3NoYXBleG1sLnhtbFBLBQYAAAAABgAG&#10;AFsBAAC5AwAAAAA=&#10;">
                        <v:fill on="f" focussize="0,0"/>
                        <v:stroke color="#000000" joinstyle="round" dashstyle="longDash" endarrow="block"/>
                        <v:imagedata o:title=""/>
                        <o:lock v:ext="edit" aspectratio="f"/>
                      </v:line>
                      <v:shape id="Text Box 2943" o:spid="_x0000_s1026" o:spt="202" type="#_x0000_t202" style="position:absolute;left:1701;top:4392;height:474;width:1620;" filled="f" stroked="f" coordsize="21600,21600" o:gfxdata="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pS3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Cs w:val="21"/>
                                </w:rPr>
                              </w:pPr>
                              <w:r>
                                <w:rPr>
                                  <w:rFonts w:hint="eastAsia"/>
                                  <w:szCs w:val="21"/>
                                </w:rPr>
                                <w:t>项目场地平整</w:t>
                              </w:r>
                            </w:p>
                          </w:txbxContent>
                        </v:textbox>
                      </v:shape>
                    </v:group>
                  </w:pict>
                </mc:Fallback>
              </mc:AlternateContent>
            </w: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rPr>
                <w:kern w:val="2"/>
              </w:rPr>
            </w:pPr>
          </w:p>
          <w:p>
            <w:pPr>
              <w:pStyle w:val="864"/>
              <w:ind w:firstLine="0" w:firstLineChars="0"/>
              <w:rPr>
                <w:rFonts w:hint="eastAsia"/>
                <w:kern w:val="2"/>
              </w:rPr>
            </w:pPr>
          </w:p>
          <w:p>
            <w:pPr>
              <w:pStyle w:val="864"/>
              <w:ind w:firstLine="422"/>
              <w:jc w:val="center"/>
              <w:rPr>
                <w:b/>
                <w:bCs/>
                <w:kern w:val="2"/>
                <w:sz w:val="21"/>
                <w:szCs w:val="21"/>
              </w:rPr>
            </w:pPr>
            <w:r>
              <w:rPr>
                <w:b/>
                <w:bCs/>
                <w:kern w:val="2"/>
                <w:sz w:val="21"/>
                <w:szCs w:val="21"/>
              </w:rPr>
              <w:t xml:space="preserve">图 </w:t>
            </w:r>
            <w:r>
              <w:rPr>
                <w:rFonts w:hint="eastAsia"/>
                <w:b/>
                <w:bCs/>
                <w:kern w:val="2"/>
                <w:sz w:val="21"/>
                <w:szCs w:val="21"/>
              </w:rPr>
              <w:t>2-2</w:t>
            </w:r>
            <w:r>
              <w:rPr>
                <w:b/>
                <w:bCs/>
                <w:kern w:val="2"/>
                <w:sz w:val="21"/>
                <w:szCs w:val="21"/>
              </w:rPr>
              <w:t xml:space="preserve"> 工程施工工艺流程及产污环节</w:t>
            </w:r>
          </w:p>
          <w:p>
            <w:pPr>
              <w:spacing w:line="360" w:lineRule="auto"/>
              <w:ind w:firstLine="480" w:firstLineChars="200"/>
              <w:contextualSpacing/>
              <w:rPr>
                <w:sz w:val="24"/>
              </w:rPr>
            </w:pPr>
            <w:r>
              <w:rPr>
                <w:rFonts w:hint="eastAsia"/>
                <w:sz w:val="24"/>
              </w:rPr>
              <w:t>（二）施工期主要污染工序</w:t>
            </w:r>
          </w:p>
          <w:p>
            <w:pPr>
              <w:spacing w:line="360" w:lineRule="auto"/>
              <w:ind w:firstLine="480" w:firstLineChars="200"/>
              <w:contextualSpacing/>
              <w:rPr>
                <w:sz w:val="24"/>
              </w:rPr>
            </w:pPr>
            <w:r>
              <w:rPr>
                <w:sz w:val="24"/>
              </w:rPr>
              <w:t>项目施工期将主要涉及场地平整，站房、加油加气罩棚、油罐区、相关配套设施建设和装修，地面硬化，加油加气站设备的安装以及场地景观配置等内容。</w:t>
            </w:r>
            <w:r>
              <w:rPr>
                <w:rFonts w:hint="eastAsia"/>
                <w:sz w:val="24"/>
              </w:rPr>
              <w:t>其</w:t>
            </w:r>
            <w:r>
              <w:rPr>
                <w:sz w:val="24"/>
              </w:rPr>
              <w:t>施工期</w:t>
            </w:r>
            <w:r>
              <w:rPr>
                <w:rFonts w:hint="eastAsia"/>
                <w:sz w:val="24"/>
              </w:rPr>
              <w:t>主要污染物为</w:t>
            </w:r>
            <w:r>
              <w:rPr>
                <w:sz w:val="24"/>
              </w:rPr>
              <w:t>：</w:t>
            </w:r>
          </w:p>
          <w:p>
            <w:pPr>
              <w:spacing w:line="360" w:lineRule="auto"/>
              <w:ind w:firstLine="480" w:firstLineChars="200"/>
              <w:contextualSpacing/>
              <w:rPr>
                <w:sz w:val="24"/>
              </w:rPr>
            </w:pPr>
            <w:r>
              <w:rPr>
                <w:sz w:val="24"/>
              </w:rPr>
              <w:t xml:space="preserve">废气：施工扬尘、施工机械燃油废气和装修废气。 </w:t>
            </w:r>
          </w:p>
          <w:p>
            <w:pPr>
              <w:spacing w:line="360" w:lineRule="auto"/>
              <w:ind w:firstLine="480" w:firstLineChars="200"/>
              <w:contextualSpacing/>
              <w:rPr>
                <w:sz w:val="24"/>
              </w:rPr>
            </w:pPr>
            <w:r>
              <w:rPr>
                <w:sz w:val="24"/>
              </w:rPr>
              <w:t>废水：</w:t>
            </w:r>
            <w:r>
              <w:rPr>
                <w:rFonts w:hint="eastAsia"/>
                <w:sz w:val="24"/>
              </w:rPr>
              <w:t>施工废水</w:t>
            </w:r>
            <w:r>
              <w:rPr>
                <w:sz w:val="24"/>
              </w:rPr>
              <w:t xml:space="preserve">和施工人员的生活污水。 </w:t>
            </w:r>
          </w:p>
          <w:p>
            <w:pPr>
              <w:spacing w:line="360" w:lineRule="auto"/>
              <w:ind w:firstLine="480" w:firstLineChars="200"/>
              <w:contextualSpacing/>
              <w:rPr>
                <w:sz w:val="24"/>
              </w:rPr>
            </w:pPr>
            <w:r>
              <w:rPr>
                <w:sz w:val="24"/>
              </w:rPr>
              <w:t>噪声：主要来源于施工设备</w:t>
            </w:r>
            <w:r>
              <w:rPr>
                <w:rFonts w:hint="eastAsia"/>
                <w:sz w:val="24"/>
              </w:rPr>
              <w:t>产生的设备</w:t>
            </w:r>
            <w:r>
              <w:rPr>
                <w:sz w:val="24"/>
              </w:rPr>
              <w:t>噪声</w:t>
            </w:r>
            <w:r>
              <w:rPr>
                <w:rFonts w:hint="eastAsia"/>
                <w:sz w:val="24"/>
              </w:rPr>
              <w:t>和</w:t>
            </w:r>
            <w:r>
              <w:rPr>
                <w:sz w:val="24"/>
              </w:rPr>
              <w:t>运输车辆噪声。</w:t>
            </w:r>
          </w:p>
          <w:p>
            <w:pPr>
              <w:spacing w:line="360" w:lineRule="auto"/>
              <w:ind w:firstLine="480" w:firstLineChars="200"/>
              <w:contextualSpacing/>
              <w:rPr>
                <w:rFonts w:hint="eastAsia"/>
                <w:sz w:val="24"/>
              </w:rPr>
            </w:pPr>
            <w:r>
              <w:rPr>
                <w:sz w:val="24"/>
              </w:rPr>
              <w:t>固体废物：主要有建筑垃圾</w:t>
            </w:r>
            <w:r>
              <w:rPr>
                <w:rFonts w:hint="eastAsia"/>
                <w:sz w:val="24"/>
              </w:rPr>
              <w:t>、</w:t>
            </w:r>
            <w:r>
              <w:rPr>
                <w:sz w:val="24"/>
              </w:rPr>
              <w:t>废弃包装材料及施工人员</w:t>
            </w:r>
            <w:r>
              <w:rPr>
                <w:rFonts w:hint="eastAsia"/>
                <w:sz w:val="24"/>
              </w:rPr>
              <w:t>产生的</w:t>
            </w:r>
            <w:r>
              <w:rPr>
                <w:sz w:val="24"/>
              </w:rPr>
              <w:t>生活垃圾。</w:t>
            </w:r>
          </w:p>
          <w:p>
            <w:pPr>
              <w:spacing w:line="360" w:lineRule="auto"/>
              <w:ind w:firstLine="482" w:firstLineChars="200"/>
              <w:rPr>
                <w:b/>
                <w:bCs/>
                <w:sz w:val="24"/>
              </w:rPr>
            </w:pPr>
            <w:r>
              <w:rPr>
                <w:b/>
                <w:bCs/>
                <w:sz w:val="24"/>
              </w:rPr>
              <w:t>二、营运期工艺流程及产污环节分析</w:t>
            </w:r>
          </w:p>
          <w:p>
            <w:pPr>
              <w:spacing w:line="360" w:lineRule="auto"/>
              <w:ind w:firstLine="482" w:firstLineChars="200"/>
              <w:textAlignment w:val="baseline"/>
              <w:rPr>
                <w:b/>
                <w:bCs/>
                <w:sz w:val="24"/>
              </w:rPr>
            </w:pPr>
            <w:r>
              <w:rPr>
                <w:b/>
                <w:bCs/>
                <w:sz w:val="24"/>
              </w:rPr>
              <w:t>（一）营运期工艺流程</w:t>
            </w:r>
          </w:p>
          <w:p>
            <w:pPr>
              <w:pStyle w:val="625"/>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rPr>
              <w:t>（1）</w:t>
            </w:r>
            <w:r>
              <w:rPr>
                <w:rFonts w:ascii="Times New Roman" w:hAnsi="Times New Roman" w:cs="Times New Roman"/>
                <w:b/>
                <w:bCs/>
                <w:color w:val="auto"/>
              </w:rPr>
              <w:t>加油加气站营运期产污情况</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本项目营运期仅为来往车辆提供加油服务，</w:t>
            </w:r>
            <w:r>
              <w:rPr>
                <w:rFonts w:hint="eastAsia" w:ascii="Times New Roman" w:hAnsi="Times New Roman" w:cs="Times New Roman"/>
                <w:color w:val="auto"/>
              </w:rPr>
              <w:t>并对加油车辆提供洗车增值服务，</w:t>
            </w:r>
            <w:r>
              <w:rPr>
                <w:rFonts w:ascii="Times New Roman" w:hAnsi="Times New Roman" w:cs="Times New Roman"/>
                <w:color w:val="auto"/>
              </w:rPr>
              <w:t>暂不提供车辆维修服务；项目设置1栋2F的站房，其内包括：为便利店</w:t>
            </w:r>
            <w:r>
              <w:rPr>
                <w:rFonts w:hint="eastAsia" w:ascii="Times New Roman" w:hAnsi="Times New Roman" w:cs="Times New Roman"/>
                <w:color w:val="auto"/>
              </w:rPr>
              <w:t>、</w:t>
            </w:r>
            <w:r>
              <w:rPr>
                <w:rFonts w:ascii="Times New Roman" w:hAnsi="Times New Roman" w:cs="Times New Roman"/>
                <w:color w:val="auto"/>
              </w:rPr>
              <w:t>办公室、值班室等，主要产生生活污水和生活垃圾。</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同时，项目营运期储油罐罐体内会因长时间静止而产生一定量的废油渣，加 油加气站清洗油罐的主要程序为打开油孔、抽吸油渣、排除油气、油气测试、罐 内清洗、验收。项目储油罐一般3年委托专业清罐单位进行清洗，产生的少量清洗废水，由清洗单位回收处置；油罐达到使用年限后直接进行更换，储油罐更换 应由具有资质的专业单位进行更换，更换的废油罐直接由该单位拉走进行处置， 其中的含油废水、油渣不外排。</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项目运营期工艺流程及产污环节详见下图</w:t>
            </w:r>
            <w:r>
              <w:rPr>
                <w:rFonts w:hint="eastAsia" w:ascii="Times New Roman" w:hAnsi="Times New Roman" w:cs="Times New Roman"/>
                <w:color w:val="auto"/>
              </w:rPr>
              <w:t>2-3</w:t>
            </w:r>
            <w:r>
              <w:rPr>
                <w:rFonts w:ascii="Times New Roman" w:hAnsi="Times New Roman" w:cs="Times New Roman"/>
                <w:color w:val="auto"/>
              </w:rPr>
              <w:t>所示。</w:t>
            </w:r>
          </w:p>
          <w:p>
            <w:pPr>
              <w:pStyle w:val="625"/>
              <w:spacing w:line="360" w:lineRule="auto"/>
              <w:jc w:val="center"/>
              <w:rPr>
                <w:color w:val="auto"/>
              </w:rPr>
            </w:pPr>
            <w:r>
              <w:rPr>
                <w:color w:val="auto"/>
              </w:rPr>
              <w:object>
                <v:shape id="_x0000_i1026" o:spt="75" type="#_x0000_t75" style="height:232.2pt;width:416.35pt;" o:ole="t" filled="f"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pPr>
              <w:pStyle w:val="864"/>
              <w:ind w:firstLine="422"/>
              <w:jc w:val="center"/>
              <w:rPr>
                <w:b/>
                <w:bCs/>
                <w:kern w:val="2"/>
                <w:sz w:val="21"/>
                <w:szCs w:val="21"/>
              </w:rPr>
            </w:pPr>
            <w:r>
              <w:rPr>
                <w:rFonts w:hint="eastAsia"/>
                <w:b/>
                <w:bCs/>
                <w:kern w:val="2"/>
                <w:sz w:val="21"/>
                <w:szCs w:val="21"/>
              </w:rPr>
              <w:t>图2-3</w:t>
            </w:r>
            <w:r>
              <w:rPr>
                <w:b/>
                <w:bCs/>
                <w:kern w:val="2"/>
                <w:sz w:val="21"/>
                <w:szCs w:val="21"/>
              </w:rPr>
              <w:t xml:space="preserve"> 项目营运期工艺流程及产污环节图</w:t>
            </w:r>
          </w:p>
          <w:p>
            <w:pPr>
              <w:pStyle w:val="625"/>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rPr>
              <w:t>（2）</w:t>
            </w:r>
            <w:r>
              <w:rPr>
                <w:rFonts w:ascii="Times New Roman" w:hAnsi="Times New Roman" w:cs="Times New Roman"/>
                <w:b/>
                <w:bCs/>
                <w:color w:val="auto"/>
              </w:rPr>
              <w:t>加油工序工艺流程</w:t>
            </w:r>
          </w:p>
          <w:p>
            <w:pPr>
              <w:pStyle w:val="625"/>
              <w:spacing w:line="360" w:lineRule="auto"/>
              <w:ind w:firstLine="482" w:firstLineChars="200"/>
              <w:rPr>
                <w:rFonts w:hint="eastAsia" w:ascii="Times New Roman" w:hAnsi="Times New Roman" w:cs="Times New Roman"/>
                <w:b/>
                <w:bCs/>
                <w:color w:val="auto"/>
              </w:rPr>
            </w:pPr>
            <w:r>
              <w:rPr>
                <w:rFonts w:hint="eastAsia" w:ascii="Times New Roman" w:hAnsi="Times New Roman" w:cs="Times New Roman"/>
                <w:b/>
                <w:bCs/>
                <w:color w:val="auto"/>
              </w:rPr>
              <w:t>1）工艺流程</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油品由专用罐车拉运至站内卸油场，通过密闭接头连接油槽车和卸油口，以自流方式卸油，油品按照不同规格分别固定贮存于地埋式钢制油罐中。给汽车加油时，通过加油机将油品计量打入汽车油箱。油罐车卸油和加油机加油配有油气回收系统，整个工艺密闭作业。项目营运期加油工艺流程及产污环节见下图</w:t>
            </w:r>
            <w:r>
              <w:rPr>
                <w:rFonts w:hint="eastAsia" w:ascii="Times New Roman" w:hAnsi="Times New Roman" w:cs="Times New Roman"/>
                <w:color w:val="auto"/>
              </w:rPr>
              <w:t>2-4</w:t>
            </w:r>
            <w:r>
              <w:rPr>
                <w:rFonts w:ascii="Times New Roman" w:hAnsi="Times New Roman" w:cs="Times New Roman"/>
                <w:color w:val="auto"/>
              </w:rPr>
              <w:t>所示。</w:t>
            </w:r>
          </w:p>
          <w:p>
            <w:pPr>
              <w:jc w:val="center"/>
              <w:rPr>
                <w:rFonts w:hint="eastAsia"/>
              </w:rPr>
            </w:pPr>
            <w:r>
              <w:object>
                <v:shape id="_x0000_i1027" o:spt="75" type="#_x0000_t75" style="height:82.15pt;width:411.65pt;" o:ole="t" filled="f"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p>
          <w:p>
            <w:pPr>
              <w:pStyle w:val="864"/>
              <w:ind w:firstLine="422"/>
              <w:jc w:val="center"/>
              <w:rPr>
                <w:b/>
                <w:bCs/>
                <w:kern w:val="2"/>
                <w:sz w:val="21"/>
                <w:szCs w:val="21"/>
              </w:rPr>
            </w:pPr>
            <w:r>
              <w:rPr>
                <w:rFonts w:hint="eastAsia"/>
                <w:b/>
                <w:bCs/>
                <w:kern w:val="2"/>
                <w:sz w:val="21"/>
                <w:szCs w:val="21"/>
              </w:rPr>
              <w:t>图2-4</w:t>
            </w:r>
            <w:r>
              <w:rPr>
                <w:b/>
                <w:bCs/>
                <w:kern w:val="2"/>
                <w:sz w:val="21"/>
                <w:szCs w:val="21"/>
              </w:rPr>
              <w:t xml:space="preserve"> 项目营运期加油工艺流程及产污环节图</w:t>
            </w:r>
          </w:p>
          <w:p>
            <w:pPr>
              <w:pStyle w:val="625"/>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rPr>
              <w:t>2）工艺流程简述：</w:t>
            </w:r>
          </w:p>
          <w:p>
            <w:pPr>
              <w:spacing w:line="360" w:lineRule="auto"/>
              <w:ind w:firstLine="480" w:firstLineChars="200"/>
              <w:contextualSpacing/>
              <w:rPr>
                <w:sz w:val="24"/>
              </w:rPr>
            </w:pPr>
            <w:r>
              <w:rPr>
                <w:rFonts w:hint="eastAsia"/>
                <w:sz w:val="24"/>
              </w:rPr>
              <w:t>①</w:t>
            </w:r>
            <w:r>
              <w:rPr>
                <w:sz w:val="24"/>
              </w:rPr>
              <w:t>卸油：由成品油罐车将燃料油运至加油站处，采用浸没式密闭卸油方式，将燃料油分别卸到各埋地式储油罐中。在卸油过程中，由于机械力的作用，加剧了油品的挥发程度，产生了油气。而储油罐中的气体空间随着油品的液位升高而减少，气体压力增大。为保持压力的平衡，一部分气体通过呼吸阀排出汽车槽车</w:t>
            </w:r>
            <w:r>
              <w:rPr>
                <w:rFonts w:hint="eastAsia"/>
                <w:sz w:val="24"/>
              </w:rPr>
              <w:t>（</w:t>
            </w:r>
            <w:r>
              <w:rPr>
                <w:sz w:val="24"/>
              </w:rPr>
              <w:t>此过程为</w:t>
            </w:r>
            <w:r>
              <w:rPr>
                <w:rFonts w:hint="eastAsia"/>
                <w:sz w:val="24"/>
              </w:rPr>
              <w:t>“</w:t>
            </w:r>
            <w:r>
              <w:rPr>
                <w:sz w:val="24"/>
              </w:rPr>
              <w:t>大呼吸</w:t>
            </w:r>
            <w:r>
              <w:rPr>
                <w:rFonts w:hint="eastAsia"/>
                <w:sz w:val="24"/>
              </w:rPr>
              <w:t>”）</w:t>
            </w:r>
            <w:r>
              <w:rPr>
                <w:sz w:val="24"/>
              </w:rPr>
              <w:t>，卸油油气回收系统主要是针对这一部分逃逸的气体而设计的，其基本原理就是用导管将逃逸的油气重新输送回油罐车里，完成油气循环的卸油过程，回收油气效率约为9</w:t>
            </w:r>
            <w:r>
              <w:rPr>
                <w:rFonts w:hint="eastAsia"/>
                <w:sz w:val="24"/>
              </w:rPr>
              <w:t>0</w:t>
            </w:r>
            <w:r>
              <w:rPr>
                <w:sz w:val="24"/>
              </w:rPr>
              <w:t xml:space="preserve">%。 </w:t>
            </w:r>
          </w:p>
          <w:p>
            <w:pPr>
              <w:spacing w:line="360" w:lineRule="auto"/>
              <w:ind w:firstLine="480" w:firstLineChars="200"/>
              <w:contextualSpacing/>
              <w:rPr>
                <w:rFonts w:hint="eastAsia"/>
                <w:sz w:val="24"/>
              </w:rPr>
            </w:pPr>
            <w:r>
              <w:rPr>
                <w:rFonts w:hint="eastAsia"/>
                <w:sz w:val="24"/>
              </w:rPr>
              <w:t>②</w:t>
            </w:r>
            <w:r>
              <w:rPr>
                <w:sz w:val="24"/>
              </w:rPr>
              <w:t>储油：</w:t>
            </w:r>
            <w:r>
              <w:rPr>
                <w:rFonts w:hint="eastAsia" w:ascii="宋体" w:hAnsi="宋体" w:cs="宋体"/>
                <w:spacing w:val="2"/>
                <w:sz w:val="24"/>
              </w:rPr>
              <w:t>本项目设置</w:t>
            </w:r>
            <w:r>
              <w:rPr>
                <w:rFonts w:hint="eastAsia" w:eastAsia="Times New Roman"/>
                <w:spacing w:val="2"/>
                <w:sz w:val="24"/>
              </w:rPr>
              <w:t>3</w:t>
            </w:r>
            <w:r>
              <w:rPr>
                <w:rFonts w:hint="eastAsia" w:ascii="宋体" w:hAnsi="宋体" w:cs="宋体"/>
                <w:spacing w:val="2"/>
                <w:sz w:val="24"/>
              </w:rPr>
              <w:t>座地埋油罐，其中，</w:t>
            </w:r>
            <w:r>
              <w:rPr>
                <w:rFonts w:eastAsia="Times New Roman"/>
                <w:spacing w:val="2"/>
                <w:sz w:val="24"/>
              </w:rPr>
              <w:t>30m</w:t>
            </w:r>
            <w:r>
              <w:rPr>
                <w:rFonts w:eastAsia="Times New Roman"/>
                <w:spacing w:val="2"/>
                <w:sz w:val="24"/>
                <w:vertAlign w:val="superscript"/>
              </w:rPr>
              <w:t>3</w:t>
            </w:r>
            <w:r>
              <w:rPr>
                <w:rFonts w:hint="eastAsia" w:ascii="宋体" w:hAnsi="宋体" w:cs="宋体"/>
                <w:spacing w:val="2"/>
                <w:sz w:val="24"/>
              </w:rPr>
              <w:t>油罐</w:t>
            </w:r>
            <w:r>
              <w:rPr>
                <w:rFonts w:eastAsia="Times New Roman"/>
                <w:spacing w:val="2"/>
                <w:sz w:val="24"/>
              </w:rPr>
              <w:t>92#</w:t>
            </w:r>
            <w:r>
              <w:rPr>
                <w:rFonts w:hint="eastAsia" w:ascii="宋体" w:hAnsi="宋体" w:cs="宋体"/>
                <w:spacing w:val="2"/>
                <w:sz w:val="24"/>
              </w:rPr>
              <w:t>汽油、</w:t>
            </w:r>
            <w:r>
              <w:rPr>
                <w:rFonts w:hint="eastAsia" w:eastAsia="Times New Roman"/>
                <w:spacing w:val="2"/>
                <w:sz w:val="24"/>
              </w:rPr>
              <w:t>95</w:t>
            </w:r>
            <w:r>
              <w:rPr>
                <w:rFonts w:eastAsia="Times New Roman"/>
                <w:spacing w:val="2"/>
                <w:sz w:val="24"/>
              </w:rPr>
              <w:t>#</w:t>
            </w:r>
            <w:r>
              <w:rPr>
                <w:rFonts w:hint="eastAsia" w:ascii="宋体" w:hAnsi="宋体" w:cs="宋体"/>
                <w:spacing w:val="2"/>
                <w:sz w:val="24"/>
              </w:rPr>
              <w:t>汽油各</w:t>
            </w:r>
            <w:r>
              <w:rPr>
                <w:rFonts w:eastAsia="Times New Roman"/>
                <w:spacing w:val="2"/>
                <w:sz w:val="24"/>
              </w:rPr>
              <w:t xml:space="preserve">1 </w:t>
            </w:r>
            <w:r>
              <w:rPr>
                <w:rFonts w:hint="eastAsia" w:ascii="宋体" w:hAnsi="宋体" w:cs="宋体"/>
                <w:spacing w:val="2"/>
                <w:sz w:val="24"/>
              </w:rPr>
              <w:t>座，</w:t>
            </w:r>
            <w:r>
              <w:rPr>
                <w:rFonts w:hint="eastAsia" w:eastAsia="Times New Roman"/>
                <w:spacing w:val="2"/>
                <w:sz w:val="24"/>
              </w:rPr>
              <w:t>5</w:t>
            </w:r>
            <w:r>
              <w:rPr>
                <w:rFonts w:eastAsia="Times New Roman"/>
                <w:spacing w:val="2"/>
                <w:sz w:val="24"/>
              </w:rPr>
              <w:t>0m</w:t>
            </w:r>
            <w:r>
              <w:rPr>
                <w:rFonts w:eastAsia="Times New Roman"/>
                <w:spacing w:val="2"/>
                <w:sz w:val="24"/>
                <w:vertAlign w:val="superscript"/>
              </w:rPr>
              <w:t>3</w:t>
            </w:r>
            <w:r>
              <w:rPr>
                <w:rFonts w:hint="eastAsia" w:ascii="宋体" w:hAnsi="宋体" w:cs="宋体"/>
                <w:spacing w:val="2"/>
                <w:sz w:val="24"/>
              </w:rPr>
              <w:t>油罐</w:t>
            </w:r>
            <w:r>
              <w:rPr>
                <w:rFonts w:hint="eastAsia" w:eastAsia="Times New Roman"/>
                <w:spacing w:val="2"/>
                <w:sz w:val="24"/>
              </w:rPr>
              <w:t>0</w:t>
            </w:r>
            <w:r>
              <w:rPr>
                <w:rFonts w:eastAsia="Times New Roman"/>
                <w:spacing w:val="2"/>
                <w:sz w:val="24"/>
              </w:rPr>
              <w:t>#</w:t>
            </w:r>
            <w:r>
              <w:rPr>
                <w:rFonts w:hint="eastAsia" w:ascii="宋体" w:hAnsi="宋体" w:cs="宋体"/>
                <w:spacing w:val="2"/>
                <w:sz w:val="24"/>
              </w:rPr>
              <w:t>柴油</w:t>
            </w:r>
            <w:r>
              <w:rPr>
                <w:rFonts w:eastAsia="Times New Roman"/>
                <w:spacing w:val="2"/>
                <w:sz w:val="24"/>
              </w:rPr>
              <w:t>1</w:t>
            </w:r>
            <w:r>
              <w:rPr>
                <w:rFonts w:hint="eastAsia" w:ascii="宋体" w:hAnsi="宋体" w:cs="宋体"/>
                <w:spacing w:val="2"/>
                <w:sz w:val="24"/>
              </w:rPr>
              <w:t>座，油罐区总容积为</w:t>
            </w:r>
            <w:r>
              <w:rPr>
                <w:sz w:val="24"/>
              </w:rPr>
              <w:t>1</w:t>
            </w:r>
            <w:r>
              <w:rPr>
                <w:rFonts w:hint="eastAsia"/>
                <w:sz w:val="24"/>
              </w:rPr>
              <w:t>1</w:t>
            </w:r>
            <w:r>
              <w:rPr>
                <w:sz w:val="24"/>
              </w:rPr>
              <w:t>0m</w:t>
            </w:r>
            <w:r>
              <w:rPr>
                <w:rFonts w:hint="eastAsia"/>
                <w:sz w:val="24"/>
                <w:vertAlign w:val="superscript"/>
              </w:rPr>
              <w:t>3</w:t>
            </w:r>
            <w:r>
              <w:rPr>
                <w:rFonts w:hint="eastAsia"/>
                <w:sz w:val="24"/>
              </w:rPr>
              <w:t>，总储存能力为</w:t>
            </w:r>
            <w:r>
              <w:rPr>
                <w:sz w:val="24"/>
              </w:rPr>
              <w:t xml:space="preserve"> 85m</w:t>
            </w:r>
            <w:r>
              <w:rPr>
                <w:sz w:val="24"/>
                <w:vertAlign w:val="superscript"/>
              </w:rPr>
              <w:t>3</w:t>
            </w:r>
            <w:r>
              <w:rPr>
                <w:rFonts w:hint="eastAsia" w:ascii="宋体" w:hAnsi="宋体" w:cs="宋体"/>
                <w:spacing w:val="2"/>
                <w:sz w:val="24"/>
              </w:rPr>
              <w:t>（柴油折半计）。汽</w:t>
            </w:r>
            <w:r>
              <w:rPr>
                <w:sz w:val="24"/>
              </w:rPr>
              <w:t xml:space="preserve">油、柴油在储存罐中常压储存。储油罐采用地埋卧式双层油罐，采用电子式液位计进行汽油密闭测量，预防溢油事故，并安装二次油气回收装置。在油罐的顶板上安装机械呼吸阀，由压力阀和真空阀组成，当罐内油气压力大于油罐允许压力时，油蒸汽经过压力阀外逸 </w:t>
            </w:r>
            <w:r>
              <w:rPr>
                <w:rFonts w:hint="eastAsia"/>
                <w:sz w:val="24"/>
              </w:rPr>
              <w:t>（</w:t>
            </w:r>
            <w:r>
              <w:rPr>
                <w:sz w:val="24"/>
              </w:rPr>
              <w:t>外逸油蒸汽进入二次油气回收系统</w:t>
            </w:r>
            <w:r>
              <w:rPr>
                <w:rFonts w:hint="eastAsia"/>
                <w:sz w:val="24"/>
              </w:rPr>
              <w:t>）</w:t>
            </w:r>
            <w:r>
              <w:rPr>
                <w:sz w:val="24"/>
              </w:rPr>
              <w:t>，此时真空阀处于关闭状态；当罐内油气压力小于油罐允许的真空度时，新鲜空气通过真空阀进入罐内，此时压力阀处于关闭状态。允许压力靠调节盘的重量来控制。通过调节平衡油罐内外压力，对油罐储油起到安全保护作用。采用储油油气回收系统将埋地油罐随大气压和气温变化产生正压时排放的油气回收至储罐，回收效率约为90%。</w:t>
            </w:r>
          </w:p>
          <w:p>
            <w:pPr>
              <w:spacing w:line="360" w:lineRule="auto"/>
              <w:ind w:firstLine="480" w:firstLineChars="200"/>
              <w:contextualSpacing/>
              <w:rPr>
                <w:rFonts w:hint="eastAsia"/>
                <w:sz w:val="24"/>
              </w:rPr>
            </w:pPr>
            <w:r>
              <w:rPr>
                <w:rFonts w:hint="eastAsia" w:ascii="宋体" w:hAnsi="宋体" w:cs="宋体"/>
                <w:sz w:val="24"/>
              </w:rPr>
              <w:t>③</w:t>
            </w:r>
            <w:r>
              <w:rPr>
                <w:sz w:val="24"/>
              </w:rPr>
              <w:t>加油：加油机选用自动税控计量加油，加油枪为油气回收型加油枪。工作人员根据顾客需要的品种和数量在加油机上预置，确认油品无误，提枪加油，进行油品加注时，加油机本身自带的泵将油品由储油罐吸到加油机内，加油机发油采用自吸式油枪的配套加油工艺，埋地油罐内的油品由加油机自吸泵通过管道输送至加油机向汽车加油，加油完毕后收枪复位。加油过程中产生的油气采用真空辅助方式密闭收集；加油软管配备拉断截止阀防止溢油滴油。加油油气回收系统回收油气效率约为90%。</w:t>
            </w:r>
          </w:p>
          <w:p>
            <w:pPr>
              <w:pStyle w:val="625"/>
              <w:spacing w:line="360" w:lineRule="auto"/>
              <w:ind w:firstLine="482" w:firstLineChars="200"/>
              <w:rPr>
                <w:rFonts w:ascii="Times New Roman" w:hAnsi="Times New Roman" w:cs="Times New Roman"/>
                <w:b/>
                <w:bCs/>
                <w:color w:val="auto"/>
              </w:rPr>
            </w:pPr>
            <w:r>
              <w:rPr>
                <w:rFonts w:ascii="Times New Roman" w:hAnsi="Times New Roman" w:cs="Times New Roman"/>
                <w:b/>
                <w:bCs/>
                <w:color w:val="auto"/>
              </w:rPr>
              <w:t>3</w:t>
            </w:r>
            <w:r>
              <w:rPr>
                <w:rFonts w:hint="eastAsia" w:ascii="Times New Roman" w:hAnsi="Times New Roman" w:cs="Times New Roman"/>
                <w:b/>
                <w:bCs/>
                <w:color w:val="auto"/>
              </w:rPr>
              <w:t>）油气回收系统回收流程</w:t>
            </w:r>
          </w:p>
          <w:p>
            <w:pPr>
              <w:spacing w:line="360" w:lineRule="auto"/>
              <w:ind w:firstLine="480" w:firstLineChars="200"/>
              <w:contextualSpacing/>
              <w:rPr>
                <w:sz w:val="24"/>
              </w:rPr>
            </w:pPr>
            <w:r>
              <w:rPr>
                <w:sz w:val="24"/>
              </w:rPr>
              <w:t>本加油站采用地埋式储油罐，卸油方式为密闭卸油，密闭性较好。为减少加油站卸油、储油过程造成的挥发性油气无组织排放，项目拟采取以密闭收集为基础的油气回收系统，包括卸油</w:t>
            </w:r>
            <w:r>
              <w:rPr>
                <w:rFonts w:hint="eastAsia"/>
                <w:sz w:val="24"/>
              </w:rPr>
              <w:t>（</w:t>
            </w:r>
            <w:r>
              <w:rPr>
                <w:sz w:val="24"/>
              </w:rPr>
              <w:t>一次</w:t>
            </w:r>
            <w:r>
              <w:rPr>
                <w:rFonts w:hint="eastAsia"/>
                <w:sz w:val="24"/>
              </w:rPr>
              <w:t>）</w:t>
            </w:r>
            <w:r>
              <w:rPr>
                <w:sz w:val="24"/>
              </w:rPr>
              <w:t>油气回收系统、分散式加油</w:t>
            </w:r>
            <w:r>
              <w:rPr>
                <w:rFonts w:hint="eastAsia"/>
                <w:sz w:val="24"/>
              </w:rPr>
              <w:t>（</w:t>
            </w:r>
            <w:r>
              <w:rPr>
                <w:sz w:val="24"/>
              </w:rPr>
              <w:t>二次</w:t>
            </w:r>
            <w:r>
              <w:rPr>
                <w:rFonts w:hint="eastAsia"/>
                <w:sz w:val="24"/>
              </w:rPr>
              <w:t>）</w:t>
            </w:r>
            <w:r>
              <w:rPr>
                <w:sz w:val="24"/>
              </w:rPr>
              <w:t>油气回收系统</w:t>
            </w:r>
            <w:r>
              <w:rPr>
                <w:rFonts w:hint="eastAsia"/>
                <w:sz w:val="24"/>
              </w:rPr>
              <w:t>、储油（三次）油气回收系统</w:t>
            </w:r>
            <w:r>
              <w:rPr>
                <w:sz w:val="24"/>
              </w:rPr>
              <w:t>。其中卸油油气回收系统回收效率为9</w:t>
            </w:r>
            <w:r>
              <w:rPr>
                <w:rFonts w:hint="eastAsia"/>
                <w:sz w:val="24"/>
              </w:rPr>
              <w:t>0</w:t>
            </w:r>
            <w:r>
              <w:rPr>
                <w:sz w:val="24"/>
              </w:rPr>
              <w:t>%，加油油气回收系统回收效率为90%</w:t>
            </w:r>
            <w:r>
              <w:rPr>
                <w:rFonts w:hint="eastAsia"/>
                <w:sz w:val="24"/>
              </w:rPr>
              <w:t>，储油油气回收系统回收效率约为90%。</w:t>
            </w:r>
          </w:p>
          <w:p>
            <w:pPr>
              <w:spacing w:line="360" w:lineRule="auto"/>
              <w:ind w:firstLine="480" w:firstLineChars="200"/>
              <w:contextualSpacing/>
              <w:rPr>
                <w:sz w:val="24"/>
              </w:rPr>
            </w:pPr>
            <w:r>
              <w:rPr>
                <w:rFonts w:hint="eastAsia"/>
                <w:sz w:val="24"/>
              </w:rPr>
              <w:t>卸油和分散式加油</w:t>
            </w:r>
            <w:r>
              <w:rPr>
                <w:sz w:val="24"/>
              </w:rPr>
              <w:t xml:space="preserve">油气回收系统采用加压法回收工艺。通过加压将油气组分从气相转换到液相。 </w:t>
            </w:r>
          </w:p>
          <w:p>
            <w:pPr>
              <w:spacing w:line="360" w:lineRule="auto"/>
              <w:ind w:firstLine="480" w:firstLineChars="200"/>
              <w:contextualSpacing/>
              <w:rPr>
                <w:sz w:val="24"/>
              </w:rPr>
            </w:pPr>
            <w:r>
              <w:rPr>
                <w:rFonts w:hint="eastAsia"/>
                <w:sz w:val="24"/>
              </w:rPr>
              <w:t>卸油（一次）油气回收</w:t>
            </w:r>
            <w:r>
              <w:rPr>
                <w:sz w:val="24"/>
              </w:rPr>
              <w:t>：埋地油罐的气相空间与槽车的气相空间通过卸油点的油气回收气相工艺管线及气相软管连通，在卸油过程将汽油储罐中的油气回收到油罐车内。本站在密闭卸油点处设立了油气回收专用接头，当采用卸油油气回收时，通过DN80的导静电耐油软管，将密闭卸油点处的油气回收接头与油罐车上的油气回收管道接口相连，当储油罐内液面上升时，液面之上的油气在压力作用下流入油罐车内。可以达到回收等体积的油气的效果。卸油油气回收示意图如</w:t>
            </w:r>
            <w:r>
              <w:rPr>
                <w:rFonts w:hint="eastAsia"/>
                <w:sz w:val="24"/>
              </w:rPr>
              <w:t>图2-5所示。</w:t>
            </w:r>
          </w:p>
          <w:p>
            <w:pPr>
              <w:spacing w:before="65" w:line="3209" w:lineRule="exact"/>
              <w:ind w:firstLine="98"/>
              <w:textAlignment w:val="center"/>
            </w:pPr>
            <w:r>
              <w:drawing>
                <wp:inline distT="0" distB="0" distL="114300" distR="114300">
                  <wp:extent cx="5367020" cy="2037715"/>
                  <wp:effectExtent l="0" t="0" r="5080" b="635"/>
                  <wp:docPr id="13" name="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 44"/>
                          <pic:cNvPicPr>
                            <a:picLocks noChangeAspect="1"/>
                          </pic:cNvPicPr>
                        </pic:nvPicPr>
                        <pic:blipFill>
                          <a:blip r:embed="rId20"/>
                          <a:stretch>
                            <a:fillRect/>
                          </a:stretch>
                        </pic:blipFill>
                        <pic:spPr>
                          <a:xfrm>
                            <a:off x="0" y="0"/>
                            <a:ext cx="5367020" cy="2037715"/>
                          </a:xfrm>
                          <a:prstGeom prst="rect">
                            <a:avLst/>
                          </a:prstGeom>
                          <a:noFill/>
                          <a:ln>
                            <a:noFill/>
                          </a:ln>
                        </pic:spPr>
                      </pic:pic>
                    </a:graphicData>
                  </a:graphic>
                </wp:inline>
              </w:drawing>
            </w:r>
          </w:p>
          <w:p>
            <w:pPr>
              <w:pStyle w:val="864"/>
              <w:ind w:firstLine="422"/>
              <w:jc w:val="center"/>
              <w:rPr>
                <w:b/>
                <w:bCs/>
                <w:kern w:val="2"/>
                <w:sz w:val="21"/>
                <w:szCs w:val="21"/>
              </w:rPr>
            </w:pPr>
            <w:r>
              <w:rPr>
                <w:b/>
                <w:bCs/>
                <w:kern w:val="2"/>
                <w:sz w:val="21"/>
                <w:szCs w:val="21"/>
              </w:rPr>
              <w:t>图</w:t>
            </w:r>
            <w:r>
              <w:rPr>
                <w:rFonts w:hint="eastAsia"/>
                <w:b/>
                <w:bCs/>
                <w:kern w:val="2"/>
                <w:sz w:val="21"/>
                <w:szCs w:val="21"/>
              </w:rPr>
              <w:t>2-5</w:t>
            </w:r>
            <w:r>
              <w:rPr>
                <w:b/>
                <w:bCs/>
                <w:kern w:val="2"/>
                <w:sz w:val="21"/>
                <w:szCs w:val="21"/>
              </w:rPr>
              <w:t xml:space="preserve"> 卸油油气回收系统示意图</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加油（二次）油气回收：本项目采用分散式加油油气回收系统管线，当采用加油油气回收时使用油气回收型加油枪，并在加油机内安装真空泵。真空泵控制板与加油机脉冲发生器连接，当加油枪加油时，获得脉冲信号，真空泵启动，通过加油枪回收油气。</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所有加油机的油气回收管线进口并联，汇集到加油油气回收总管，加油油气回收总管直接进入最低标号油罐，起到回收加油油气的作用。在启动卸油油气回收及加油油气回收系统时，需将汽油储罐的通气管连通。如启动油气回收系统，不会产生过多油气，选用两根DN50的通气管并联即可满足使用要求。启动油气回收系统时为了防止在卸油过程中串油，需在汽油储罐卸油管线上安装卸油防溢阀。同时为了保证整个系统的密闭性，连通的汽油通气管需设阻火型机械呼吸阀和防雨型阻火器，并对应安装球阀。阻火型机械呼吸阀的球阀为常开状态，当储罐内气压过高时，机械呼吸阀打开，集中排出油气，当储罐内气压过低时，机械呼吸阀打开，空气可进入储罐内。防雨型阻火器下的球阀为常闭状态，当阻火型机械呼吸阀失去作用时，可打开防雨型阻火器下的球阀，防止储罐内气压过高或过低，对储罐造成破坏。加油（二次）油气回收系统示意图如图2-6所示。</w:t>
            </w:r>
          </w:p>
          <w:p>
            <w:pPr>
              <w:pStyle w:val="625"/>
              <w:spacing w:line="360" w:lineRule="auto"/>
              <w:jc w:val="center"/>
              <w:rPr>
                <w:color w:val="auto"/>
              </w:rPr>
            </w:pPr>
            <w:r>
              <w:rPr>
                <w:color w:val="auto"/>
              </w:rPr>
              <w:drawing>
                <wp:inline distT="0" distB="0" distL="114300" distR="114300">
                  <wp:extent cx="4832985" cy="2376805"/>
                  <wp:effectExtent l="0" t="0" r="5715"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4832985" cy="2376805"/>
                          </a:xfrm>
                          <a:prstGeom prst="rect">
                            <a:avLst/>
                          </a:prstGeom>
                          <a:noFill/>
                          <a:ln>
                            <a:noFill/>
                          </a:ln>
                        </pic:spPr>
                      </pic:pic>
                    </a:graphicData>
                  </a:graphic>
                </wp:inline>
              </w:drawing>
            </w:r>
          </w:p>
          <w:p>
            <w:pPr>
              <w:pStyle w:val="864"/>
              <w:ind w:firstLine="422"/>
              <w:jc w:val="center"/>
              <w:rPr>
                <w:b/>
                <w:bCs/>
                <w:kern w:val="2"/>
                <w:sz w:val="21"/>
                <w:szCs w:val="21"/>
              </w:rPr>
            </w:pPr>
            <w:r>
              <w:rPr>
                <w:b/>
                <w:bCs/>
                <w:kern w:val="2"/>
                <w:sz w:val="21"/>
                <w:szCs w:val="21"/>
              </w:rPr>
              <w:t>图</w:t>
            </w:r>
            <w:r>
              <w:rPr>
                <w:rFonts w:hint="eastAsia"/>
                <w:b/>
                <w:bCs/>
                <w:kern w:val="2"/>
                <w:sz w:val="21"/>
                <w:szCs w:val="21"/>
              </w:rPr>
              <w:t>2-6</w:t>
            </w:r>
            <w:r>
              <w:rPr>
                <w:b/>
                <w:bCs/>
                <w:kern w:val="2"/>
                <w:sz w:val="21"/>
                <w:szCs w:val="21"/>
              </w:rPr>
              <w:t xml:space="preserve"> </w:t>
            </w:r>
            <w:r>
              <w:rPr>
                <w:rFonts w:hint="eastAsia"/>
                <w:b/>
                <w:bCs/>
                <w:kern w:val="2"/>
                <w:sz w:val="21"/>
                <w:szCs w:val="21"/>
              </w:rPr>
              <w:t>加</w:t>
            </w:r>
            <w:r>
              <w:rPr>
                <w:b/>
                <w:bCs/>
                <w:kern w:val="2"/>
                <w:sz w:val="21"/>
                <w:szCs w:val="21"/>
              </w:rPr>
              <w:t>油油气回收系统示意图</w:t>
            </w:r>
          </w:p>
          <w:p>
            <w:pPr>
              <w:pStyle w:val="625"/>
              <w:spacing w:line="360" w:lineRule="auto"/>
              <w:ind w:firstLine="480" w:firstLineChars="200"/>
              <w:rPr>
                <w:color w:val="auto"/>
              </w:rPr>
            </w:pPr>
            <w:r>
              <w:rPr>
                <w:rFonts w:hint="eastAsia"/>
                <w:color w:val="auto"/>
              </w:rPr>
              <w:t>储油（三次）油气回收系统：加油站油气回收系统部分排放的油气和埋地油罐部分排放的油气，通过阻火器进入三次油气回收设备，经超低温板式换热器进行冷却，将80%气体冷凝成液体，经出油口返回油罐，其他气体经管道进入活性炭罐进行二次吸附，经活性炭过滤出后的合格气体，通过外排管道排出。</w:t>
            </w:r>
          </w:p>
          <w:p>
            <w:pPr>
              <w:pStyle w:val="625"/>
              <w:spacing w:line="360" w:lineRule="auto"/>
              <w:ind w:firstLine="480" w:firstLineChars="200"/>
              <w:rPr>
                <w:color w:val="auto"/>
              </w:rPr>
            </w:pPr>
            <w:r>
              <w:rPr>
                <w:rFonts w:hint="eastAsia"/>
                <w:color w:val="auto"/>
              </w:rPr>
              <w:t>当活性炭吸附饱和后，通过大功率真空泵抽真空，将高浓度油气抽回进气管道，再进行二次冷凝。活性炭管由A、B两个切换运行，保证设备不间断运行。储油（三次）油气回收系统示意图如图2-7所示。</w:t>
            </w:r>
          </w:p>
          <w:p>
            <w:pPr>
              <w:jc w:val="center"/>
              <w:rPr>
                <w:rFonts w:hint="eastAsia"/>
              </w:rPr>
            </w:pPr>
            <w:r>
              <w:drawing>
                <wp:inline distT="0" distB="0" distL="114300" distR="114300">
                  <wp:extent cx="4048125" cy="3155315"/>
                  <wp:effectExtent l="0" t="0" r="9525"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rcRect r="932" b="-485"/>
                          <a:stretch>
                            <a:fillRect/>
                          </a:stretch>
                        </pic:blipFill>
                        <pic:spPr>
                          <a:xfrm>
                            <a:off x="0" y="0"/>
                            <a:ext cx="4048125" cy="3155315"/>
                          </a:xfrm>
                          <a:prstGeom prst="rect">
                            <a:avLst/>
                          </a:prstGeom>
                          <a:noFill/>
                          <a:ln>
                            <a:noFill/>
                          </a:ln>
                        </pic:spPr>
                      </pic:pic>
                    </a:graphicData>
                  </a:graphic>
                </wp:inline>
              </w:drawing>
            </w:r>
          </w:p>
          <w:p>
            <w:pPr>
              <w:pStyle w:val="864"/>
              <w:ind w:firstLine="422"/>
              <w:jc w:val="center"/>
              <w:rPr>
                <w:b/>
                <w:bCs/>
                <w:kern w:val="2"/>
                <w:sz w:val="21"/>
                <w:szCs w:val="21"/>
              </w:rPr>
            </w:pPr>
            <w:r>
              <w:rPr>
                <w:b/>
                <w:bCs/>
                <w:kern w:val="2"/>
                <w:sz w:val="21"/>
                <w:szCs w:val="21"/>
              </w:rPr>
              <w:t>图</w:t>
            </w:r>
            <w:r>
              <w:rPr>
                <w:rFonts w:hint="eastAsia"/>
                <w:b/>
                <w:bCs/>
                <w:kern w:val="2"/>
                <w:sz w:val="21"/>
                <w:szCs w:val="21"/>
              </w:rPr>
              <w:t>2-7</w:t>
            </w:r>
            <w:r>
              <w:rPr>
                <w:b/>
                <w:bCs/>
                <w:kern w:val="2"/>
                <w:sz w:val="21"/>
                <w:szCs w:val="21"/>
              </w:rPr>
              <w:t xml:space="preserve"> </w:t>
            </w:r>
            <w:r>
              <w:rPr>
                <w:rFonts w:hint="eastAsia"/>
                <w:b/>
                <w:bCs/>
                <w:kern w:val="2"/>
                <w:sz w:val="21"/>
                <w:szCs w:val="21"/>
              </w:rPr>
              <w:t>储</w:t>
            </w:r>
            <w:r>
              <w:rPr>
                <w:b/>
                <w:bCs/>
                <w:kern w:val="2"/>
                <w:sz w:val="21"/>
                <w:szCs w:val="21"/>
              </w:rPr>
              <w:t>油气回收系统示意图</w:t>
            </w:r>
          </w:p>
          <w:p>
            <w:pPr>
              <w:pStyle w:val="625"/>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rPr>
              <w:t>（3）</w:t>
            </w:r>
            <w:r>
              <w:rPr>
                <w:rFonts w:ascii="Times New Roman" w:hAnsi="Times New Roman" w:cs="Times New Roman"/>
                <w:b/>
                <w:bCs/>
                <w:color w:val="auto"/>
              </w:rPr>
              <w:t>加</w:t>
            </w:r>
            <w:r>
              <w:rPr>
                <w:rFonts w:hint="eastAsia" w:ascii="Times New Roman" w:hAnsi="Times New Roman" w:cs="Times New Roman"/>
                <w:b/>
                <w:bCs/>
                <w:color w:val="auto"/>
              </w:rPr>
              <w:t>气</w:t>
            </w:r>
            <w:r>
              <w:rPr>
                <w:rFonts w:ascii="Times New Roman" w:hAnsi="Times New Roman" w:cs="Times New Roman"/>
                <w:b/>
                <w:bCs/>
                <w:color w:val="auto"/>
              </w:rPr>
              <w:t>工序工艺流程</w:t>
            </w:r>
          </w:p>
          <w:p>
            <w:pPr>
              <w:pStyle w:val="625"/>
              <w:spacing w:line="360" w:lineRule="auto"/>
              <w:ind w:firstLine="482" w:firstLineChars="200"/>
              <w:rPr>
                <w:rFonts w:hint="eastAsia" w:ascii="Times New Roman" w:hAnsi="Times New Roman" w:cs="Times New Roman"/>
                <w:b/>
                <w:bCs/>
                <w:color w:val="auto"/>
              </w:rPr>
            </w:pPr>
            <w:r>
              <w:rPr>
                <w:rFonts w:hint="eastAsia" w:ascii="Times New Roman" w:hAnsi="Times New Roman" w:cs="Times New Roman"/>
                <w:b/>
                <w:bCs/>
                <w:color w:val="auto"/>
              </w:rPr>
              <w:t>1）工艺流程</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加气部分运营期工艺流程分五个步骤：LNG 槽车进站、LNG卸车及储存、LNG高压气化及LNG暂存、LNG加注，此外还包括检修及安全防控的泄压操作。</w:t>
            </w:r>
            <w:r>
              <w:rPr>
                <w:rFonts w:hint="eastAsia" w:ascii="Times New Roman" w:hAnsi="Times New Roman" w:cs="Times New Roman"/>
                <w:color w:val="auto"/>
              </w:rPr>
              <w:t>其工艺流程及产污环节见图2-8。</w:t>
            </w:r>
          </w:p>
          <w:p>
            <w:pPr>
              <w:jc w:val="center"/>
              <w:rPr>
                <w:rFonts w:hint="eastAsia"/>
              </w:rPr>
            </w:pPr>
            <w:r>
              <w:object>
                <v:shape id="_x0000_i1028" o:spt="75" type="#_x0000_t75" style="height:230.65pt;width:261.55pt;" o:ole="t" filled="f" stroked="f" coordsize="21600,21600">
                  <v:path/>
                  <v:fill on="f" focussize="0,0"/>
                  <v:stroke on="f"/>
                  <v:imagedata r:id="rId24" o:title=""/>
                  <o:lock v:ext="edit" aspectratio="t"/>
                  <w10:wrap type="none"/>
                  <w10:anchorlock/>
                </v:shape>
                <o:OLEObject Type="Embed" ProgID="Visio.Drawing.15" ShapeID="_x0000_i1028" DrawAspect="Content" ObjectID="_1468075728" r:id="rId23">
                  <o:LockedField>false</o:LockedField>
                </o:OLEObject>
              </w:object>
            </w:r>
          </w:p>
          <w:p>
            <w:pPr>
              <w:pStyle w:val="864"/>
              <w:ind w:firstLine="422"/>
              <w:jc w:val="center"/>
              <w:rPr>
                <w:b/>
                <w:bCs/>
                <w:kern w:val="2"/>
                <w:sz w:val="21"/>
                <w:szCs w:val="21"/>
              </w:rPr>
            </w:pPr>
            <w:r>
              <w:rPr>
                <w:b/>
                <w:bCs/>
                <w:kern w:val="2"/>
                <w:sz w:val="21"/>
                <w:szCs w:val="21"/>
              </w:rPr>
              <w:t>图</w:t>
            </w:r>
            <w:r>
              <w:rPr>
                <w:rFonts w:hint="eastAsia"/>
                <w:b/>
                <w:bCs/>
                <w:kern w:val="2"/>
                <w:sz w:val="21"/>
                <w:szCs w:val="21"/>
              </w:rPr>
              <w:t>2-8</w:t>
            </w:r>
            <w:r>
              <w:rPr>
                <w:b/>
                <w:bCs/>
                <w:kern w:val="2"/>
                <w:sz w:val="21"/>
                <w:szCs w:val="21"/>
              </w:rPr>
              <w:t xml:space="preserve"> 项目营运期加</w:t>
            </w:r>
            <w:r>
              <w:rPr>
                <w:rFonts w:hint="eastAsia"/>
                <w:b/>
                <w:bCs/>
                <w:kern w:val="2"/>
                <w:sz w:val="21"/>
                <w:szCs w:val="21"/>
              </w:rPr>
              <w:t>气</w:t>
            </w:r>
            <w:r>
              <w:rPr>
                <w:b/>
                <w:bCs/>
                <w:kern w:val="2"/>
                <w:sz w:val="21"/>
                <w:szCs w:val="21"/>
              </w:rPr>
              <w:t>工艺流程和产污环节图</w:t>
            </w:r>
          </w:p>
          <w:p>
            <w:pPr>
              <w:spacing w:line="360" w:lineRule="auto"/>
              <w:ind w:left="108" w:right="34" w:firstLine="482"/>
              <w:rPr>
                <w:b/>
                <w:bCs/>
                <w:sz w:val="24"/>
              </w:rPr>
            </w:pPr>
            <w:r>
              <w:rPr>
                <w:rFonts w:hint="eastAsia"/>
                <w:b/>
                <w:bCs/>
                <w:sz w:val="24"/>
              </w:rPr>
              <w:t>2）工艺流程简述：</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液化天然气槽车进站后，与站内的进罐LNG管线、槽车气相管线及增压器 的LNG管线相连接，开启槽车储罐增压器，将进入增压器内的LNG气化后送回槽车上部，使得LNG槽车上的压力升高，形成槽车与储罐之间的压差，将LNG压入 LNG储罐内。卸车结束后，槽车中的气相天然气由槽车拉回LNG生产厂进行回收。</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加注LNG时，开启低温潜液泵，将LNG从储罐输送到LNG加气机</w:t>
            </w:r>
            <w:r>
              <w:rPr>
                <w:rFonts w:hint="eastAsia" w:ascii="Times New Roman" w:hAnsi="Times New Roman" w:cs="Times New Roman"/>
                <w:color w:val="auto"/>
              </w:rPr>
              <w:t>，</w:t>
            </w:r>
            <w:r>
              <w:rPr>
                <w:rFonts w:ascii="Times New Roman" w:hAnsi="Times New Roman" w:cs="Times New Roman"/>
                <w:color w:val="auto"/>
              </w:rPr>
              <w:t>给LNG燃料车充装。当储罐压力过低时，打开储罐增压泵，气化后的气体输送到储罐气相部分，升高 LNG罐内压力。考虑到检修和储罐非正常工作压力时能够卸压，储罐设有安全阀在线监测超压放散。安全放空的低压气化天然气经过低压EAG加热器加热气化后，经站内</w:t>
            </w:r>
            <w:r>
              <w:rPr>
                <w:rFonts w:hint="eastAsia" w:ascii="Times New Roman" w:hAnsi="Times New Roman" w:cs="Times New Roman"/>
                <w:color w:val="auto"/>
              </w:rPr>
              <w:t>6</w:t>
            </w:r>
            <w:r>
              <w:rPr>
                <w:rFonts w:ascii="Times New Roman" w:hAnsi="Times New Roman" w:cs="Times New Roman"/>
                <w:color w:val="auto"/>
              </w:rPr>
              <w:t>m低压放散管高点排入大气。</w:t>
            </w:r>
          </w:p>
          <w:p>
            <w:pPr>
              <w:pStyle w:val="625"/>
              <w:numPr>
                <w:ilvl w:val="0"/>
                <w:numId w:val="9"/>
              </w:numPr>
              <w:spacing w:line="360" w:lineRule="auto"/>
              <w:rPr>
                <w:rFonts w:ascii="Times New Roman" w:hAnsi="Times New Roman" w:cs="Times New Roman"/>
                <w:color w:val="auto"/>
              </w:rPr>
            </w:pPr>
            <w:r>
              <w:rPr>
                <w:rFonts w:ascii="Times New Roman" w:hAnsi="Times New Roman" w:cs="Times New Roman"/>
                <w:color w:val="auto"/>
              </w:rPr>
              <w:t>卸车工序</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液化天然气槽车进站后，与站内的进罐LNG管线、槽车气相管线及增压器的 LNG管线相连接，开启槽车储罐增压器，将进入增压器内的LNG气化后送回槽车上部，使得LNG槽车上的压力升高，形成槽车与储罐之间的压差</w:t>
            </w:r>
            <w:r>
              <w:rPr>
                <w:rFonts w:hint="eastAsia" w:ascii="Times New Roman" w:hAnsi="Times New Roman" w:cs="Times New Roman"/>
                <w:color w:val="auto"/>
              </w:rPr>
              <w:t>（</w:t>
            </w:r>
            <w:r>
              <w:rPr>
                <w:rFonts w:ascii="Times New Roman" w:hAnsi="Times New Roman" w:cs="Times New Roman"/>
                <w:color w:val="auto"/>
              </w:rPr>
              <w:t>压差</w:t>
            </w:r>
            <w:r>
              <w:rPr>
                <w:rFonts w:hint="eastAsia" w:ascii="Times New Roman" w:hAnsi="Times New Roman" w:cs="Times New Roman"/>
                <w:color w:val="auto"/>
              </w:rPr>
              <w:t>0.1</w:t>
            </w:r>
            <w:r>
              <w:rPr>
                <w:rFonts w:ascii="Times New Roman" w:hAnsi="Times New Roman" w:cs="Times New Roman"/>
                <w:color w:val="auto"/>
              </w:rPr>
              <w:t>MPa以上</w:t>
            </w:r>
            <w:r>
              <w:rPr>
                <w:rFonts w:hint="eastAsia" w:ascii="Times New Roman" w:hAnsi="Times New Roman" w:cs="Times New Roman"/>
                <w:color w:val="auto"/>
              </w:rPr>
              <w:t>）</w:t>
            </w:r>
            <w:r>
              <w:rPr>
                <w:rFonts w:ascii="Times New Roman" w:hAnsi="Times New Roman" w:cs="Times New Roman"/>
                <w:color w:val="auto"/>
              </w:rPr>
              <w:t>，将LNG压入LNG储罐内。卸车结束后，槽车中的气相天然气由槽车拉回 LNG生产厂进行回收。</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该工序污染源主要为设备运行噪声、槽车中的气相天然气及接头处逸出的微 量天然气。</w:t>
            </w:r>
          </w:p>
          <w:p>
            <w:pPr>
              <w:pStyle w:val="625"/>
              <w:numPr>
                <w:ilvl w:val="0"/>
                <w:numId w:val="9"/>
              </w:numPr>
              <w:spacing w:line="360" w:lineRule="auto"/>
              <w:rPr>
                <w:rFonts w:ascii="Times New Roman" w:hAnsi="Times New Roman" w:cs="Times New Roman"/>
                <w:color w:val="auto"/>
              </w:rPr>
            </w:pPr>
            <w:r>
              <w:rPr>
                <w:rFonts w:ascii="Times New Roman" w:hAnsi="Times New Roman" w:cs="Times New Roman"/>
                <w:color w:val="auto"/>
              </w:rPr>
              <w:t>调压工序</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考虑到储罐非正常工作压力及检修时，需要对储罐进行升压及卸压调节。流 程中各压力段设有安全阀在线监测压力。安全放空的低压气化天然气经过低压EAG加热器加热气化后，经站内</w:t>
            </w:r>
            <w:r>
              <w:rPr>
                <w:rFonts w:hint="eastAsia" w:ascii="Times New Roman" w:hAnsi="Times New Roman" w:cs="Times New Roman"/>
                <w:color w:val="auto"/>
              </w:rPr>
              <w:t>6</w:t>
            </w:r>
            <w:r>
              <w:rPr>
                <w:rFonts w:ascii="Times New Roman" w:hAnsi="Times New Roman" w:cs="Times New Roman"/>
                <w:color w:val="auto"/>
              </w:rPr>
              <w:t>m</w:t>
            </w:r>
            <w:r>
              <w:rPr>
                <w:rFonts w:hint="eastAsia" w:ascii="Times New Roman" w:hAnsi="Times New Roman" w:cs="Times New Roman"/>
                <w:color w:val="auto"/>
              </w:rPr>
              <w:t>高</w:t>
            </w:r>
            <w:r>
              <w:rPr>
                <w:rFonts w:ascii="Times New Roman" w:hAnsi="Times New Roman" w:cs="Times New Roman"/>
                <w:color w:val="auto"/>
              </w:rPr>
              <w:t>低压放散管排入大气。</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在LNG正常储存过程中，会因储罐保温层的漏热使得储罐内微量的LNG受 热气化，这部分气体称之为BOG，BOG气体由于体积比LNG体积大而使得储罐的压力增加。一般情况下，加气站正常运行过程中，储罐内压力会随着储罐内LNG  液体的减少而降低，但当加气站加注量较少时，储罐内的压力因BOG的作用而升高。LNG储罐正常的工作压力为1MPa~1.44MPa，当由于上述原因造成储罐压力低于或者高于正常工作压力时，为保障LNG储罐的正常压力，需对储罐进行调压。</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A、升压流程</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当储罐压力过低时，打开槽车储罐增压器，气化后的气体输送到储罐气相部分，升高LNG 罐内压力。</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B、卸压流程</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当外界气温过高或储罐内BOG气体过多或检修时，需排除储罐内部分或全 部BOG气体，安全阀排放出的这部分气体称之为EAG 。这部分气体经过低压 EAG加热器加热气化后，经站内</w:t>
            </w:r>
            <w:r>
              <w:rPr>
                <w:rFonts w:hint="eastAsia" w:ascii="Times New Roman" w:hAnsi="Times New Roman" w:cs="Times New Roman"/>
                <w:color w:val="auto"/>
              </w:rPr>
              <w:t>6m高</w:t>
            </w:r>
            <w:r>
              <w:rPr>
                <w:rFonts w:ascii="Times New Roman" w:hAnsi="Times New Roman" w:cs="Times New Roman"/>
                <w:color w:val="auto"/>
              </w:rPr>
              <w:t>低压放散管排入大气。</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该工序污染源主要为储罐卸压过程中放空的少量天然气及设备运行噪声。</w:t>
            </w:r>
          </w:p>
          <w:p>
            <w:pPr>
              <w:pStyle w:val="625"/>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③</w:t>
            </w:r>
            <w:r>
              <w:rPr>
                <w:rFonts w:ascii="Times New Roman" w:hAnsi="Times New Roman" w:cs="Times New Roman"/>
                <w:color w:val="auto"/>
              </w:rPr>
              <w:t>加气工艺</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储罐中的饱和LNG加压计量后通过加气机给车辆加注LNG，加注的LNG压力</w:t>
            </w:r>
            <w:r>
              <w:rPr>
                <w:rFonts w:hint="eastAsia" w:ascii="Times New Roman" w:hAnsi="Times New Roman" w:cs="Times New Roman"/>
                <w:color w:val="auto"/>
              </w:rPr>
              <w:t>≦</w:t>
            </w:r>
            <w:r>
              <w:rPr>
                <w:rFonts w:ascii="Times New Roman" w:hAnsi="Times New Roman" w:cs="Times New Roman"/>
                <w:color w:val="auto"/>
              </w:rPr>
              <w:t>1.6MPa。在给车辆加注时，先将加注、回气管路通过专用的LNG加液、回气软管与车辆上的车载气瓶进液、回气接口相连接，通过回气口回收车载瓶中余气以降低车载储瓶内的压力，低温储罐内的LNG通过低温潜液泵输送，手动操作加气机枪以控制潜液泵的运转，最终实现加注作业。</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LNG在加注过程中，会有相关管阀接驳口产生少量的天然气无组织排放。</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该工序污染源主要为加注过程中产生的天然气无组织废气及设备运行、设备 噪声。</w:t>
            </w:r>
          </w:p>
          <w:p>
            <w:pPr>
              <w:pStyle w:val="625"/>
              <w:spacing w:line="360" w:lineRule="auto"/>
              <w:rPr>
                <w:rFonts w:hint="eastAsia" w:ascii="Times New Roman" w:hAnsi="Times New Roman" w:cs="Times New Roman"/>
                <w:color w:val="auto"/>
              </w:rPr>
            </w:pPr>
            <w:r>
              <w:rPr>
                <w:rFonts w:ascii="Times New Roman" w:hAnsi="Times New Roman" w:cs="Times New Roman"/>
                <w:color w:val="auto"/>
              </w:rPr>
              <w:t>（二）</w:t>
            </w:r>
            <w:r>
              <w:rPr>
                <w:rFonts w:ascii="Times New Roman" w:hAnsi="Times New Roman" w:cs="Times New Roman"/>
                <w:b/>
                <w:bCs/>
                <w:color w:val="auto"/>
              </w:rPr>
              <w:t>本项目营运期主要产污工序：</w:t>
            </w:r>
          </w:p>
          <w:p>
            <w:pPr>
              <w:pStyle w:val="625"/>
              <w:spacing w:line="360" w:lineRule="auto"/>
              <w:ind w:firstLine="480" w:firstLineChars="200"/>
              <w:rPr>
                <w:rFonts w:ascii="Times New Roman" w:hAnsi="Times New Roman" w:cs="Times New Roman"/>
                <w:color w:val="auto"/>
              </w:rPr>
            </w:pPr>
            <w:r>
              <w:rPr>
                <w:rFonts w:ascii="Times New Roman" w:hAnsi="Times New Roman" w:cs="Times New Roman"/>
                <w:color w:val="auto"/>
              </w:rPr>
              <w:t>本项目运营期主要工艺为运输、装卸、储存、输送及计量销售汽油</w:t>
            </w:r>
            <w:r>
              <w:rPr>
                <w:rFonts w:hint="eastAsia" w:ascii="Times New Roman" w:hAnsi="Times New Roman" w:cs="Times New Roman"/>
                <w:color w:val="auto"/>
              </w:rPr>
              <w:t>、</w:t>
            </w:r>
            <w:r>
              <w:rPr>
                <w:rFonts w:ascii="Times New Roman" w:hAnsi="Times New Roman" w:cs="Times New Roman"/>
                <w:color w:val="auto"/>
              </w:rPr>
              <w:t>柴油</w:t>
            </w:r>
            <w:r>
              <w:rPr>
                <w:rFonts w:hint="eastAsia" w:ascii="Times New Roman" w:hAnsi="Times New Roman" w:cs="Times New Roman"/>
                <w:color w:val="auto"/>
              </w:rPr>
              <w:t>和液化天然气LNG</w:t>
            </w:r>
            <w:r>
              <w:rPr>
                <w:rFonts w:ascii="Times New Roman" w:hAnsi="Times New Roman" w:cs="Times New Roman"/>
                <w:color w:val="auto"/>
              </w:rPr>
              <w:t>，主要产生的污染物有废气、废水、噪声</w:t>
            </w:r>
            <w:r>
              <w:rPr>
                <w:rFonts w:hint="eastAsia" w:ascii="Times New Roman" w:hAnsi="Times New Roman" w:cs="Times New Roman"/>
                <w:color w:val="auto"/>
              </w:rPr>
              <w:t>及</w:t>
            </w:r>
            <w:r>
              <w:rPr>
                <w:rFonts w:ascii="Times New Roman" w:hAnsi="Times New Roman" w:cs="Times New Roman"/>
                <w:color w:val="auto"/>
              </w:rPr>
              <w:t>固废等。</w:t>
            </w:r>
          </w:p>
          <w:p>
            <w:pPr>
              <w:pStyle w:val="625"/>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废水：主要为</w:t>
            </w:r>
            <w:r>
              <w:rPr>
                <w:rFonts w:hint="eastAsia" w:ascii="Times New Roman" w:hAnsi="Times New Roman" w:cs="Times New Roman"/>
                <w:color w:val="auto"/>
              </w:rPr>
              <w:t>洗车区洗车废水、地面冲洗废水、</w:t>
            </w:r>
            <w:r>
              <w:rPr>
                <w:rFonts w:ascii="Times New Roman" w:hAnsi="Times New Roman" w:cs="Times New Roman"/>
                <w:color w:val="auto"/>
              </w:rPr>
              <w:t>加油加气站员工及司乘人员产生的生活污水</w:t>
            </w:r>
            <w:r>
              <w:rPr>
                <w:rFonts w:hint="eastAsia" w:ascii="Times New Roman" w:hAnsi="Times New Roman" w:cs="Times New Roman"/>
                <w:color w:val="auto"/>
              </w:rPr>
              <w:t>和</w:t>
            </w:r>
            <w:r>
              <w:rPr>
                <w:rFonts w:ascii="Times New Roman" w:hAnsi="Times New Roman" w:cs="Times New Roman"/>
                <w:color w:val="auto"/>
              </w:rPr>
              <w:t>初期雨水；</w:t>
            </w:r>
          </w:p>
          <w:p>
            <w:pPr>
              <w:pStyle w:val="625"/>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废气：主要为卸油、加油等过程中可能逸漏少量有机气体</w:t>
            </w:r>
            <w:r>
              <w:rPr>
                <w:rFonts w:hint="eastAsia" w:ascii="Times New Roman" w:hAnsi="Times New Roman" w:cs="Times New Roman"/>
                <w:color w:val="auto"/>
              </w:rPr>
              <w:t>（</w:t>
            </w:r>
            <w:r>
              <w:rPr>
                <w:rFonts w:ascii="Times New Roman" w:hAnsi="Times New Roman" w:cs="Times New Roman"/>
                <w:color w:val="auto"/>
              </w:rPr>
              <w:t>非甲烷总 烃</w:t>
            </w:r>
            <w:r>
              <w:rPr>
                <w:rFonts w:hint="eastAsia" w:ascii="Times New Roman" w:hAnsi="Times New Roman" w:cs="Times New Roman"/>
                <w:color w:val="auto"/>
              </w:rPr>
              <w:t>）</w:t>
            </w:r>
            <w:r>
              <w:rPr>
                <w:rFonts w:ascii="Times New Roman" w:hAnsi="Times New Roman" w:cs="Times New Roman"/>
                <w:color w:val="auto"/>
              </w:rPr>
              <w:t>、卸车、加气、卸压等过程泄漏和放散的天然气、外来车辆产生的机动车尾 气、柴油发电机废气；</w:t>
            </w:r>
          </w:p>
          <w:p>
            <w:pPr>
              <w:pStyle w:val="625"/>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噪声：主要为加气机、加油机、潜油泵、备用柴油发电机、增压器、潜液泵等产生的设备噪声、进出车辆噪声；</w:t>
            </w:r>
          </w:p>
          <w:p>
            <w:pPr>
              <w:pStyle w:val="625"/>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固体废弃物：主要为预处理池及隔油池污泥、隔油池废油、储油罐清罐废水及废渣、沾油废物</w:t>
            </w:r>
            <w:r>
              <w:rPr>
                <w:rFonts w:hint="eastAsia" w:ascii="Times New Roman" w:hAnsi="Times New Roman" w:cs="Times New Roman"/>
                <w:color w:val="auto"/>
              </w:rPr>
              <w:t>（</w:t>
            </w:r>
            <w:r>
              <w:rPr>
                <w:rFonts w:ascii="Times New Roman" w:hAnsi="Times New Roman" w:cs="Times New Roman"/>
                <w:color w:val="auto"/>
              </w:rPr>
              <w:t>含油废砂和含油擦拭物</w:t>
            </w:r>
            <w:r>
              <w:rPr>
                <w:rFonts w:hint="eastAsia" w:ascii="Times New Roman" w:hAnsi="Times New Roman" w:cs="Times New Roman"/>
                <w:color w:val="auto"/>
              </w:rPr>
              <w:t>）和</w:t>
            </w:r>
            <w:r>
              <w:rPr>
                <w:rFonts w:ascii="Times New Roman" w:hAnsi="Times New Roman" w:cs="Times New Roman"/>
                <w:color w:val="auto"/>
              </w:rPr>
              <w:t>员工产生的生活垃圾。</w:t>
            </w:r>
          </w:p>
          <w:p>
            <w:pPr>
              <w:pStyle w:val="625"/>
              <w:spacing w:line="360" w:lineRule="auto"/>
              <w:ind w:firstLine="480" w:firstLineChars="200"/>
              <w:rPr>
                <w:rFonts w:hint="eastAsia"/>
                <w:color w:val="auto"/>
              </w:rPr>
            </w:pPr>
            <w:r>
              <w:rPr>
                <w:rFonts w:ascii="Times New Roman" w:hAnsi="Times New Roman" w:cs="Times New Roman"/>
                <w:color w:val="auto"/>
              </w:rPr>
              <w:t>通过工程分析，营运期评价重点是废水、噪声、废气、固体废弃物，同时存 在突发性污染事故的潜在环境风险。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442" w:type="dxa"/>
            <w:noWrap w:val="0"/>
            <w:vAlign w:val="center"/>
          </w:tcPr>
          <w:p>
            <w:pPr>
              <w:pStyle w:val="65"/>
              <w:adjustRightInd w:val="0"/>
              <w:snapToGrid w:val="0"/>
              <w:spacing w:before="0" w:beforeAutospacing="0" w:after="0" w:afterAutospacing="0"/>
              <w:jc w:val="center"/>
              <w:rPr>
                <w:rFonts w:ascii="Times New Roman" w:hAnsi="Times New Roman"/>
                <w:b/>
                <w:szCs w:val="24"/>
              </w:rPr>
            </w:pPr>
            <w:r>
              <w:rPr>
                <w:rFonts w:ascii="Times New Roman" w:hAnsi="Times New Roman"/>
                <w:b/>
                <w:kern w:val="2"/>
                <w:szCs w:val="24"/>
              </w:rPr>
              <w:t>与项目有关的原有环境污染问题</w:t>
            </w:r>
          </w:p>
        </w:tc>
        <w:tc>
          <w:tcPr>
            <w:tcW w:w="8618" w:type="dxa"/>
            <w:noWrap w:val="0"/>
            <w:vAlign w:val="center"/>
          </w:tcPr>
          <w:p>
            <w:pPr>
              <w:pStyle w:val="625"/>
              <w:spacing w:line="360" w:lineRule="auto"/>
              <w:ind w:firstLine="480" w:firstLineChars="200"/>
              <w:rPr>
                <w:rFonts w:hint="eastAsia"/>
                <w:color w:val="auto"/>
              </w:rPr>
            </w:pPr>
            <w:r>
              <w:rPr>
                <w:rFonts w:hint="eastAsia" w:ascii="Times New Roman" w:hAnsi="Times New Roman" w:cs="Times New Roman"/>
                <w:color w:val="auto"/>
              </w:rPr>
              <w:t>本项目为新建项目，不存在与本项目有关的</w:t>
            </w:r>
            <w:r>
              <w:rPr>
                <w:rFonts w:ascii="Times New Roman" w:hAnsi="Times New Roman" w:cs="Times New Roman"/>
                <w:color w:val="auto"/>
              </w:rPr>
              <w:t>原有污染问题。</w:t>
            </w:r>
            <w:r>
              <w:rPr>
                <w:rFonts w:hint="eastAsia" w:ascii="Times New Roman" w:hAnsi="Times New Roman" w:cs="Times New Roman"/>
                <w:color w:val="auto"/>
              </w:rPr>
              <w:t>根据现场调查，本项目选址范围原为临时拌合站用地，目前拌合站设施已完成拆除，地面遗留有部分建筑垃圾尚未清理。本次工程施工前首先将遗留的建筑垃圾清运至市政建筑垃圾填埋场处置。</w:t>
            </w:r>
          </w:p>
        </w:tc>
      </w:tr>
    </w:tbl>
    <w:p>
      <w:pPr>
        <w:pStyle w:val="65"/>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65"/>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三、区域环境质量现状、环境保护目标及评价标准</w:t>
      </w:r>
    </w:p>
    <w:tbl>
      <w:tblPr>
        <w:tblStyle w:val="7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390" w:type="dxa"/>
            <w:noWrap w:val="0"/>
            <w:vAlign w:val="center"/>
          </w:tcPr>
          <w:p>
            <w:pPr>
              <w:adjustRightInd w:val="0"/>
              <w:snapToGrid w:val="0"/>
              <w:jc w:val="center"/>
              <w:rPr>
                <w:b/>
                <w:bCs/>
                <w:kern w:val="0"/>
                <w:sz w:val="24"/>
              </w:rPr>
            </w:pPr>
            <w:r>
              <w:rPr>
                <w:b/>
                <w:bCs/>
                <w:kern w:val="0"/>
                <w:sz w:val="24"/>
              </w:rPr>
              <w:t>区域环境质量现状</w:t>
            </w:r>
          </w:p>
        </w:tc>
        <w:tc>
          <w:tcPr>
            <w:tcW w:w="8671" w:type="dxa"/>
            <w:noWrap w:val="0"/>
            <w:vAlign w:val="center"/>
          </w:tcPr>
          <w:p>
            <w:pPr>
              <w:spacing w:line="360" w:lineRule="auto"/>
              <w:rPr>
                <w:b/>
                <w:bCs/>
                <w:sz w:val="28"/>
                <w:szCs w:val="28"/>
              </w:rPr>
            </w:pPr>
            <w:r>
              <w:rPr>
                <w:b/>
                <w:bCs/>
                <w:sz w:val="28"/>
                <w:szCs w:val="28"/>
              </w:rPr>
              <w:t>一、环境空气质量现状评价</w:t>
            </w:r>
          </w:p>
          <w:p>
            <w:pPr>
              <w:spacing w:line="360" w:lineRule="auto"/>
              <w:ind w:firstLine="482" w:firstLineChars="200"/>
              <w:rPr>
                <w:b/>
                <w:bCs/>
                <w:sz w:val="24"/>
              </w:rPr>
            </w:pPr>
            <w:r>
              <w:rPr>
                <w:b/>
                <w:bCs/>
                <w:sz w:val="24"/>
              </w:rPr>
              <w:t>1、达标区判定</w:t>
            </w:r>
          </w:p>
          <w:p>
            <w:pPr>
              <w:widowControl/>
              <w:spacing w:line="360" w:lineRule="auto"/>
              <w:ind w:firstLine="480" w:firstLineChars="200"/>
              <w:jc w:val="left"/>
              <w:rPr>
                <w:kern w:val="0"/>
                <w:sz w:val="24"/>
                <w:lang w:bidi="ar"/>
              </w:rPr>
            </w:pPr>
            <w:r>
              <w:rPr>
                <w:kern w:val="0"/>
                <w:sz w:val="24"/>
                <w:lang w:bidi="ar"/>
              </w:rPr>
              <w:t>本项目位于</w:t>
            </w:r>
            <w:r>
              <w:rPr>
                <w:rFonts w:hint="eastAsia"/>
                <w:kern w:val="0"/>
                <w:sz w:val="24"/>
                <w:lang w:bidi="ar"/>
              </w:rPr>
              <w:t>达州市通川区，属于达州市主城区范围</w:t>
            </w:r>
            <w:r>
              <w:rPr>
                <w:kern w:val="0"/>
                <w:sz w:val="24"/>
                <w:lang w:bidi="ar"/>
              </w:rPr>
              <w:t>，根据《建设项目环境影响报告表编制技术指南（污染影响类）（试行）》中有关</w:t>
            </w:r>
            <w:r>
              <w:rPr>
                <w:rFonts w:hint="eastAsia"/>
                <w:kern w:val="0"/>
                <w:sz w:val="24"/>
                <w:lang w:bidi="ar"/>
              </w:rPr>
              <w:t>常规</w:t>
            </w:r>
            <w:r>
              <w:rPr>
                <w:kern w:val="0"/>
                <w:sz w:val="24"/>
                <w:lang w:bidi="ar"/>
              </w:rPr>
              <w:t>污染物环境质量现状数据的规定，可采用国家</w:t>
            </w:r>
            <w:r>
              <w:rPr>
                <w:rFonts w:hint="eastAsia"/>
                <w:kern w:val="0"/>
                <w:sz w:val="24"/>
                <w:lang w:bidi="ar"/>
              </w:rPr>
              <w:t>、</w:t>
            </w:r>
            <w:r>
              <w:rPr>
                <w:kern w:val="0"/>
                <w:sz w:val="24"/>
                <w:lang w:bidi="ar"/>
              </w:rPr>
              <w:t>地方</w:t>
            </w:r>
            <w:r>
              <w:rPr>
                <w:rFonts w:hint="eastAsia"/>
                <w:kern w:val="0"/>
                <w:sz w:val="24"/>
                <w:lang w:bidi="ar"/>
              </w:rPr>
              <w:t>环境空气质量监测网数据或</w:t>
            </w:r>
            <w:r>
              <w:rPr>
                <w:kern w:val="0"/>
                <w:sz w:val="24"/>
                <w:lang w:bidi="ar"/>
              </w:rPr>
              <w:t>生态环境主管部门公布的</w:t>
            </w:r>
            <w:r>
              <w:rPr>
                <w:rFonts w:hint="eastAsia"/>
                <w:kern w:val="0"/>
                <w:sz w:val="24"/>
                <w:lang w:bidi="ar"/>
              </w:rPr>
              <w:t>质量数据</w:t>
            </w:r>
            <w:r>
              <w:rPr>
                <w:kern w:val="0"/>
                <w:sz w:val="24"/>
                <w:lang w:bidi="ar"/>
              </w:rPr>
              <w:t>。因此，本次评价选用达州市</w:t>
            </w:r>
            <w:r>
              <w:rPr>
                <w:rFonts w:hint="eastAsia"/>
                <w:kern w:val="0"/>
                <w:sz w:val="24"/>
                <w:lang w:bidi="ar"/>
              </w:rPr>
              <w:t>生态环境局官网于</w:t>
            </w:r>
            <w:r>
              <w:rPr>
                <w:kern w:val="0"/>
                <w:sz w:val="24"/>
                <w:lang w:bidi="ar"/>
              </w:rPr>
              <w:t>202</w:t>
            </w:r>
            <w:r>
              <w:rPr>
                <w:rFonts w:hint="eastAsia"/>
                <w:kern w:val="0"/>
                <w:sz w:val="24"/>
                <w:lang w:bidi="ar"/>
              </w:rPr>
              <w:t>3</w:t>
            </w:r>
            <w:r>
              <w:rPr>
                <w:kern w:val="0"/>
                <w:sz w:val="24"/>
                <w:lang w:bidi="ar"/>
              </w:rPr>
              <w:t>年</w:t>
            </w:r>
            <w:r>
              <w:rPr>
                <w:rFonts w:hint="eastAsia"/>
                <w:kern w:val="0"/>
                <w:sz w:val="24"/>
                <w:lang w:bidi="ar"/>
              </w:rPr>
              <w:t>1</w:t>
            </w:r>
            <w:r>
              <w:rPr>
                <w:kern w:val="0"/>
                <w:sz w:val="24"/>
                <w:lang w:bidi="ar"/>
              </w:rPr>
              <w:t>月</w:t>
            </w:r>
            <w:r>
              <w:rPr>
                <w:rFonts w:hint="eastAsia"/>
                <w:kern w:val="0"/>
                <w:sz w:val="24"/>
                <w:lang w:bidi="ar"/>
              </w:rPr>
              <w:t>18</w:t>
            </w:r>
            <w:r>
              <w:rPr>
                <w:kern w:val="0"/>
                <w:sz w:val="24"/>
                <w:lang w:bidi="ar"/>
              </w:rPr>
              <w:t>日发布的《</w:t>
            </w:r>
            <w:r>
              <w:rPr>
                <w:rFonts w:hint="eastAsia"/>
                <w:kern w:val="0"/>
                <w:sz w:val="24"/>
                <w:lang w:bidi="ar"/>
              </w:rPr>
              <w:t>达州市主城区</w:t>
            </w:r>
            <w:r>
              <w:rPr>
                <w:kern w:val="0"/>
                <w:sz w:val="24"/>
                <w:lang w:bidi="ar"/>
              </w:rPr>
              <w:t>202</w:t>
            </w:r>
            <w:r>
              <w:rPr>
                <w:rFonts w:hint="eastAsia"/>
                <w:kern w:val="0"/>
                <w:sz w:val="24"/>
                <w:lang w:bidi="ar"/>
              </w:rPr>
              <w:t>2</w:t>
            </w:r>
            <w:r>
              <w:rPr>
                <w:kern w:val="0"/>
                <w:sz w:val="24"/>
                <w:lang w:bidi="ar"/>
              </w:rPr>
              <w:t>年</w:t>
            </w:r>
            <w:r>
              <w:rPr>
                <w:rFonts w:hint="eastAsia"/>
                <w:kern w:val="0"/>
                <w:sz w:val="24"/>
                <w:lang w:bidi="ar"/>
              </w:rPr>
              <w:t>全年环境空气质量</w:t>
            </w:r>
            <w:r>
              <w:rPr>
                <w:kern w:val="0"/>
                <w:sz w:val="24"/>
                <w:lang w:bidi="ar"/>
              </w:rPr>
              <w:t>》</w:t>
            </w:r>
            <w:r>
              <w:rPr>
                <w:rFonts w:hint="eastAsia"/>
                <w:kern w:val="0"/>
                <w:sz w:val="24"/>
                <w:lang w:bidi="ar"/>
              </w:rPr>
              <w:t>（</w:t>
            </w:r>
            <w:r>
              <w:rPr>
                <w:kern w:val="0"/>
                <w:sz w:val="24"/>
                <w:lang w:bidi="ar"/>
              </w:rPr>
              <w:fldChar w:fldCharType="begin"/>
            </w:r>
            <w:r>
              <w:rPr>
                <w:kern w:val="0"/>
                <w:sz w:val="24"/>
                <w:lang w:bidi="ar"/>
              </w:rPr>
              <w:instrText xml:space="preserve">HYPERLINK "https://sthjj.dazhou.gov.cn/news-show-15702.html"</w:instrText>
            </w:r>
            <w:r>
              <w:rPr>
                <w:kern w:val="0"/>
                <w:sz w:val="24"/>
                <w:lang w:bidi="ar"/>
              </w:rPr>
              <w:fldChar w:fldCharType="separate"/>
            </w:r>
            <w:r>
              <w:rPr>
                <w:sz w:val="24"/>
                <w:lang w:bidi="ar"/>
              </w:rPr>
              <w:t>https://sthjj.dazhou.gov.cn/news-show-15702.html</w:t>
            </w:r>
            <w:r>
              <w:rPr>
                <w:sz w:val="24"/>
                <w:lang w:bidi="ar"/>
              </w:rPr>
              <w:fldChar w:fldCharType="end"/>
            </w:r>
            <w:r>
              <w:rPr>
                <w:rFonts w:hint="eastAsia"/>
                <w:kern w:val="0"/>
                <w:sz w:val="24"/>
                <w:lang w:bidi="ar"/>
              </w:rPr>
              <w:t>）</w:t>
            </w:r>
            <w:r>
              <w:rPr>
                <w:kern w:val="0"/>
                <w:sz w:val="24"/>
                <w:lang w:bidi="ar"/>
              </w:rPr>
              <w:t>：</w:t>
            </w:r>
          </w:p>
          <w:p>
            <w:pPr>
              <w:widowControl/>
              <w:spacing w:line="360" w:lineRule="auto"/>
              <w:ind w:firstLine="480" w:firstLineChars="200"/>
              <w:jc w:val="left"/>
              <w:rPr>
                <w:kern w:val="0"/>
                <w:sz w:val="24"/>
                <w:lang w:bidi="ar"/>
              </w:rPr>
            </w:pPr>
            <w:r>
              <w:rPr>
                <w:kern w:val="0"/>
                <w:sz w:val="24"/>
                <w:lang w:bidi="ar"/>
              </w:rPr>
              <w:t>2022</w:t>
            </w:r>
            <w:r>
              <w:rPr>
                <w:rFonts w:hint="eastAsia"/>
                <w:kern w:val="0"/>
                <w:sz w:val="24"/>
                <w:lang w:bidi="ar"/>
              </w:rPr>
              <w:t>年，达州市主城区</w:t>
            </w:r>
            <w:r>
              <w:rPr>
                <w:kern w:val="0"/>
                <w:sz w:val="24"/>
                <w:lang w:bidi="ar"/>
              </w:rPr>
              <w:t>SO</w:t>
            </w:r>
            <w:r>
              <w:rPr>
                <w:kern w:val="0"/>
                <w:sz w:val="24"/>
                <w:vertAlign w:val="subscript"/>
                <w:lang w:bidi="ar"/>
              </w:rPr>
              <w:t>2</w:t>
            </w:r>
            <w:r>
              <w:rPr>
                <w:rFonts w:hint="eastAsia"/>
                <w:kern w:val="0"/>
                <w:sz w:val="24"/>
                <w:lang w:bidi="ar"/>
              </w:rPr>
              <w:t>平均浓度为</w:t>
            </w:r>
            <w:r>
              <w:rPr>
                <w:kern w:val="0"/>
                <w:sz w:val="24"/>
                <w:lang w:bidi="ar"/>
              </w:rPr>
              <w:t>8μg/m</w:t>
            </w:r>
            <w:r>
              <w:rPr>
                <w:kern w:val="0"/>
                <w:sz w:val="24"/>
                <w:vertAlign w:val="superscript"/>
                <w:lang w:bidi="ar"/>
              </w:rPr>
              <w:t>3</w:t>
            </w:r>
            <w:r>
              <w:rPr>
                <w:rFonts w:hint="eastAsia"/>
                <w:kern w:val="0"/>
                <w:sz w:val="24"/>
                <w:lang w:bidi="ar"/>
              </w:rPr>
              <w:t>，同比下降</w:t>
            </w:r>
            <w:r>
              <w:rPr>
                <w:kern w:val="0"/>
                <w:sz w:val="24"/>
                <w:lang w:bidi="ar"/>
              </w:rPr>
              <w:t>1μg/m</w:t>
            </w:r>
            <w:r>
              <w:rPr>
                <w:kern w:val="0"/>
                <w:sz w:val="24"/>
                <w:vertAlign w:val="superscript"/>
                <w:lang w:bidi="ar"/>
              </w:rPr>
              <w:t>3</w:t>
            </w:r>
            <w:r>
              <w:rPr>
                <w:rFonts w:hint="eastAsia"/>
                <w:kern w:val="0"/>
                <w:sz w:val="24"/>
                <w:lang w:bidi="ar"/>
              </w:rPr>
              <w:t>，下降比例为</w:t>
            </w:r>
            <w:r>
              <w:rPr>
                <w:kern w:val="0"/>
                <w:sz w:val="24"/>
                <w:lang w:bidi="ar"/>
              </w:rPr>
              <w:t>11.1%</w:t>
            </w:r>
            <w:r>
              <w:rPr>
                <w:rFonts w:hint="eastAsia"/>
                <w:kern w:val="0"/>
                <w:sz w:val="24"/>
                <w:lang w:bidi="ar"/>
              </w:rPr>
              <w:t>；</w:t>
            </w:r>
            <w:r>
              <w:rPr>
                <w:kern w:val="0"/>
                <w:sz w:val="24"/>
                <w:lang w:bidi="ar"/>
              </w:rPr>
              <w:t>NO</w:t>
            </w:r>
            <w:r>
              <w:rPr>
                <w:kern w:val="0"/>
                <w:sz w:val="24"/>
                <w:vertAlign w:val="subscript"/>
                <w:lang w:bidi="ar"/>
              </w:rPr>
              <w:t>2</w:t>
            </w:r>
            <w:r>
              <w:rPr>
                <w:rFonts w:hint="eastAsia"/>
                <w:kern w:val="0"/>
                <w:sz w:val="24"/>
                <w:lang w:bidi="ar"/>
              </w:rPr>
              <w:t>平均浓度为</w:t>
            </w:r>
            <w:r>
              <w:rPr>
                <w:kern w:val="0"/>
                <w:sz w:val="24"/>
                <w:lang w:bidi="ar"/>
              </w:rPr>
              <w:t>35μg/m</w:t>
            </w:r>
            <w:r>
              <w:rPr>
                <w:kern w:val="0"/>
                <w:sz w:val="24"/>
                <w:vertAlign w:val="superscript"/>
                <w:lang w:bidi="ar"/>
              </w:rPr>
              <w:t>3</w:t>
            </w:r>
            <w:r>
              <w:rPr>
                <w:rFonts w:hint="eastAsia"/>
                <w:kern w:val="0"/>
                <w:sz w:val="24"/>
                <w:lang w:bidi="ar"/>
              </w:rPr>
              <w:t>，同比上升</w:t>
            </w:r>
            <w:r>
              <w:rPr>
                <w:kern w:val="0"/>
                <w:sz w:val="24"/>
                <w:lang w:bidi="ar"/>
              </w:rPr>
              <w:t>4μg/m</w:t>
            </w:r>
            <w:r>
              <w:rPr>
                <w:kern w:val="0"/>
                <w:sz w:val="24"/>
                <w:vertAlign w:val="superscript"/>
                <w:lang w:bidi="ar"/>
              </w:rPr>
              <w:t>3</w:t>
            </w:r>
            <w:r>
              <w:rPr>
                <w:rFonts w:hint="eastAsia"/>
                <w:kern w:val="0"/>
                <w:sz w:val="24"/>
                <w:lang w:bidi="ar"/>
              </w:rPr>
              <w:t>，上升比例</w:t>
            </w:r>
            <w:r>
              <w:rPr>
                <w:kern w:val="0"/>
                <w:sz w:val="24"/>
                <w:lang w:bidi="ar"/>
              </w:rPr>
              <w:t>12.9%</w:t>
            </w:r>
            <w:r>
              <w:rPr>
                <w:rFonts w:hint="eastAsia"/>
                <w:kern w:val="0"/>
                <w:sz w:val="24"/>
                <w:lang w:bidi="ar"/>
              </w:rPr>
              <w:t>；</w:t>
            </w:r>
            <w:r>
              <w:rPr>
                <w:kern w:val="0"/>
                <w:sz w:val="24"/>
                <w:lang w:bidi="ar"/>
              </w:rPr>
              <w:t>CO </w:t>
            </w:r>
            <w:r>
              <w:rPr>
                <w:rFonts w:hint="eastAsia"/>
                <w:kern w:val="0"/>
                <w:sz w:val="24"/>
                <w:lang w:bidi="ar"/>
              </w:rPr>
              <w:t>浓度为</w:t>
            </w:r>
            <w:r>
              <w:rPr>
                <w:kern w:val="0"/>
                <w:sz w:val="24"/>
                <w:lang w:bidi="ar"/>
              </w:rPr>
              <w:t>1.2mg/m</w:t>
            </w:r>
            <w:r>
              <w:rPr>
                <w:kern w:val="0"/>
                <w:sz w:val="24"/>
                <w:vertAlign w:val="superscript"/>
                <w:lang w:bidi="ar"/>
              </w:rPr>
              <w:t>3</w:t>
            </w:r>
            <w:r>
              <w:rPr>
                <w:rFonts w:hint="eastAsia"/>
                <w:kern w:val="0"/>
                <w:sz w:val="24"/>
                <w:lang w:bidi="ar"/>
              </w:rPr>
              <w:t>，同比下降</w:t>
            </w:r>
            <w:r>
              <w:rPr>
                <w:kern w:val="0"/>
                <w:sz w:val="24"/>
                <w:lang w:bidi="ar"/>
              </w:rPr>
              <w:t>0.2mg/m</w:t>
            </w:r>
            <w:r>
              <w:rPr>
                <w:kern w:val="0"/>
                <w:sz w:val="24"/>
                <w:vertAlign w:val="superscript"/>
                <w:lang w:bidi="ar"/>
              </w:rPr>
              <w:t>3</w:t>
            </w:r>
            <w:r>
              <w:rPr>
                <w:rFonts w:hint="eastAsia"/>
                <w:kern w:val="0"/>
                <w:sz w:val="24"/>
                <w:lang w:bidi="ar"/>
              </w:rPr>
              <w:t>，下降比例</w:t>
            </w:r>
            <w:r>
              <w:rPr>
                <w:kern w:val="0"/>
                <w:sz w:val="24"/>
                <w:lang w:bidi="ar"/>
              </w:rPr>
              <w:t>14.3%</w:t>
            </w:r>
            <w:r>
              <w:rPr>
                <w:rFonts w:hint="eastAsia"/>
                <w:kern w:val="0"/>
                <w:sz w:val="24"/>
                <w:lang w:bidi="ar"/>
              </w:rPr>
              <w:t>；</w:t>
            </w:r>
            <w:r>
              <w:rPr>
                <w:kern w:val="0"/>
                <w:sz w:val="24"/>
                <w:lang w:bidi="ar"/>
              </w:rPr>
              <w:t>O</w:t>
            </w:r>
            <w:r>
              <w:rPr>
                <w:kern w:val="0"/>
                <w:sz w:val="24"/>
                <w:vertAlign w:val="subscript"/>
                <w:lang w:bidi="ar"/>
              </w:rPr>
              <w:t>3</w:t>
            </w:r>
            <w:r>
              <w:rPr>
                <w:rFonts w:hint="eastAsia"/>
                <w:kern w:val="0"/>
                <w:sz w:val="24"/>
                <w:lang w:bidi="ar"/>
              </w:rPr>
              <w:t>浓度为</w:t>
            </w:r>
            <w:r>
              <w:rPr>
                <w:kern w:val="0"/>
                <w:sz w:val="24"/>
                <w:lang w:bidi="ar"/>
              </w:rPr>
              <w:t>117μg/m</w:t>
            </w:r>
            <w:r>
              <w:rPr>
                <w:kern w:val="0"/>
                <w:sz w:val="24"/>
                <w:vertAlign w:val="superscript"/>
                <w:lang w:bidi="ar"/>
              </w:rPr>
              <w:t>3</w:t>
            </w:r>
            <w:r>
              <w:rPr>
                <w:rFonts w:hint="eastAsia"/>
                <w:kern w:val="0"/>
                <w:sz w:val="24"/>
                <w:lang w:bidi="ar"/>
              </w:rPr>
              <w:t>，同比上升</w:t>
            </w:r>
            <w:r>
              <w:rPr>
                <w:kern w:val="0"/>
                <w:sz w:val="24"/>
                <w:lang w:bidi="ar"/>
              </w:rPr>
              <w:t>21μg/m</w:t>
            </w:r>
            <w:r>
              <w:rPr>
                <w:kern w:val="0"/>
                <w:sz w:val="24"/>
                <w:vertAlign w:val="superscript"/>
                <w:lang w:bidi="ar"/>
              </w:rPr>
              <w:t>3</w:t>
            </w:r>
            <w:r>
              <w:rPr>
                <w:rFonts w:hint="eastAsia"/>
                <w:kern w:val="0"/>
                <w:sz w:val="24"/>
                <w:lang w:bidi="ar"/>
              </w:rPr>
              <w:t>，上升比例</w:t>
            </w:r>
            <w:r>
              <w:rPr>
                <w:kern w:val="0"/>
                <w:sz w:val="24"/>
                <w:lang w:bidi="ar"/>
              </w:rPr>
              <w:t>21.9%</w:t>
            </w:r>
            <w:r>
              <w:rPr>
                <w:rFonts w:hint="eastAsia"/>
                <w:kern w:val="0"/>
                <w:sz w:val="24"/>
                <w:lang w:bidi="ar"/>
              </w:rPr>
              <w:t>；</w:t>
            </w:r>
            <w:r>
              <w:rPr>
                <w:kern w:val="0"/>
                <w:sz w:val="24"/>
                <w:lang w:bidi="ar"/>
              </w:rPr>
              <w:t>PM</w:t>
            </w:r>
            <w:r>
              <w:rPr>
                <w:kern w:val="0"/>
                <w:sz w:val="24"/>
                <w:vertAlign w:val="subscript"/>
                <w:lang w:bidi="ar"/>
              </w:rPr>
              <w:t>2.5</w:t>
            </w:r>
            <w:r>
              <w:rPr>
                <w:rFonts w:hint="eastAsia"/>
                <w:kern w:val="0"/>
                <w:sz w:val="24"/>
                <w:lang w:bidi="ar"/>
              </w:rPr>
              <w:t>平均浓度为</w:t>
            </w:r>
            <w:r>
              <w:rPr>
                <w:kern w:val="0"/>
                <w:sz w:val="24"/>
                <w:lang w:bidi="ar"/>
              </w:rPr>
              <w:t>30μg/m</w:t>
            </w:r>
            <w:r>
              <w:rPr>
                <w:kern w:val="0"/>
                <w:sz w:val="24"/>
                <w:vertAlign w:val="superscript"/>
                <w:lang w:bidi="ar"/>
              </w:rPr>
              <w:t>3</w:t>
            </w:r>
            <w:r>
              <w:rPr>
                <w:rFonts w:hint="eastAsia"/>
                <w:kern w:val="0"/>
                <w:sz w:val="24"/>
                <w:lang w:bidi="ar"/>
              </w:rPr>
              <w:t>，同比下降</w:t>
            </w:r>
            <w:r>
              <w:rPr>
                <w:kern w:val="0"/>
                <w:sz w:val="24"/>
                <w:lang w:bidi="ar"/>
              </w:rPr>
              <w:t>8μg/m</w:t>
            </w:r>
            <w:r>
              <w:rPr>
                <w:kern w:val="0"/>
                <w:sz w:val="24"/>
                <w:vertAlign w:val="superscript"/>
                <w:lang w:bidi="ar"/>
              </w:rPr>
              <w:t>3</w:t>
            </w:r>
            <w:r>
              <w:rPr>
                <w:rFonts w:hint="eastAsia"/>
                <w:kern w:val="0"/>
                <w:sz w:val="24"/>
                <w:lang w:bidi="ar"/>
              </w:rPr>
              <w:t>，下降比例</w:t>
            </w:r>
            <w:r>
              <w:rPr>
                <w:kern w:val="0"/>
                <w:sz w:val="24"/>
                <w:lang w:bidi="ar"/>
              </w:rPr>
              <w:t>21.1%</w:t>
            </w:r>
            <w:r>
              <w:rPr>
                <w:rFonts w:hint="eastAsia"/>
                <w:kern w:val="0"/>
                <w:sz w:val="24"/>
                <w:lang w:bidi="ar"/>
              </w:rPr>
              <w:t>；</w:t>
            </w:r>
            <w:r>
              <w:rPr>
                <w:kern w:val="0"/>
                <w:sz w:val="24"/>
                <w:lang w:bidi="ar"/>
              </w:rPr>
              <w:t>PM</w:t>
            </w:r>
            <w:r>
              <w:rPr>
                <w:kern w:val="0"/>
                <w:sz w:val="24"/>
                <w:vertAlign w:val="subscript"/>
                <w:lang w:bidi="ar"/>
              </w:rPr>
              <w:t>10</w:t>
            </w:r>
            <w:r>
              <w:rPr>
                <w:rFonts w:hint="eastAsia"/>
                <w:kern w:val="0"/>
                <w:sz w:val="24"/>
                <w:lang w:bidi="ar"/>
              </w:rPr>
              <w:t>平均浓度为</w:t>
            </w:r>
            <w:r>
              <w:rPr>
                <w:kern w:val="0"/>
                <w:sz w:val="24"/>
                <w:lang w:bidi="ar"/>
              </w:rPr>
              <w:t>49μg/m</w:t>
            </w:r>
            <w:r>
              <w:rPr>
                <w:kern w:val="0"/>
                <w:sz w:val="24"/>
                <w:vertAlign w:val="superscript"/>
                <w:lang w:bidi="ar"/>
              </w:rPr>
              <w:t>3</w:t>
            </w:r>
            <w:r>
              <w:rPr>
                <w:rFonts w:hint="eastAsia"/>
                <w:kern w:val="0"/>
                <w:sz w:val="24"/>
                <w:lang w:bidi="ar"/>
              </w:rPr>
              <w:t>，同比下降</w:t>
            </w:r>
            <w:r>
              <w:rPr>
                <w:kern w:val="0"/>
                <w:sz w:val="24"/>
                <w:lang w:bidi="ar"/>
              </w:rPr>
              <w:t>11μg/m</w:t>
            </w:r>
            <w:r>
              <w:rPr>
                <w:kern w:val="0"/>
                <w:sz w:val="24"/>
                <w:vertAlign w:val="superscript"/>
                <w:lang w:bidi="ar"/>
              </w:rPr>
              <w:t>3</w:t>
            </w:r>
            <w:r>
              <w:rPr>
                <w:rFonts w:hint="eastAsia"/>
                <w:kern w:val="0"/>
                <w:sz w:val="24"/>
                <w:lang w:bidi="ar"/>
              </w:rPr>
              <w:t>，下降比例</w:t>
            </w:r>
            <w:r>
              <w:rPr>
                <w:kern w:val="0"/>
                <w:sz w:val="24"/>
                <w:lang w:bidi="ar"/>
              </w:rPr>
              <w:t>18.3%</w:t>
            </w:r>
            <w:r>
              <w:rPr>
                <w:rFonts w:hint="eastAsia"/>
                <w:kern w:val="0"/>
                <w:sz w:val="24"/>
                <w:lang w:bidi="ar"/>
              </w:rPr>
              <w:t>。</w:t>
            </w:r>
          </w:p>
          <w:p>
            <w:pPr>
              <w:widowControl/>
              <w:spacing w:line="360" w:lineRule="auto"/>
              <w:ind w:firstLine="480" w:firstLineChars="200"/>
              <w:jc w:val="left"/>
              <w:rPr>
                <w:kern w:val="0"/>
                <w:sz w:val="24"/>
                <w:lang w:bidi="ar"/>
              </w:rPr>
            </w:pPr>
            <w:r>
              <w:rPr>
                <w:rFonts w:hint="eastAsia"/>
                <w:kern w:val="0"/>
                <w:sz w:val="24"/>
                <w:lang w:bidi="ar"/>
              </w:rPr>
              <w:t>达州市主城区</w:t>
            </w:r>
            <w:r>
              <w:rPr>
                <w:kern w:val="0"/>
                <w:sz w:val="24"/>
                <w:lang w:bidi="ar"/>
              </w:rPr>
              <w:t>202</w:t>
            </w:r>
            <w:r>
              <w:rPr>
                <w:rFonts w:hint="eastAsia"/>
                <w:kern w:val="0"/>
                <w:sz w:val="24"/>
                <w:lang w:bidi="ar"/>
              </w:rPr>
              <w:t>2</w:t>
            </w:r>
            <w:r>
              <w:rPr>
                <w:kern w:val="0"/>
                <w:sz w:val="24"/>
                <w:lang w:bidi="ar"/>
              </w:rPr>
              <w:t>年环境空气质量评价见表3-1。</w:t>
            </w:r>
          </w:p>
          <w:p>
            <w:pPr>
              <w:pStyle w:val="237"/>
              <w:adjustRightInd w:val="0"/>
              <w:snapToGrid w:val="0"/>
              <w:spacing w:line="240" w:lineRule="auto"/>
              <w:ind w:firstLine="0"/>
              <w:jc w:val="center"/>
              <w:rPr>
                <w:rFonts w:ascii="Times New Roman" w:eastAsia="宋体"/>
                <w:b/>
                <w:bCs w:val="0"/>
                <w:sz w:val="21"/>
                <w:szCs w:val="21"/>
              </w:rPr>
            </w:pPr>
            <w:r>
              <w:rPr>
                <w:rFonts w:ascii="Times New Roman" w:eastAsia="宋体"/>
                <w:b/>
                <w:sz w:val="21"/>
                <w:szCs w:val="21"/>
              </w:rPr>
              <w:t>表3-1  2022年达州市主城区环境空气质量评价统计表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342"/>
              <w:gridCol w:w="1302"/>
              <w:gridCol w:w="1302"/>
              <w:gridCol w:w="1171"/>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b/>
                      <w:bCs/>
                      <w:szCs w:val="21"/>
                    </w:rPr>
                  </w:pPr>
                  <w:r>
                    <w:rPr>
                      <w:b/>
                      <w:bCs/>
                      <w:szCs w:val="21"/>
                    </w:rPr>
                    <w:t>污染物</w:t>
                  </w:r>
                </w:p>
              </w:tc>
              <w:tc>
                <w:tcPr>
                  <w:tcW w:w="1398" w:type="pct"/>
                  <w:noWrap w:val="0"/>
                  <w:vAlign w:val="center"/>
                </w:tcPr>
                <w:p>
                  <w:pPr>
                    <w:adjustRightInd w:val="0"/>
                    <w:snapToGrid w:val="0"/>
                    <w:jc w:val="center"/>
                    <w:rPr>
                      <w:b/>
                      <w:bCs/>
                      <w:szCs w:val="21"/>
                    </w:rPr>
                  </w:pPr>
                  <w:r>
                    <w:rPr>
                      <w:b/>
                      <w:bCs/>
                      <w:szCs w:val="21"/>
                    </w:rPr>
                    <w:t>年评价指标</w:t>
                  </w:r>
                </w:p>
              </w:tc>
              <w:tc>
                <w:tcPr>
                  <w:tcW w:w="777" w:type="pct"/>
                  <w:noWrap w:val="0"/>
                  <w:vAlign w:val="center"/>
                </w:tcPr>
                <w:p>
                  <w:pPr>
                    <w:adjustRightInd w:val="0"/>
                    <w:snapToGrid w:val="0"/>
                    <w:jc w:val="center"/>
                    <w:rPr>
                      <w:b/>
                      <w:bCs/>
                      <w:szCs w:val="21"/>
                    </w:rPr>
                  </w:pPr>
                  <w:r>
                    <w:rPr>
                      <w:b/>
                      <w:bCs/>
                      <w:szCs w:val="21"/>
                    </w:rPr>
                    <w:t>现状浓度（μg/m</w:t>
                  </w:r>
                  <w:r>
                    <w:rPr>
                      <w:b/>
                      <w:bCs/>
                      <w:szCs w:val="21"/>
                      <w:vertAlign w:val="superscript"/>
                    </w:rPr>
                    <w:t>3</w:t>
                  </w:r>
                  <w:r>
                    <w:rPr>
                      <w:b/>
                      <w:bCs/>
                      <w:szCs w:val="21"/>
                    </w:rPr>
                    <w:t>）</w:t>
                  </w:r>
                </w:p>
              </w:tc>
              <w:tc>
                <w:tcPr>
                  <w:tcW w:w="777" w:type="pct"/>
                  <w:noWrap w:val="0"/>
                  <w:vAlign w:val="center"/>
                </w:tcPr>
                <w:p>
                  <w:pPr>
                    <w:adjustRightInd w:val="0"/>
                    <w:snapToGrid w:val="0"/>
                    <w:jc w:val="center"/>
                    <w:rPr>
                      <w:b/>
                      <w:bCs/>
                      <w:szCs w:val="21"/>
                    </w:rPr>
                  </w:pPr>
                  <w:r>
                    <w:rPr>
                      <w:b/>
                      <w:bCs/>
                      <w:szCs w:val="21"/>
                    </w:rPr>
                    <w:t>标准值（μg/m</w:t>
                  </w:r>
                  <w:r>
                    <w:rPr>
                      <w:b/>
                      <w:bCs/>
                      <w:szCs w:val="21"/>
                      <w:vertAlign w:val="superscript"/>
                    </w:rPr>
                    <w:t>3</w:t>
                  </w:r>
                  <w:r>
                    <w:rPr>
                      <w:b/>
                      <w:bCs/>
                      <w:szCs w:val="21"/>
                    </w:rPr>
                    <w:t>）</w:t>
                  </w:r>
                </w:p>
              </w:tc>
              <w:tc>
                <w:tcPr>
                  <w:tcW w:w="699" w:type="pct"/>
                  <w:noWrap w:val="0"/>
                  <w:vAlign w:val="center"/>
                </w:tcPr>
                <w:p>
                  <w:pPr>
                    <w:adjustRightInd w:val="0"/>
                    <w:snapToGrid w:val="0"/>
                    <w:jc w:val="center"/>
                    <w:rPr>
                      <w:b/>
                      <w:bCs/>
                      <w:szCs w:val="21"/>
                    </w:rPr>
                  </w:pPr>
                  <w:r>
                    <w:rPr>
                      <w:b/>
                      <w:bCs/>
                      <w:szCs w:val="21"/>
                    </w:rPr>
                    <w:t>占比率（%）</w:t>
                  </w:r>
                </w:p>
              </w:tc>
              <w:tc>
                <w:tcPr>
                  <w:tcW w:w="634" w:type="pct"/>
                  <w:noWrap w:val="0"/>
                  <w:vAlign w:val="center"/>
                </w:tcPr>
                <w:p>
                  <w:pPr>
                    <w:adjustRightInd w:val="0"/>
                    <w:snapToGrid w:val="0"/>
                    <w:jc w:val="center"/>
                    <w:rPr>
                      <w:b/>
                      <w:bCs/>
                      <w:szCs w:val="21"/>
                    </w:rPr>
                  </w:pPr>
                  <w:r>
                    <w:rPr>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PM</w:t>
                  </w:r>
                  <w:r>
                    <w:rPr>
                      <w:szCs w:val="21"/>
                      <w:vertAlign w:val="subscript"/>
                    </w:rPr>
                    <w:t>2.5</w:t>
                  </w:r>
                </w:p>
              </w:tc>
              <w:tc>
                <w:tcPr>
                  <w:tcW w:w="1398" w:type="pct"/>
                  <w:noWrap w:val="0"/>
                  <w:vAlign w:val="center"/>
                </w:tcPr>
                <w:p>
                  <w:pPr>
                    <w:adjustRightInd w:val="0"/>
                    <w:snapToGrid w:val="0"/>
                    <w:jc w:val="center"/>
                    <w:rPr>
                      <w:szCs w:val="21"/>
                    </w:rPr>
                  </w:pPr>
                  <w:r>
                    <w:rPr>
                      <w:szCs w:val="21"/>
                    </w:rPr>
                    <w:t>年平均质量浓度</w:t>
                  </w:r>
                </w:p>
              </w:tc>
              <w:tc>
                <w:tcPr>
                  <w:tcW w:w="777" w:type="pct"/>
                  <w:noWrap w:val="0"/>
                  <w:vAlign w:val="center"/>
                </w:tcPr>
                <w:p>
                  <w:pPr>
                    <w:adjustRightInd w:val="0"/>
                    <w:snapToGrid w:val="0"/>
                    <w:jc w:val="center"/>
                    <w:rPr>
                      <w:szCs w:val="21"/>
                    </w:rPr>
                  </w:pPr>
                  <w:r>
                    <w:rPr>
                      <w:szCs w:val="21"/>
                    </w:rPr>
                    <w:t>30</w:t>
                  </w:r>
                </w:p>
              </w:tc>
              <w:tc>
                <w:tcPr>
                  <w:tcW w:w="777" w:type="pct"/>
                  <w:noWrap w:val="0"/>
                  <w:vAlign w:val="center"/>
                </w:tcPr>
                <w:p>
                  <w:pPr>
                    <w:adjustRightInd w:val="0"/>
                    <w:snapToGrid w:val="0"/>
                    <w:jc w:val="center"/>
                    <w:rPr>
                      <w:szCs w:val="21"/>
                    </w:rPr>
                  </w:pPr>
                  <w:r>
                    <w:rPr>
                      <w:szCs w:val="21"/>
                    </w:rPr>
                    <w:t>35</w:t>
                  </w:r>
                </w:p>
              </w:tc>
              <w:tc>
                <w:tcPr>
                  <w:tcW w:w="699" w:type="pct"/>
                  <w:noWrap w:val="0"/>
                  <w:vAlign w:val="center"/>
                </w:tcPr>
                <w:p>
                  <w:pPr>
                    <w:adjustRightInd w:val="0"/>
                    <w:snapToGrid w:val="0"/>
                    <w:jc w:val="center"/>
                    <w:rPr>
                      <w:szCs w:val="21"/>
                    </w:rPr>
                  </w:pPr>
                  <w:r>
                    <w:rPr>
                      <w:szCs w:val="21"/>
                    </w:rPr>
                    <w:t>85.71</w:t>
                  </w:r>
                </w:p>
              </w:tc>
              <w:tc>
                <w:tcPr>
                  <w:tcW w:w="634" w:type="pct"/>
                  <w:noWrap w:val="0"/>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PM</w:t>
                  </w:r>
                  <w:r>
                    <w:rPr>
                      <w:szCs w:val="21"/>
                      <w:vertAlign w:val="subscript"/>
                    </w:rPr>
                    <w:t>10</w:t>
                  </w:r>
                </w:p>
              </w:tc>
              <w:tc>
                <w:tcPr>
                  <w:tcW w:w="1398" w:type="pct"/>
                  <w:noWrap w:val="0"/>
                  <w:vAlign w:val="center"/>
                </w:tcPr>
                <w:p>
                  <w:pPr>
                    <w:adjustRightInd w:val="0"/>
                    <w:snapToGrid w:val="0"/>
                    <w:jc w:val="center"/>
                    <w:rPr>
                      <w:szCs w:val="21"/>
                    </w:rPr>
                  </w:pPr>
                  <w:r>
                    <w:rPr>
                      <w:szCs w:val="21"/>
                    </w:rPr>
                    <w:t>年平均质量浓度</w:t>
                  </w:r>
                </w:p>
              </w:tc>
              <w:tc>
                <w:tcPr>
                  <w:tcW w:w="777" w:type="pct"/>
                  <w:noWrap w:val="0"/>
                  <w:vAlign w:val="center"/>
                </w:tcPr>
                <w:p>
                  <w:pPr>
                    <w:adjustRightInd w:val="0"/>
                    <w:snapToGrid w:val="0"/>
                    <w:jc w:val="center"/>
                    <w:rPr>
                      <w:szCs w:val="21"/>
                    </w:rPr>
                  </w:pPr>
                  <w:r>
                    <w:rPr>
                      <w:szCs w:val="21"/>
                    </w:rPr>
                    <w:t>49</w:t>
                  </w:r>
                </w:p>
              </w:tc>
              <w:tc>
                <w:tcPr>
                  <w:tcW w:w="777" w:type="pct"/>
                  <w:noWrap w:val="0"/>
                  <w:vAlign w:val="center"/>
                </w:tcPr>
                <w:p>
                  <w:pPr>
                    <w:adjustRightInd w:val="0"/>
                    <w:snapToGrid w:val="0"/>
                    <w:jc w:val="center"/>
                    <w:rPr>
                      <w:szCs w:val="21"/>
                    </w:rPr>
                  </w:pPr>
                  <w:r>
                    <w:rPr>
                      <w:szCs w:val="21"/>
                    </w:rPr>
                    <w:t>70</w:t>
                  </w:r>
                </w:p>
              </w:tc>
              <w:tc>
                <w:tcPr>
                  <w:tcW w:w="699" w:type="pct"/>
                  <w:noWrap w:val="0"/>
                  <w:vAlign w:val="center"/>
                </w:tcPr>
                <w:p>
                  <w:pPr>
                    <w:adjustRightInd w:val="0"/>
                    <w:snapToGrid w:val="0"/>
                    <w:jc w:val="center"/>
                    <w:rPr>
                      <w:szCs w:val="21"/>
                    </w:rPr>
                  </w:pPr>
                  <w:r>
                    <w:rPr>
                      <w:szCs w:val="21"/>
                    </w:rPr>
                    <w:t>70.00</w:t>
                  </w:r>
                </w:p>
              </w:tc>
              <w:tc>
                <w:tcPr>
                  <w:tcW w:w="634" w:type="pct"/>
                  <w:noWrap w:val="0"/>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SO</w:t>
                  </w:r>
                  <w:r>
                    <w:rPr>
                      <w:szCs w:val="21"/>
                      <w:vertAlign w:val="subscript"/>
                    </w:rPr>
                    <w:t>2</w:t>
                  </w:r>
                </w:p>
              </w:tc>
              <w:tc>
                <w:tcPr>
                  <w:tcW w:w="1398" w:type="pct"/>
                  <w:noWrap w:val="0"/>
                  <w:vAlign w:val="center"/>
                </w:tcPr>
                <w:p>
                  <w:pPr>
                    <w:adjustRightInd w:val="0"/>
                    <w:snapToGrid w:val="0"/>
                    <w:jc w:val="center"/>
                    <w:rPr>
                      <w:szCs w:val="21"/>
                    </w:rPr>
                  </w:pPr>
                  <w:r>
                    <w:rPr>
                      <w:szCs w:val="21"/>
                    </w:rPr>
                    <w:t>年平均质量浓度</w:t>
                  </w:r>
                </w:p>
              </w:tc>
              <w:tc>
                <w:tcPr>
                  <w:tcW w:w="777" w:type="pct"/>
                  <w:noWrap w:val="0"/>
                  <w:vAlign w:val="center"/>
                </w:tcPr>
                <w:p>
                  <w:pPr>
                    <w:adjustRightInd w:val="0"/>
                    <w:snapToGrid w:val="0"/>
                    <w:jc w:val="center"/>
                    <w:rPr>
                      <w:szCs w:val="21"/>
                    </w:rPr>
                  </w:pPr>
                  <w:r>
                    <w:rPr>
                      <w:szCs w:val="21"/>
                    </w:rPr>
                    <w:t>8</w:t>
                  </w:r>
                </w:p>
              </w:tc>
              <w:tc>
                <w:tcPr>
                  <w:tcW w:w="777" w:type="pct"/>
                  <w:noWrap w:val="0"/>
                  <w:vAlign w:val="center"/>
                </w:tcPr>
                <w:p>
                  <w:pPr>
                    <w:adjustRightInd w:val="0"/>
                    <w:snapToGrid w:val="0"/>
                    <w:jc w:val="center"/>
                    <w:rPr>
                      <w:szCs w:val="21"/>
                    </w:rPr>
                  </w:pPr>
                  <w:r>
                    <w:rPr>
                      <w:szCs w:val="21"/>
                    </w:rPr>
                    <w:t>60</w:t>
                  </w:r>
                </w:p>
              </w:tc>
              <w:tc>
                <w:tcPr>
                  <w:tcW w:w="699" w:type="pct"/>
                  <w:noWrap w:val="0"/>
                  <w:vAlign w:val="center"/>
                </w:tcPr>
                <w:p>
                  <w:pPr>
                    <w:adjustRightInd w:val="0"/>
                    <w:snapToGrid w:val="0"/>
                    <w:jc w:val="center"/>
                    <w:rPr>
                      <w:szCs w:val="21"/>
                    </w:rPr>
                  </w:pPr>
                  <w:r>
                    <w:rPr>
                      <w:szCs w:val="21"/>
                    </w:rPr>
                    <w:t>13.33</w:t>
                  </w:r>
                </w:p>
              </w:tc>
              <w:tc>
                <w:tcPr>
                  <w:tcW w:w="634" w:type="pct"/>
                  <w:noWrap w:val="0"/>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NO</w:t>
                  </w:r>
                  <w:r>
                    <w:rPr>
                      <w:szCs w:val="21"/>
                      <w:vertAlign w:val="subscript"/>
                    </w:rPr>
                    <w:t>2</w:t>
                  </w:r>
                </w:p>
              </w:tc>
              <w:tc>
                <w:tcPr>
                  <w:tcW w:w="1398" w:type="pct"/>
                  <w:noWrap w:val="0"/>
                  <w:vAlign w:val="center"/>
                </w:tcPr>
                <w:p>
                  <w:pPr>
                    <w:adjustRightInd w:val="0"/>
                    <w:snapToGrid w:val="0"/>
                    <w:jc w:val="center"/>
                    <w:rPr>
                      <w:szCs w:val="21"/>
                    </w:rPr>
                  </w:pPr>
                  <w:r>
                    <w:rPr>
                      <w:szCs w:val="21"/>
                    </w:rPr>
                    <w:t>年平均质量浓度</w:t>
                  </w:r>
                </w:p>
              </w:tc>
              <w:tc>
                <w:tcPr>
                  <w:tcW w:w="777" w:type="pct"/>
                  <w:noWrap w:val="0"/>
                  <w:vAlign w:val="center"/>
                </w:tcPr>
                <w:p>
                  <w:pPr>
                    <w:adjustRightInd w:val="0"/>
                    <w:snapToGrid w:val="0"/>
                    <w:jc w:val="center"/>
                    <w:rPr>
                      <w:szCs w:val="21"/>
                    </w:rPr>
                  </w:pPr>
                  <w:r>
                    <w:rPr>
                      <w:szCs w:val="21"/>
                    </w:rPr>
                    <w:t>35</w:t>
                  </w:r>
                </w:p>
              </w:tc>
              <w:tc>
                <w:tcPr>
                  <w:tcW w:w="777" w:type="pct"/>
                  <w:noWrap w:val="0"/>
                  <w:vAlign w:val="center"/>
                </w:tcPr>
                <w:p>
                  <w:pPr>
                    <w:adjustRightInd w:val="0"/>
                    <w:snapToGrid w:val="0"/>
                    <w:jc w:val="center"/>
                    <w:rPr>
                      <w:szCs w:val="21"/>
                    </w:rPr>
                  </w:pPr>
                  <w:r>
                    <w:rPr>
                      <w:szCs w:val="21"/>
                    </w:rPr>
                    <w:t>40</w:t>
                  </w:r>
                </w:p>
              </w:tc>
              <w:tc>
                <w:tcPr>
                  <w:tcW w:w="699" w:type="pct"/>
                  <w:noWrap w:val="0"/>
                  <w:vAlign w:val="center"/>
                </w:tcPr>
                <w:p>
                  <w:pPr>
                    <w:adjustRightInd w:val="0"/>
                    <w:snapToGrid w:val="0"/>
                    <w:jc w:val="center"/>
                    <w:rPr>
                      <w:szCs w:val="21"/>
                    </w:rPr>
                  </w:pPr>
                  <w:r>
                    <w:rPr>
                      <w:szCs w:val="21"/>
                    </w:rPr>
                    <w:t>87.50</w:t>
                  </w:r>
                </w:p>
              </w:tc>
              <w:tc>
                <w:tcPr>
                  <w:tcW w:w="634" w:type="pct"/>
                  <w:noWrap w:val="0"/>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CO</w:t>
                  </w:r>
                </w:p>
              </w:tc>
              <w:tc>
                <w:tcPr>
                  <w:tcW w:w="1398" w:type="pct"/>
                  <w:noWrap w:val="0"/>
                  <w:vAlign w:val="center"/>
                </w:tcPr>
                <w:p>
                  <w:pPr>
                    <w:adjustRightInd w:val="0"/>
                    <w:snapToGrid w:val="0"/>
                    <w:jc w:val="center"/>
                    <w:rPr>
                      <w:szCs w:val="21"/>
                    </w:rPr>
                  </w:pPr>
                  <w:r>
                    <w:rPr>
                      <w:szCs w:val="21"/>
                    </w:rPr>
                    <w:t>日均值第95百分位数</w:t>
                  </w:r>
                </w:p>
              </w:tc>
              <w:tc>
                <w:tcPr>
                  <w:tcW w:w="777" w:type="pct"/>
                  <w:noWrap w:val="0"/>
                  <w:vAlign w:val="center"/>
                </w:tcPr>
                <w:p>
                  <w:pPr>
                    <w:adjustRightInd w:val="0"/>
                    <w:snapToGrid w:val="0"/>
                    <w:jc w:val="center"/>
                    <w:rPr>
                      <w:szCs w:val="21"/>
                    </w:rPr>
                  </w:pPr>
                  <w:r>
                    <w:rPr>
                      <w:szCs w:val="21"/>
                    </w:rPr>
                    <w:t>1200</w:t>
                  </w:r>
                </w:p>
              </w:tc>
              <w:tc>
                <w:tcPr>
                  <w:tcW w:w="777" w:type="pct"/>
                  <w:noWrap w:val="0"/>
                  <w:vAlign w:val="center"/>
                </w:tcPr>
                <w:p>
                  <w:pPr>
                    <w:adjustRightInd w:val="0"/>
                    <w:snapToGrid w:val="0"/>
                    <w:jc w:val="center"/>
                    <w:rPr>
                      <w:szCs w:val="21"/>
                    </w:rPr>
                  </w:pPr>
                  <w:r>
                    <w:rPr>
                      <w:szCs w:val="21"/>
                    </w:rPr>
                    <w:t>4000</w:t>
                  </w:r>
                </w:p>
              </w:tc>
              <w:tc>
                <w:tcPr>
                  <w:tcW w:w="699" w:type="pct"/>
                  <w:noWrap w:val="0"/>
                  <w:vAlign w:val="center"/>
                </w:tcPr>
                <w:p>
                  <w:pPr>
                    <w:adjustRightInd w:val="0"/>
                    <w:snapToGrid w:val="0"/>
                    <w:jc w:val="center"/>
                    <w:rPr>
                      <w:szCs w:val="21"/>
                    </w:rPr>
                  </w:pPr>
                  <w:r>
                    <w:rPr>
                      <w:szCs w:val="21"/>
                    </w:rPr>
                    <w:t>30.00</w:t>
                  </w:r>
                </w:p>
              </w:tc>
              <w:tc>
                <w:tcPr>
                  <w:tcW w:w="634" w:type="pct"/>
                  <w:noWrap w:val="0"/>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noWrap w:val="0"/>
                  <w:vAlign w:val="center"/>
                </w:tcPr>
                <w:p>
                  <w:pPr>
                    <w:adjustRightInd w:val="0"/>
                    <w:snapToGrid w:val="0"/>
                    <w:jc w:val="center"/>
                    <w:rPr>
                      <w:szCs w:val="21"/>
                    </w:rPr>
                  </w:pPr>
                  <w:r>
                    <w:rPr>
                      <w:szCs w:val="21"/>
                    </w:rPr>
                    <w:t>O</w:t>
                  </w:r>
                  <w:r>
                    <w:rPr>
                      <w:szCs w:val="21"/>
                      <w:vertAlign w:val="subscript"/>
                    </w:rPr>
                    <w:t>3</w:t>
                  </w:r>
                </w:p>
              </w:tc>
              <w:tc>
                <w:tcPr>
                  <w:tcW w:w="1398" w:type="pct"/>
                  <w:noWrap w:val="0"/>
                  <w:vAlign w:val="center"/>
                </w:tcPr>
                <w:p>
                  <w:pPr>
                    <w:adjustRightInd w:val="0"/>
                    <w:snapToGrid w:val="0"/>
                    <w:jc w:val="center"/>
                    <w:rPr>
                      <w:szCs w:val="21"/>
                    </w:rPr>
                  </w:pPr>
                  <w:r>
                    <w:rPr>
                      <w:szCs w:val="21"/>
                    </w:rPr>
                    <w:t>日最大8小时平均第90百分位数</w:t>
                  </w:r>
                </w:p>
              </w:tc>
              <w:tc>
                <w:tcPr>
                  <w:tcW w:w="777" w:type="pct"/>
                  <w:noWrap w:val="0"/>
                  <w:vAlign w:val="center"/>
                </w:tcPr>
                <w:p>
                  <w:pPr>
                    <w:adjustRightInd w:val="0"/>
                    <w:snapToGrid w:val="0"/>
                    <w:jc w:val="center"/>
                    <w:rPr>
                      <w:szCs w:val="21"/>
                    </w:rPr>
                  </w:pPr>
                  <w:r>
                    <w:rPr>
                      <w:szCs w:val="21"/>
                    </w:rPr>
                    <w:t>117</w:t>
                  </w:r>
                </w:p>
              </w:tc>
              <w:tc>
                <w:tcPr>
                  <w:tcW w:w="777" w:type="pct"/>
                  <w:noWrap w:val="0"/>
                  <w:vAlign w:val="center"/>
                </w:tcPr>
                <w:p>
                  <w:pPr>
                    <w:adjustRightInd w:val="0"/>
                    <w:snapToGrid w:val="0"/>
                    <w:jc w:val="center"/>
                    <w:rPr>
                      <w:szCs w:val="21"/>
                    </w:rPr>
                  </w:pPr>
                  <w:r>
                    <w:rPr>
                      <w:szCs w:val="21"/>
                    </w:rPr>
                    <w:t>160</w:t>
                  </w:r>
                </w:p>
              </w:tc>
              <w:tc>
                <w:tcPr>
                  <w:tcW w:w="699" w:type="pct"/>
                  <w:noWrap w:val="0"/>
                  <w:vAlign w:val="center"/>
                </w:tcPr>
                <w:p>
                  <w:pPr>
                    <w:adjustRightInd w:val="0"/>
                    <w:snapToGrid w:val="0"/>
                    <w:jc w:val="center"/>
                    <w:rPr>
                      <w:szCs w:val="21"/>
                    </w:rPr>
                  </w:pPr>
                  <w:r>
                    <w:rPr>
                      <w:szCs w:val="21"/>
                    </w:rPr>
                    <w:t>73.13</w:t>
                  </w:r>
                </w:p>
              </w:tc>
              <w:tc>
                <w:tcPr>
                  <w:tcW w:w="634" w:type="pct"/>
                  <w:noWrap w:val="0"/>
                  <w:vAlign w:val="center"/>
                </w:tcPr>
                <w:p>
                  <w:pPr>
                    <w:adjustRightInd w:val="0"/>
                    <w:snapToGrid w:val="0"/>
                    <w:jc w:val="center"/>
                    <w:rPr>
                      <w:szCs w:val="21"/>
                    </w:rPr>
                  </w:pPr>
                  <w:r>
                    <w:rPr>
                      <w:szCs w:val="21"/>
                    </w:rPr>
                    <w:t>达标</w:t>
                  </w:r>
                </w:p>
              </w:tc>
            </w:tr>
          </w:tbl>
          <w:p>
            <w:pPr>
              <w:pStyle w:val="237"/>
              <w:adjustRightInd w:val="0"/>
              <w:snapToGrid w:val="0"/>
              <w:ind w:firstLine="520"/>
              <w:rPr>
                <w:rFonts w:ascii="Times New Roman" w:eastAsia="宋体"/>
                <w:sz w:val="24"/>
                <w:szCs w:val="24"/>
              </w:rPr>
            </w:pPr>
            <w:r>
              <w:rPr>
                <w:rFonts w:ascii="Times New Roman" w:eastAsia="宋体"/>
                <w:sz w:val="24"/>
                <w:szCs w:val="24"/>
              </w:rPr>
              <w:t>由上表可知，2022年达州市主城区SO</w:t>
            </w:r>
            <w:r>
              <w:rPr>
                <w:rFonts w:ascii="Times New Roman" w:eastAsia="宋体"/>
                <w:sz w:val="24"/>
                <w:szCs w:val="24"/>
                <w:vertAlign w:val="subscript"/>
              </w:rPr>
              <w:t>2</w:t>
            </w:r>
            <w:r>
              <w:rPr>
                <w:rFonts w:ascii="Times New Roman" w:eastAsia="宋体"/>
                <w:sz w:val="24"/>
                <w:szCs w:val="24"/>
              </w:rPr>
              <w:t>、NO</w:t>
            </w:r>
            <w:r>
              <w:rPr>
                <w:rFonts w:ascii="Times New Roman" w:eastAsia="宋体"/>
                <w:sz w:val="24"/>
                <w:szCs w:val="24"/>
                <w:vertAlign w:val="subscript"/>
              </w:rPr>
              <w:t>2</w:t>
            </w:r>
            <w:r>
              <w:rPr>
                <w:rFonts w:ascii="Times New Roman" w:eastAsia="宋体"/>
                <w:sz w:val="24"/>
                <w:szCs w:val="24"/>
              </w:rPr>
              <w:t>、PM</w:t>
            </w:r>
            <w:r>
              <w:rPr>
                <w:rFonts w:ascii="Times New Roman" w:eastAsia="宋体"/>
                <w:sz w:val="24"/>
                <w:szCs w:val="24"/>
                <w:vertAlign w:val="subscript"/>
              </w:rPr>
              <w:t>10</w:t>
            </w:r>
            <w:r>
              <w:rPr>
                <w:rFonts w:ascii="Times New Roman" w:eastAsia="宋体"/>
                <w:sz w:val="24"/>
                <w:szCs w:val="24"/>
              </w:rPr>
              <w:t>、PM</w:t>
            </w:r>
            <w:r>
              <w:rPr>
                <w:rFonts w:ascii="Times New Roman" w:eastAsia="宋体"/>
                <w:sz w:val="24"/>
                <w:szCs w:val="24"/>
                <w:vertAlign w:val="subscript"/>
              </w:rPr>
              <w:t>2.5</w:t>
            </w:r>
            <w:r>
              <w:rPr>
                <w:rFonts w:ascii="Times New Roman" w:eastAsia="宋体"/>
                <w:sz w:val="24"/>
                <w:szCs w:val="24"/>
              </w:rPr>
              <w:t>、CO和O</w:t>
            </w:r>
            <w:r>
              <w:rPr>
                <w:rFonts w:ascii="Times New Roman" w:eastAsia="宋体"/>
                <w:sz w:val="24"/>
                <w:szCs w:val="24"/>
                <w:vertAlign w:val="subscript"/>
              </w:rPr>
              <w:t>3</w:t>
            </w:r>
            <w:r>
              <w:rPr>
                <w:rFonts w:ascii="Times New Roman" w:eastAsia="宋体"/>
                <w:sz w:val="24"/>
                <w:szCs w:val="24"/>
              </w:rPr>
              <w:t>年评价结果均达标，根据《环境影响评价技术导则大气环境》（HJ2.2-2018）要求，项目所在区域（达州</w:t>
            </w:r>
            <w:r>
              <w:rPr>
                <w:rFonts w:hint="eastAsia" w:ascii="Times New Roman" w:eastAsia="宋体"/>
                <w:sz w:val="24"/>
                <w:szCs w:val="24"/>
              </w:rPr>
              <w:t>通川区</w:t>
            </w:r>
            <w:r>
              <w:rPr>
                <w:rFonts w:ascii="Times New Roman" w:eastAsia="宋体"/>
                <w:sz w:val="24"/>
                <w:szCs w:val="24"/>
              </w:rPr>
              <w:t>）属于环境空气质量达标区。</w:t>
            </w:r>
          </w:p>
          <w:p>
            <w:pPr>
              <w:pStyle w:val="237"/>
              <w:adjustRightInd w:val="0"/>
              <w:snapToGrid w:val="0"/>
              <w:ind w:firstLine="520"/>
              <w:rPr>
                <w:rFonts w:ascii="Times New Roman" w:eastAsia="宋体"/>
                <w:b/>
                <w:bCs w:val="0"/>
                <w:sz w:val="24"/>
                <w:szCs w:val="24"/>
              </w:rPr>
            </w:pPr>
            <w:r>
              <w:rPr>
                <w:rFonts w:ascii="Times New Roman" w:eastAsia="宋体"/>
                <w:b/>
                <w:bCs w:val="0"/>
                <w:sz w:val="24"/>
                <w:szCs w:val="24"/>
              </w:rPr>
              <w:t>2、补充监测</w:t>
            </w:r>
          </w:p>
          <w:p>
            <w:pPr>
              <w:pStyle w:val="237"/>
              <w:adjustRightInd w:val="0"/>
              <w:snapToGrid w:val="0"/>
              <w:ind w:firstLine="520"/>
              <w:rPr>
                <w:rFonts w:ascii="Times New Roman" w:eastAsia="宋体"/>
                <w:sz w:val="24"/>
                <w:szCs w:val="24"/>
              </w:rPr>
            </w:pPr>
            <w:r>
              <w:rPr>
                <w:rFonts w:ascii="Times New Roman" w:eastAsia="宋体"/>
                <w:sz w:val="24"/>
                <w:szCs w:val="24"/>
              </w:rPr>
              <w:t>为了解项目所在地大气环境质量现状，本次环评</w:t>
            </w:r>
            <w:r>
              <w:rPr>
                <w:rFonts w:hint="eastAsia" w:ascii="Times New Roman" w:eastAsia="宋体"/>
                <w:sz w:val="24"/>
                <w:szCs w:val="24"/>
              </w:rPr>
              <w:t>委托</w:t>
            </w:r>
            <w:r>
              <w:rPr>
                <w:rFonts w:ascii="Times New Roman" w:eastAsia="宋体"/>
                <w:sz w:val="24"/>
                <w:szCs w:val="24"/>
              </w:rPr>
              <w:t>达州恒福环境监测服务有限公司</w:t>
            </w:r>
            <w:r>
              <w:rPr>
                <w:rFonts w:hint="eastAsia" w:ascii="Times New Roman" w:eastAsia="宋体"/>
                <w:sz w:val="24"/>
                <w:szCs w:val="24"/>
              </w:rPr>
              <w:t>于2023年7月10日至7月12日对项目特征污染物TVOC和非甲烷总烃进行了补充监测。</w:t>
            </w:r>
          </w:p>
          <w:p>
            <w:pPr>
              <w:pStyle w:val="237"/>
              <w:adjustRightInd w:val="0"/>
              <w:snapToGrid w:val="0"/>
              <w:ind w:firstLine="520"/>
              <w:rPr>
                <w:rFonts w:ascii="Times New Roman" w:eastAsia="宋体"/>
                <w:sz w:val="24"/>
                <w:szCs w:val="24"/>
              </w:rPr>
            </w:pPr>
            <w:r>
              <w:rPr>
                <w:rFonts w:ascii="Times New Roman" w:eastAsia="宋体"/>
                <w:sz w:val="24"/>
                <w:szCs w:val="24"/>
              </w:rPr>
              <w:t>（1）监测点设置</w:t>
            </w:r>
          </w:p>
          <w:p>
            <w:pPr>
              <w:pStyle w:val="237"/>
              <w:adjustRightInd w:val="0"/>
              <w:snapToGrid w:val="0"/>
              <w:ind w:firstLine="520"/>
              <w:rPr>
                <w:rFonts w:ascii="Times New Roman" w:eastAsia="宋体"/>
                <w:sz w:val="24"/>
                <w:szCs w:val="24"/>
              </w:rPr>
            </w:pPr>
            <w:r>
              <w:rPr>
                <w:rFonts w:ascii="Times New Roman" w:eastAsia="宋体"/>
                <w:sz w:val="24"/>
                <w:szCs w:val="24"/>
              </w:rPr>
              <w:t>在</w:t>
            </w:r>
            <w:r>
              <w:rPr>
                <w:rFonts w:hint="eastAsia" w:ascii="Times New Roman" w:eastAsia="宋体"/>
                <w:sz w:val="24"/>
                <w:szCs w:val="24"/>
              </w:rPr>
              <w:t>项目厂区内</w:t>
            </w:r>
            <w:r>
              <w:rPr>
                <w:rFonts w:ascii="Times New Roman" w:eastAsia="宋体"/>
                <w:sz w:val="24"/>
                <w:szCs w:val="24"/>
              </w:rPr>
              <w:t>设置</w:t>
            </w:r>
            <w:r>
              <w:rPr>
                <w:rFonts w:hint="eastAsia" w:ascii="Times New Roman" w:eastAsia="宋体"/>
                <w:sz w:val="24"/>
                <w:szCs w:val="24"/>
              </w:rPr>
              <w:t>1</w:t>
            </w:r>
            <w:r>
              <w:rPr>
                <w:rFonts w:ascii="Times New Roman" w:eastAsia="宋体"/>
                <w:sz w:val="24"/>
                <w:szCs w:val="24"/>
              </w:rPr>
              <w:t>个监测点位，具体监测</w:t>
            </w:r>
            <w:r>
              <w:rPr>
                <w:rFonts w:hint="eastAsia" w:ascii="Times New Roman" w:eastAsia="宋体"/>
                <w:sz w:val="24"/>
                <w:szCs w:val="24"/>
              </w:rPr>
              <w:t>点位</w:t>
            </w:r>
            <w:r>
              <w:rPr>
                <w:rFonts w:ascii="Times New Roman" w:eastAsia="宋体"/>
                <w:sz w:val="24"/>
                <w:szCs w:val="24"/>
              </w:rPr>
              <w:t>如下表3-</w:t>
            </w:r>
            <w:r>
              <w:rPr>
                <w:rFonts w:hint="eastAsia" w:ascii="Times New Roman" w:eastAsia="宋体"/>
                <w:sz w:val="24"/>
                <w:szCs w:val="24"/>
              </w:rPr>
              <w:t>2</w:t>
            </w:r>
            <w:r>
              <w:rPr>
                <w:rFonts w:ascii="Times New Roman" w:eastAsia="宋体"/>
                <w:sz w:val="24"/>
                <w:szCs w:val="24"/>
              </w:rPr>
              <w:t>所示：</w:t>
            </w:r>
          </w:p>
          <w:p>
            <w:pPr>
              <w:ind w:firstLine="422" w:firstLineChars="200"/>
              <w:jc w:val="center"/>
              <w:rPr>
                <w:b/>
                <w:bCs/>
                <w:szCs w:val="21"/>
              </w:rPr>
            </w:pPr>
            <w:r>
              <w:rPr>
                <w:b/>
                <w:bCs/>
                <w:szCs w:val="21"/>
              </w:rPr>
              <w:t>表3-</w:t>
            </w:r>
            <w:r>
              <w:rPr>
                <w:rFonts w:hint="eastAsia"/>
                <w:b/>
                <w:bCs/>
                <w:szCs w:val="21"/>
              </w:rPr>
              <w:t>2</w:t>
            </w:r>
            <w:r>
              <w:rPr>
                <w:b/>
                <w:bCs/>
                <w:szCs w:val="21"/>
              </w:rPr>
              <w:t>大气环境质量现状监测点位布置表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807"/>
              <w:gridCol w:w="45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70" w:hRule="atLeast"/>
              </w:trPr>
              <w:tc>
                <w:tcPr>
                  <w:tcW w:w="2272" w:type="pct"/>
                  <w:noWrap w:val="0"/>
                  <w:vAlign w:val="center"/>
                </w:tcPr>
                <w:p>
                  <w:pPr>
                    <w:spacing w:line="300" w:lineRule="exact"/>
                    <w:jc w:val="center"/>
                    <w:rPr>
                      <w:b/>
                    </w:rPr>
                  </w:pPr>
                  <w:r>
                    <w:rPr>
                      <w:b/>
                    </w:rPr>
                    <w:t>监测点位编号</w:t>
                  </w:r>
                </w:p>
              </w:tc>
              <w:tc>
                <w:tcPr>
                  <w:tcW w:w="2728" w:type="pct"/>
                  <w:noWrap w:val="0"/>
                  <w:vAlign w:val="center"/>
                </w:tcPr>
                <w:p>
                  <w:pPr>
                    <w:spacing w:line="300" w:lineRule="exact"/>
                    <w:jc w:val="center"/>
                    <w:rPr>
                      <w:b/>
                    </w:rPr>
                  </w:pPr>
                  <w:r>
                    <w:rPr>
                      <w:b/>
                    </w:rPr>
                    <w:t>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2272" w:type="pct"/>
                  <w:noWrap w:val="0"/>
                  <w:vAlign w:val="center"/>
                </w:tcPr>
                <w:p>
                  <w:pPr>
                    <w:spacing w:line="300" w:lineRule="exact"/>
                    <w:jc w:val="center"/>
                  </w:pPr>
                  <w:r>
                    <w:t>1#</w:t>
                  </w:r>
                </w:p>
              </w:tc>
              <w:tc>
                <w:tcPr>
                  <w:tcW w:w="2728" w:type="pct"/>
                  <w:noWrap w:val="0"/>
                  <w:vAlign w:val="center"/>
                </w:tcPr>
                <w:p>
                  <w:pPr>
                    <w:spacing w:line="300" w:lineRule="exact"/>
                    <w:jc w:val="center"/>
                  </w:pPr>
                  <w:r>
                    <w:rPr>
                      <w:rFonts w:hint="eastAsia"/>
                    </w:rPr>
                    <w:t>项目拟建厂区内</w:t>
                  </w:r>
                </w:p>
              </w:tc>
            </w:tr>
          </w:tbl>
          <w:p>
            <w:pPr>
              <w:spacing w:line="360" w:lineRule="auto"/>
              <w:ind w:firstLine="480" w:firstLineChars="200"/>
              <w:rPr>
                <w:sz w:val="24"/>
              </w:rPr>
            </w:pPr>
            <w:r>
              <w:rPr>
                <w:sz w:val="24"/>
              </w:rPr>
              <w:t>（2）监测项目</w:t>
            </w:r>
          </w:p>
          <w:p>
            <w:pPr>
              <w:spacing w:line="360" w:lineRule="auto"/>
              <w:ind w:firstLine="480" w:firstLineChars="200"/>
              <w:rPr>
                <w:sz w:val="24"/>
              </w:rPr>
            </w:pPr>
            <w:r>
              <w:rPr>
                <w:rFonts w:hint="eastAsia"/>
                <w:sz w:val="24"/>
              </w:rPr>
              <w:t>TVOC、非甲烷总烃</w:t>
            </w:r>
            <w:r>
              <w:rPr>
                <w:sz w:val="24"/>
              </w:rPr>
              <w:t>。</w:t>
            </w:r>
          </w:p>
          <w:p>
            <w:pPr>
              <w:spacing w:line="360" w:lineRule="auto"/>
              <w:ind w:firstLine="480" w:firstLineChars="200"/>
              <w:rPr>
                <w:sz w:val="24"/>
              </w:rPr>
            </w:pPr>
            <w:r>
              <w:rPr>
                <w:sz w:val="24"/>
              </w:rPr>
              <w:t>（3）监测时间、频率及方法</w:t>
            </w:r>
          </w:p>
          <w:p>
            <w:pPr>
              <w:pStyle w:val="879"/>
              <w:ind w:firstLine="480"/>
              <w:rPr>
                <w:szCs w:val="24"/>
              </w:rPr>
            </w:pPr>
            <w:r>
              <w:rPr>
                <w:szCs w:val="24"/>
              </w:rPr>
              <w:t xml:space="preserve">达州恒福环境监测服务有限公司于 </w:t>
            </w:r>
            <w:r>
              <w:rPr>
                <w:rFonts w:hint="eastAsia"/>
                <w:szCs w:val="24"/>
              </w:rPr>
              <w:t>2023年7月10日至7月12日</w:t>
            </w:r>
            <w:r>
              <w:rPr>
                <w:szCs w:val="24"/>
              </w:rPr>
              <w:t>对项目监测点位分别进行了监测，连续监测3天，</w:t>
            </w:r>
            <w:r>
              <w:rPr>
                <w:rFonts w:hint="eastAsia"/>
                <w:szCs w:val="24"/>
              </w:rPr>
              <w:t>其中</w:t>
            </w:r>
            <w:r>
              <w:rPr>
                <w:szCs w:val="24"/>
              </w:rPr>
              <w:t>每天</w:t>
            </w:r>
            <w:r>
              <w:rPr>
                <w:rFonts w:hint="eastAsia"/>
              </w:rPr>
              <w:t>TVOCs每天连续监测8h，非甲烷总烃每天</w:t>
            </w:r>
            <w:r>
              <w:rPr>
                <w:szCs w:val="24"/>
              </w:rPr>
              <w:t>监测</w:t>
            </w:r>
            <w:r>
              <w:rPr>
                <w:rFonts w:hint="eastAsia"/>
                <w:szCs w:val="24"/>
              </w:rPr>
              <w:t>4</w:t>
            </w:r>
            <w:r>
              <w:rPr>
                <w:szCs w:val="24"/>
              </w:rPr>
              <w:t>次</w:t>
            </w:r>
            <w:r>
              <w:rPr>
                <w:rFonts w:hint="eastAsia"/>
                <w:szCs w:val="24"/>
              </w:rPr>
              <w:t>，每次不小于45min</w:t>
            </w:r>
            <w:r>
              <w:t>。</w:t>
            </w:r>
            <w:r>
              <w:rPr>
                <w:szCs w:val="24"/>
              </w:rPr>
              <w:t>监测分析方法见表3-</w:t>
            </w:r>
            <w:r>
              <w:rPr>
                <w:rFonts w:hint="eastAsia"/>
                <w:szCs w:val="24"/>
              </w:rPr>
              <w:t>3</w:t>
            </w:r>
            <w:r>
              <w:rPr>
                <w:szCs w:val="24"/>
              </w:rPr>
              <w:t>。</w:t>
            </w:r>
          </w:p>
          <w:p>
            <w:pPr>
              <w:ind w:firstLine="422" w:firstLineChars="200"/>
              <w:jc w:val="center"/>
              <w:rPr>
                <w:b/>
                <w:bCs/>
                <w:szCs w:val="21"/>
              </w:rPr>
            </w:pPr>
            <w:r>
              <w:rPr>
                <w:b/>
                <w:bCs/>
                <w:szCs w:val="21"/>
              </w:rPr>
              <w:t>表3-</w:t>
            </w:r>
            <w:r>
              <w:rPr>
                <w:rFonts w:hint="eastAsia"/>
                <w:b/>
                <w:bCs/>
                <w:szCs w:val="21"/>
              </w:rPr>
              <w:t>3</w:t>
            </w:r>
            <w:r>
              <w:rPr>
                <w:b/>
                <w:bCs/>
                <w:szCs w:val="21"/>
              </w:rPr>
              <w:t xml:space="preserve"> 环境空气质量监测分析方法一览表</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38"/>
              <w:gridCol w:w="2085"/>
              <w:gridCol w:w="1603"/>
              <w:gridCol w:w="1980"/>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blHeader/>
                <w:jc w:val="center"/>
              </w:trPr>
              <w:tc>
                <w:tcPr>
                  <w:tcW w:w="1591" w:type="dxa"/>
                  <w:noWrap w:val="0"/>
                  <w:vAlign w:val="center"/>
                </w:tcPr>
                <w:p>
                  <w:pPr>
                    <w:pStyle w:val="897"/>
                    <w:snapToGrid w:val="0"/>
                    <w:spacing w:before="0" w:after="0"/>
                    <w:rPr>
                      <w:rFonts w:cs="Times New Roman"/>
                      <w:b/>
                      <w:sz w:val="21"/>
                      <w:szCs w:val="21"/>
                    </w:rPr>
                  </w:pPr>
                  <w:r>
                    <w:rPr>
                      <w:rFonts w:cs="Times New Roman"/>
                      <w:b/>
                      <w:sz w:val="21"/>
                      <w:szCs w:val="21"/>
                    </w:rPr>
                    <w:t>检测因子</w:t>
                  </w:r>
                </w:p>
              </w:tc>
              <w:tc>
                <w:tcPr>
                  <w:tcW w:w="2389" w:type="dxa"/>
                  <w:noWrap w:val="0"/>
                  <w:vAlign w:val="center"/>
                </w:tcPr>
                <w:p>
                  <w:pPr>
                    <w:pStyle w:val="897"/>
                    <w:snapToGrid w:val="0"/>
                    <w:spacing w:before="0" w:after="0"/>
                    <w:rPr>
                      <w:rFonts w:cs="Times New Roman"/>
                      <w:b/>
                      <w:sz w:val="21"/>
                      <w:szCs w:val="21"/>
                    </w:rPr>
                  </w:pPr>
                  <w:r>
                    <w:rPr>
                      <w:rFonts w:cs="Times New Roman"/>
                      <w:b/>
                      <w:sz w:val="21"/>
                      <w:szCs w:val="21"/>
                    </w:rPr>
                    <w:t>检测方法</w:t>
                  </w:r>
                </w:p>
              </w:tc>
              <w:tc>
                <w:tcPr>
                  <w:tcW w:w="1704" w:type="dxa"/>
                  <w:noWrap w:val="0"/>
                  <w:vAlign w:val="center"/>
                </w:tcPr>
                <w:p>
                  <w:pPr>
                    <w:pStyle w:val="897"/>
                    <w:snapToGrid w:val="0"/>
                    <w:spacing w:before="0" w:after="0"/>
                    <w:rPr>
                      <w:rFonts w:cs="Times New Roman"/>
                      <w:b/>
                      <w:sz w:val="21"/>
                      <w:szCs w:val="21"/>
                    </w:rPr>
                  </w:pPr>
                  <w:r>
                    <w:rPr>
                      <w:rFonts w:cs="Times New Roman"/>
                      <w:b/>
                      <w:sz w:val="21"/>
                      <w:szCs w:val="21"/>
                    </w:rPr>
                    <w:t>方法来源</w:t>
                  </w:r>
                </w:p>
              </w:tc>
              <w:tc>
                <w:tcPr>
                  <w:tcW w:w="2125" w:type="dxa"/>
                  <w:noWrap w:val="0"/>
                  <w:vAlign w:val="center"/>
                </w:tcPr>
                <w:p>
                  <w:pPr>
                    <w:pStyle w:val="897"/>
                    <w:snapToGrid w:val="0"/>
                    <w:spacing w:before="0" w:after="0"/>
                    <w:rPr>
                      <w:rFonts w:cs="Times New Roman"/>
                      <w:b/>
                      <w:sz w:val="21"/>
                      <w:szCs w:val="21"/>
                    </w:rPr>
                  </w:pPr>
                  <w:r>
                    <w:rPr>
                      <w:rFonts w:cs="Times New Roman"/>
                      <w:b/>
                      <w:sz w:val="21"/>
                      <w:szCs w:val="21"/>
                    </w:rPr>
                    <w:t>使用仪器及编号</w:t>
                  </w:r>
                </w:p>
              </w:tc>
              <w:tc>
                <w:tcPr>
                  <w:tcW w:w="1287" w:type="dxa"/>
                  <w:noWrap w:val="0"/>
                  <w:vAlign w:val="center"/>
                </w:tcPr>
                <w:p>
                  <w:pPr>
                    <w:pStyle w:val="897"/>
                    <w:snapToGrid w:val="0"/>
                    <w:spacing w:before="0" w:after="0"/>
                    <w:rPr>
                      <w:rFonts w:cs="Times New Roman"/>
                      <w:b/>
                      <w:sz w:val="21"/>
                      <w:szCs w:val="21"/>
                    </w:rPr>
                  </w:pPr>
                  <w:r>
                    <w:rPr>
                      <w:rFonts w:cs="Times New Roman"/>
                      <w:b/>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591" w:type="dxa"/>
                  <w:noWrap w:val="0"/>
                  <w:vAlign w:val="center"/>
                </w:tcPr>
                <w:p>
                  <w:pPr>
                    <w:pStyle w:val="897"/>
                    <w:snapToGrid w:val="0"/>
                    <w:spacing w:before="0" w:after="0"/>
                    <w:rPr>
                      <w:rFonts w:cs="Times New Roman"/>
                      <w:sz w:val="21"/>
                      <w:szCs w:val="21"/>
                    </w:rPr>
                  </w:pPr>
                  <w:r>
                    <w:rPr>
                      <w:rFonts w:cs="Times New Roman"/>
                      <w:sz w:val="21"/>
                      <w:szCs w:val="21"/>
                    </w:rPr>
                    <w:t>TVOC</w:t>
                  </w:r>
                </w:p>
              </w:tc>
              <w:tc>
                <w:tcPr>
                  <w:tcW w:w="2389" w:type="dxa"/>
                  <w:noWrap w:val="0"/>
                  <w:vAlign w:val="center"/>
                </w:tcPr>
                <w:p>
                  <w:pPr>
                    <w:autoSpaceDE w:val="0"/>
                    <w:autoSpaceDN w:val="0"/>
                    <w:jc w:val="center"/>
                    <w:textAlignment w:val="center"/>
                    <w:rPr>
                      <w:szCs w:val="21"/>
                    </w:rPr>
                  </w:pPr>
                  <w:r>
                    <w:rPr>
                      <w:szCs w:val="21"/>
                    </w:rPr>
                    <w:t xml:space="preserve">室内空气质量标准 </w:t>
                  </w:r>
                  <w:r>
                    <w:rPr>
                      <w:kern w:val="0"/>
                      <w:szCs w:val="21"/>
                    </w:rPr>
                    <w:t>附录D 固体吸附-热解吸-气相色谱质谱法</w:t>
                  </w:r>
                </w:p>
              </w:tc>
              <w:tc>
                <w:tcPr>
                  <w:tcW w:w="1704" w:type="dxa"/>
                  <w:noWrap w:val="0"/>
                  <w:vAlign w:val="center"/>
                </w:tcPr>
                <w:p>
                  <w:pPr>
                    <w:autoSpaceDN w:val="0"/>
                    <w:jc w:val="center"/>
                    <w:textAlignment w:val="center"/>
                    <w:rPr>
                      <w:szCs w:val="21"/>
                    </w:rPr>
                  </w:pPr>
                  <w:r>
                    <w:rPr>
                      <w:kern w:val="0"/>
                      <w:szCs w:val="21"/>
                    </w:rPr>
                    <w:t>GB/T 18883-2022</w:t>
                  </w:r>
                </w:p>
              </w:tc>
              <w:tc>
                <w:tcPr>
                  <w:tcW w:w="2125" w:type="dxa"/>
                  <w:noWrap w:val="0"/>
                  <w:vAlign w:val="center"/>
                </w:tcPr>
                <w:p>
                  <w:pPr>
                    <w:widowControl/>
                    <w:jc w:val="center"/>
                    <w:rPr>
                      <w:kern w:val="0"/>
                      <w:szCs w:val="21"/>
                    </w:rPr>
                  </w:pPr>
                  <w:r>
                    <w:rPr>
                      <w:kern w:val="0"/>
                      <w:szCs w:val="21"/>
                    </w:rPr>
                    <w:t>GC-MS 6890N+5973型气质联用仪</w:t>
                  </w:r>
                </w:p>
                <w:p>
                  <w:pPr>
                    <w:pStyle w:val="897"/>
                    <w:spacing w:before="0" w:after="0"/>
                    <w:rPr>
                      <w:rFonts w:cs="Times New Roman"/>
                      <w:kern w:val="0"/>
                      <w:sz w:val="21"/>
                      <w:szCs w:val="21"/>
                    </w:rPr>
                  </w:pPr>
                  <w:r>
                    <w:rPr>
                      <w:rFonts w:cs="Times New Roman"/>
                      <w:kern w:val="0"/>
                      <w:sz w:val="21"/>
                      <w:szCs w:val="21"/>
                    </w:rPr>
                    <w:t>（HFJ-048）</w:t>
                  </w:r>
                </w:p>
              </w:tc>
              <w:tc>
                <w:tcPr>
                  <w:tcW w:w="1287" w:type="dxa"/>
                  <w:noWrap w:val="0"/>
                  <w:vAlign w:val="center"/>
                </w:tcPr>
                <w:p>
                  <w:pPr>
                    <w:pStyle w:val="897"/>
                    <w:spacing w:before="0" w:after="0"/>
                    <w:rPr>
                      <w:rFonts w:cs="Times New Roman"/>
                      <w:kern w:val="0"/>
                      <w:sz w:val="21"/>
                      <w:szCs w:val="21"/>
                    </w:rPr>
                  </w:pPr>
                  <w:r>
                    <w:rPr>
                      <w:rFonts w:cs="Times New Roman"/>
                      <w:kern w:val="0"/>
                      <w:sz w:val="21"/>
                      <w:szCs w:val="21"/>
                    </w:rPr>
                    <w:t>0.0003mg/m</w:t>
                  </w:r>
                  <w:r>
                    <w:rPr>
                      <w:rFonts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591" w:type="dxa"/>
                  <w:noWrap w:val="0"/>
                  <w:vAlign w:val="center"/>
                </w:tcPr>
                <w:p>
                  <w:pPr>
                    <w:pStyle w:val="897"/>
                    <w:snapToGrid w:val="0"/>
                    <w:spacing w:before="0" w:after="0"/>
                    <w:rPr>
                      <w:rFonts w:hint="eastAsia" w:cs="Times New Roman"/>
                      <w:sz w:val="21"/>
                      <w:szCs w:val="21"/>
                    </w:rPr>
                  </w:pPr>
                  <w:r>
                    <w:rPr>
                      <w:rFonts w:hint="eastAsia" w:cs="Times New Roman"/>
                      <w:sz w:val="21"/>
                      <w:szCs w:val="21"/>
                    </w:rPr>
                    <w:t>非甲烷总烃</w:t>
                  </w:r>
                </w:p>
              </w:tc>
              <w:tc>
                <w:tcPr>
                  <w:tcW w:w="2389" w:type="dxa"/>
                  <w:noWrap w:val="0"/>
                  <w:vAlign w:val="center"/>
                </w:tcPr>
                <w:p>
                  <w:pPr>
                    <w:pStyle w:val="897"/>
                    <w:spacing w:before="0" w:after="0"/>
                  </w:pPr>
                  <w:r>
                    <w:rPr>
                      <w:rFonts w:cs="Times New Roman"/>
                      <w:kern w:val="0"/>
                      <w:sz w:val="21"/>
                      <w:szCs w:val="21"/>
                    </w:rPr>
                    <w:t>环境空气 总烃、甲烷和非甲烷总烃的测定 直接进样-气相色谱法</w:t>
                  </w:r>
                </w:p>
              </w:tc>
              <w:tc>
                <w:tcPr>
                  <w:tcW w:w="1704" w:type="dxa"/>
                  <w:noWrap w:val="0"/>
                  <w:vAlign w:val="center"/>
                </w:tcPr>
                <w:p>
                  <w:pPr>
                    <w:pStyle w:val="897"/>
                    <w:spacing w:before="0" w:after="0"/>
                  </w:pPr>
                  <w:r>
                    <w:rPr>
                      <w:rFonts w:cs="Times New Roman"/>
                      <w:kern w:val="0"/>
                      <w:sz w:val="21"/>
                      <w:szCs w:val="21"/>
                    </w:rPr>
                    <w:t>HJ 604-2017</w:t>
                  </w:r>
                </w:p>
              </w:tc>
              <w:tc>
                <w:tcPr>
                  <w:tcW w:w="2125" w:type="dxa"/>
                  <w:noWrap w:val="0"/>
                  <w:vAlign w:val="center"/>
                </w:tcPr>
                <w:p>
                  <w:pPr>
                    <w:widowControl/>
                    <w:jc w:val="center"/>
                    <w:rPr>
                      <w:rFonts w:hint="eastAsia"/>
                      <w:kern w:val="0"/>
                      <w:szCs w:val="21"/>
                    </w:rPr>
                  </w:pPr>
                  <w:r>
                    <w:rPr>
                      <w:kern w:val="0"/>
                      <w:szCs w:val="21"/>
                    </w:rPr>
                    <w:t>GC-7890</w:t>
                  </w:r>
                  <w:r>
                    <w:rPr>
                      <w:rFonts w:hint="eastAsia"/>
                      <w:kern w:val="0"/>
                      <w:szCs w:val="21"/>
                    </w:rPr>
                    <w:t>型</w:t>
                  </w:r>
                  <w:r>
                    <w:rPr>
                      <w:kern w:val="0"/>
                      <w:szCs w:val="21"/>
                    </w:rPr>
                    <w:t>气相</w:t>
                  </w:r>
                </w:p>
                <w:p>
                  <w:pPr>
                    <w:widowControl/>
                    <w:jc w:val="center"/>
                    <w:rPr>
                      <w:kern w:val="0"/>
                      <w:szCs w:val="21"/>
                    </w:rPr>
                  </w:pPr>
                  <w:r>
                    <w:rPr>
                      <w:kern w:val="0"/>
                      <w:szCs w:val="21"/>
                    </w:rPr>
                    <w:t>色谱仪</w:t>
                  </w:r>
                </w:p>
                <w:p>
                  <w:pPr>
                    <w:pStyle w:val="897"/>
                    <w:spacing w:before="0" w:after="0"/>
                  </w:pPr>
                  <w:r>
                    <w:rPr>
                      <w:rFonts w:cs="Times New Roman"/>
                      <w:kern w:val="0"/>
                      <w:sz w:val="21"/>
                      <w:szCs w:val="21"/>
                    </w:rPr>
                    <w:t>（HFJ-058）</w:t>
                  </w:r>
                </w:p>
              </w:tc>
              <w:tc>
                <w:tcPr>
                  <w:tcW w:w="1287" w:type="dxa"/>
                  <w:noWrap w:val="0"/>
                  <w:vAlign w:val="center"/>
                </w:tcPr>
                <w:p>
                  <w:pPr>
                    <w:pStyle w:val="897"/>
                    <w:spacing w:before="0" w:after="0"/>
                    <w:rPr>
                      <w:rFonts w:cs="Times New Roman"/>
                      <w:sz w:val="21"/>
                      <w:szCs w:val="21"/>
                    </w:rPr>
                  </w:pPr>
                  <w:r>
                    <w:rPr>
                      <w:rFonts w:cs="Times New Roman"/>
                      <w:kern w:val="0"/>
                      <w:sz w:val="21"/>
                      <w:szCs w:val="21"/>
                    </w:rPr>
                    <w:t>0.07mg/m</w:t>
                  </w:r>
                  <w:r>
                    <w:rPr>
                      <w:rFonts w:cs="Times New Roman"/>
                      <w:kern w:val="0"/>
                      <w:sz w:val="21"/>
                      <w:szCs w:val="21"/>
                      <w:vertAlign w:val="superscript"/>
                    </w:rPr>
                    <w:t>3</w:t>
                  </w:r>
                </w:p>
              </w:tc>
            </w:tr>
          </w:tbl>
          <w:p>
            <w:pPr>
              <w:pStyle w:val="837"/>
              <w:ind w:firstLine="480"/>
              <w:rPr>
                <w:szCs w:val="24"/>
              </w:rPr>
            </w:pPr>
            <w:r>
              <w:rPr>
                <w:szCs w:val="24"/>
              </w:rPr>
              <w:t>（4）评价方法</w:t>
            </w:r>
          </w:p>
          <w:p>
            <w:pPr>
              <w:pStyle w:val="837"/>
              <w:ind w:firstLine="480"/>
              <w:rPr>
                <w:szCs w:val="24"/>
              </w:rPr>
            </w:pPr>
            <w:r>
              <w:rPr>
                <w:szCs w:val="24"/>
              </w:rPr>
              <w:t>采用单因子指数法进行评价。</w:t>
            </w:r>
          </w:p>
          <w:p>
            <w:pPr>
              <w:widowControl/>
              <w:spacing w:line="360" w:lineRule="auto"/>
              <w:jc w:val="center"/>
              <w:textAlignment w:val="baseline"/>
              <w:rPr>
                <w:sz w:val="24"/>
              </w:rPr>
            </w:pPr>
            <w:r>
              <w:rPr>
                <w:sz w:val="24"/>
              </w:rPr>
              <w:t>Pi = Ci / Si</w:t>
            </w:r>
          </w:p>
          <w:p>
            <w:pPr>
              <w:widowControl/>
              <w:spacing w:line="360" w:lineRule="auto"/>
              <w:ind w:firstLine="480" w:firstLineChars="200"/>
              <w:jc w:val="left"/>
              <w:rPr>
                <w:sz w:val="24"/>
              </w:rPr>
            </w:pPr>
            <w:r>
              <w:rPr>
                <w:sz w:val="24"/>
              </w:rPr>
              <w:t xml:space="preserve">式中，Pi ——第 i 个污染物标准指数值； </w:t>
            </w:r>
          </w:p>
          <w:p>
            <w:pPr>
              <w:widowControl/>
              <w:spacing w:line="360" w:lineRule="auto"/>
              <w:ind w:firstLine="1200" w:firstLineChars="500"/>
              <w:jc w:val="left"/>
              <w:rPr>
                <w:sz w:val="24"/>
              </w:rPr>
            </w:pPr>
            <w:r>
              <w:rPr>
                <w:sz w:val="24"/>
              </w:rPr>
              <w:t>Ci ——第 i 个污染物实测浓度值，mg/m</w:t>
            </w:r>
            <w:r>
              <w:rPr>
                <w:sz w:val="24"/>
                <w:vertAlign w:val="superscript"/>
              </w:rPr>
              <w:t>3</w:t>
            </w:r>
            <w:r>
              <w:rPr>
                <w:sz w:val="24"/>
              </w:rPr>
              <w:t xml:space="preserve">； </w:t>
            </w:r>
          </w:p>
          <w:p>
            <w:pPr>
              <w:widowControl/>
              <w:spacing w:line="360" w:lineRule="auto"/>
              <w:ind w:firstLine="1200" w:firstLineChars="500"/>
              <w:jc w:val="left"/>
              <w:rPr>
                <w:sz w:val="24"/>
              </w:rPr>
            </w:pPr>
            <w:r>
              <w:rPr>
                <w:sz w:val="24"/>
              </w:rPr>
              <w:t>Si ——第 i 个污染物评价标准限值，mg/m</w:t>
            </w:r>
            <w:r>
              <w:rPr>
                <w:sz w:val="24"/>
                <w:vertAlign w:val="superscript"/>
              </w:rPr>
              <w:t>3</w:t>
            </w:r>
            <w:r>
              <w:rPr>
                <w:sz w:val="24"/>
              </w:rPr>
              <w:t xml:space="preserve">。 </w:t>
            </w:r>
          </w:p>
          <w:p>
            <w:pPr>
              <w:pStyle w:val="879"/>
              <w:ind w:firstLine="480"/>
            </w:pPr>
            <w:r>
              <w:t>当Pi值大于1.0时，表明大气环境已受到该项评价因子所表征的污染物的污染。Pi值越大，受污染程度越重；Pi值越小，受污染程度越轻。</w:t>
            </w:r>
          </w:p>
          <w:p>
            <w:pPr>
              <w:pStyle w:val="879"/>
              <w:ind w:firstLine="480"/>
            </w:pPr>
            <w:r>
              <w:t>（5）环境空气质量现状监测及评价结果</w:t>
            </w:r>
          </w:p>
          <w:p>
            <w:pPr>
              <w:widowControl/>
              <w:spacing w:line="360" w:lineRule="auto"/>
              <w:ind w:firstLine="480" w:firstLineChars="200"/>
              <w:rPr>
                <w:rFonts w:hint="eastAsia"/>
                <w:sz w:val="24"/>
              </w:rPr>
            </w:pPr>
            <w:r>
              <w:rPr>
                <w:sz w:val="24"/>
              </w:rPr>
              <w:t>项目区域环境空气</w:t>
            </w:r>
            <w:r>
              <w:rPr>
                <w:rFonts w:hint="eastAsia"/>
                <w:sz w:val="24"/>
              </w:rPr>
              <w:t>质量</w:t>
            </w:r>
            <w:r>
              <w:rPr>
                <w:sz w:val="24"/>
              </w:rPr>
              <w:t>现状监测及评价结果见表3-4。</w:t>
            </w:r>
          </w:p>
          <w:p>
            <w:pPr>
              <w:spacing w:before="120" w:beforeLines="50"/>
              <w:ind w:left="420"/>
              <w:jc w:val="center"/>
              <w:rPr>
                <w:b/>
                <w:bCs/>
                <w:szCs w:val="21"/>
              </w:rPr>
            </w:pPr>
            <w:r>
              <w:rPr>
                <w:b/>
                <w:bCs/>
                <w:szCs w:val="21"/>
              </w:rPr>
              <w:t xml:space="preserve"> 表</w:t>
            </w:r>
            <w:r>
              <w:rPr>
                <w:rFonts w:hint="eastAsia"/>
                <w:b/>
                <w:bCs/>
                <w:szCs w:val="21"/>
              </w:rPr>
              <w:t>3-4</w:t>
            </w:r>
            <w:r>
              <w:rPr>
                <w:b/>
                <w:bCs/>
                <w:szCs w:val="21"/>
              </w:rPr>
              <w:t>环境空气检测</w:t>
            </w:r>
            <w:r>
              <w:rPr>
                <w:rFonts w:hint="eastAsia"/>
                <w:b/>
                <w:bCs/>
                <w:szCs w:val="21"/>
              </w:rPr>
              <w:t>及评价</w:t>
            </w:r>
            <w:r>
              <w:rPr>
                <w:b/>
                <w:bCs/>
                <w:szCs w:val="21"/>
              </w:rPr>
              <w:t>结果表</w:t>
            </w:r>
            <w:r>
              <w:rPr>
                <w:rFonts w:hint="eastAsia"/>
                <w:b/>
                <w:bCs/>
                <w:szCs w:val="21"/>
              </w:rPr>
              <w:t>（</w:t>
            </w:r>
            <w:r>
              <w:rPr>
                <w:b/>
                <w:bCs/>
                <w:szCs w:val="21"/>
              </w:rPr>
              <w:t>单位：mg/m</w:t>
            </w:r>
            <w:r>
              <w:rPr>
                <w:b/>
                <w:bCs/>
                <w:szCs w:val="21"/>
                <w:vertAlign w:val="superscript"/>
              </w:rPr>
              <w:t>3</w:t>
            </w:r>
            <w:r>
              <w:rPr>
                <w:rFonts w:hint="eastAsia"/>
                <w:b/>
                <w:bCs/>
                <w:szCs w:val="21"/>
              </w:rPr>
              <w:t>）</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788"/>
              <w:gridCol w:w="1161"/>
              <w:gridCol w:w="1205"/>
              <w:gridCol w:w="1161"/>
              <w:gridCol w:w="1047"/>
              <w:gridCol w:w="1401"/>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Merge w:val="restart"/>
                  <w:noWrap w:val="0"/>
                  <w:vAlign w:val="center"/>
                </w:tcPr>
                <w:p>
                  <w:pPr>
                    <w:jc w:val="center"/>
                    <w:rPr>
                      <w:b/>
                      <w:bCs/>
                      <w:szCs w:val="21"/>
                    </w:rPr>
                  </w:pPr>
                  <w:r>
                    <w:rPr>
                      <w:b/>
                      <w:bCs/>
                      <w:szCs w:val="21"/>
                    </w:rPr>
                    <w:t>检测点位</w:t>
                  </w:r>
                </w:p>
              </w:tc>
              <w:tc>
                <w:tcPr>
                  <w:tcW w:w="788" w:type="dxa"/>
                  <w:vMerge w:val="restart"/>
                  <w:noWrap w:val="0"/>
                  <w:vAlign w:val="center"/>
                </w:tcPr>
                <w:p>
                  <w:pPr>
                    <w:jc w:val="center"/>
                    <w:rPr>
                      <w:b/>
                      <w:bCs/>
                      <w:szCs w:val="21"/>
                    </w:rPr>
                  </w:pPr>
                  <w:r>
                    <w:rPr>
                      <w:b/>
                      <w:bCs/>
                      <w:szCs w:val="21"/>
                    </w:rPr>
                    <w:t>检测因子</w:t>
                  </w:r>
                </w:p>
              </w:tc>
              <w:tc>
                <w:tcPr>
                  <w:tcW w:w="3545" w:type="dxa"/>
                  <w:gridSpan w:val="3"/>
                  <w:noWrap w:val="0"/>
                  <w:vAlign w:val="center"/>
                </w:tcPr>
                <w:p>
                  <w:pPr>
                    <w:jc w:val="center"/>
                    <w:rPr>
                      <w:b/>
                      <w:bCs/>
                      <w:szCs w:val="21"/>
                    </w:rPr>
                  </w:pPr>
                  <w:r>
                    <w:rPr>
                      <w:b/>
                      <w:bCs/>
                      <w:szCs w:val="21"/>
                    </w:rPr>
                    <w:t>检测结果</w:t>
                  </w:r>
                </w:p>
              </w:tc>
              <w:tc>
                <w:tcPr>
                  <w:tcW w:w="1255" w:type="dxa"/>
                  <w:vMerge w:val="restart"/>
                  <w:noWrap w:val="0"/>
                  <w:vAlign w:val="center"/>
                </w:tcPr>
                <w:p>
                  <w:pPr>
                    <w:jc w:val="center"/>
                    <w:rPr>
                      <w:szCs w:val="21"/>
                    </w:rPr>
                  </w:pPr>
                  <w:r>
                    <w:rPr>
                      <w:b/>
                      <w:szCs w:val="21"/>
                    </w:rPr>
                    <w:t>标准限值</w:t>
                  </w:r>
                </w:p>
              </w:tc>
              <w:tc>
                <w:tcPr>
                  <w:tcW w:w="1051" w:type="dxa"/>
                  <w:vMerge w:val="restart"/>
                  <w:noWrap w:val="0"/>
                  <w:vAlign w:val="center"/>
                </w:tcPr>
                <w:p>
                  <w:pPr>
                    <w:jc w:val="center"/>
                    <w:rPr>
                      <w:szCs w:val="21"/>
                    </w:rPr>
                  </w:pPr>
                  <w:r>
                    <w:rPr>
                      <w:b/>
                      <w:szCs w:val="21"/>
                    </w:rPr>
                    <w:t>评价指数Pi范围值</w:t>
                  </w:r>
                </w:p>
              </w:tc>
              <w:tc>
                <w:tcPr>
                  <w:tcW w:w="695" w:type="dxa"/>
                  <w:vMerge w:val="restart"/>
                  <w:noWrap w:val="0"/>
                  <w:vAlign w:val="center"/>
                </w:tcPr>
                <w:p>
                  <w:pPr>
                    <w:jc w:val="center"/>
                    <w:rPr>
                      <w:szCs w:val="21"/>
                    </w:rPr>
                  </w:pPr>
                  <w:r>
                    <w:rPr>
                      <w:b/>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vMerge w:val="continue"/>
                  <w:noWrap w:val="0"/>
                  <w:vAlign w:val="center"/>
                </w:tcPr>
                <w:p>
                  <w:pPr>
                    <w:widowControl/>
                    <w:jc w:val="left"/>
                    <w:rPr>
                      <w:b/>
                      <w:bCs/>
                      <w:szCs w:val="21"/>
                    </w:rPr>
                  </w:pPr>
                </w:p>
              </w:tc>
              <w:tc>
                <w:tcPr>
                  <w:tcW w:w="788" w:type="dxa"/>
                  <w:vMerge w:val="continue"/>
                  <w:noWrap w:val="0"/>
                  <w:vAlign w:val="center"/>
                </w:tcPr>
                <w:p>
                  <w:pPr>
                    <w:widowControl/>
                    <w:jc w:val="left"/>
                    <w:rPr>
                      <w:b/>
                      <w:bCs/>
                      <w:szCs w:val="21"/>
                    </w:rPr>
                  </w:pPr>
                </w:p>
              </w:tc>
              <w:tc>
                <w:tcPr>
                  <w:tcW w:w="1161" w:type="dxa"/>
                  <w:noWrap w:val="0"/>
                  <w:vAlign w:val="center"/>
                </w:tcPr>
                <w:p>
                  <w:pPr>
                    <w:jc w:val="center"/>
                    <w:rPr>
                      <w:b/>
                      <w:bCs/>
                      <w:szCs w:val="21"/>
                    </w:rPr>
                  </w:pPr>
                  <w:bookmarkStart w:id="16" w:name="OLE_LINK6"/>
                  <w:r>
                    <w:rPr>
                      <w:b/>
                      <w:bCs/>
                      <w:szCs w:val="21"/>
                    </w:rPr>
                    <w:t>202</w:t>
                  </w:r>
                  <w:bookmarkEnd w:id="16"/>
                  <w:r>
                    <w:rPr>
                      <w:b/>
                      <w:bCs/>
                      <w:szCs w:val="21"/>
                    </w:rPr>
                    <w:t>3.07.10</w:t>
                  </w:r>
                </w:p>
              </w:tc>
              <w:tc>
                <w:tcPr>
                  <w:tcW w:w="1223" w:type="dxa"/>
                  <w:noWrap w:val="0"/>
                  <w:vAlign w:val="center"/>
                </w:tcPr>
                <w:p>
                  <w:pPr>
                    <w:jc w:val="center"/>
                    <w:rPr>
                      <w:b/>
                      <w:bCs/>
                      <w:szCs w:val="21"/>
                    </w:rPr>
                  </w:pPr>
                  <w:r>
                    <w:rPr>
                      <w:b/>
                      <w:bCs/>
                      <w:szCs w:val="21"/>
                    </w:rPr>
                    <w:t>2023.07.11</w:t>
                  </w:r>
                </w:p>
              </w:tc>
              <w:tc>
                <w:tcPr>
                  <w:tcW w:w="1161" w:type="dxa"/>
                  <w:noWrap w:val="0"/>
                  <w:vAlign w:val="center"/>
                </w:tcPr>
                <w:p>
                  <w:pPr>
                    <w:jc w:val="center"/>
                    <w:rPr>
                      <w:b/>
                      <w:bCs/>
                      <w:szCs w:val="21"/>
                    </w:rPr>
                  </w:pPr>
                  <w:r>
                    <w:rPr>
                      <w:b/>
                      <w:bCs/>
                      <w:szCs w:val="21"/>
                    </w:rPr>
                    <w:t>2023.07.12</w:t>
                  </w:r>
                </w:p>
              </w:tc>
              <w:tc>
                <w:tcPr>
                  <w:tcW w:w="1255" w:type="dxa"/>
                  <w:vMerge w:val="continue"/>
                  <w:noWrap w:val="0"/>
                  <w:vAlign w:val="center"/>
                </w:tcPr>
                <w:p>
                  <w:pPr>
                    <w:jc w:val="center"/>
                    <w:rPr>
                      <w:szCs w:val="21"/>
                    </w:rPr>
                  </w:pPr>
                </w:p>
              </w:tc>
              <w:tc>
                <w:tcPr>
                  <w:tcW w:w="1051" w:type="dxa"/>
                  <w:vMerge w:val="continue"/>
                  <w:noWrap w:val="0"/>
                  <w:vAlign w:val="center"/>
                </w:tcPr>
                <w:p>
                  <w:pPr>
                    <w:jc w:val="center"/>
                    <w:rPr>
                      <w:szCs w:val="21"/>
                    </w:rPr>
                  </w:pPr>
                </w:p>
              </w:tc>
              <w:tc>
                <w:tcPr>
                  <w:tcW w:w="695" w:type="dxa"/>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0" w:type="dxa"/>
                  <w:noWrap w:val="0"/>
                  <w:vAlign w:val="center"/>
                </w:tcPr>
                <w:p>
                  <w:pPr>
                    <w:jc w:val="center"/>
                    <w:rPr>
                      <w:szCs w:val="21"/>
                    </w:rPr>
                  </w:pPr>
                  <w:r>
                    <w:rPr>
                      <w:szCs w:val="21"/>
                    </w:rPr>
                    <w:t>G1，项目厂区内</w:t>
                  </w:r>
                </w:p>
              </w:tc>
              <w:tc>
                <w:tcPr>
                  <w:tcW w:w="788" w:type="dxa"/>
                  <w:noWrap w:val="0"/>
                  <w:vAlign w:val="center"/>
                </w:tcPr>
                <w:p>
                  <w:pPr>
                    <w:snapToGrid w:val="0"/>
                    <w:jc w:val="center"/>
                    <w:rPr>
                      <w:szCs w:val="21"/>
                    </w:rPr>
                  </w:pPr>
                  <w:r>
                    <w:rPr>
                      <w:szCs w:val="21"/>
                    </w:rPr>
                    <w:t>TVOC</w:t>
                  </w:r>
                </w:p>
              </w:tc>
              <w:tc>
                <w:tcPr>
                  <w:tcW w:w="1161" w:type="dxa"/>
                  <w:noWrap w:val="0"/>
                  <w:vAlign w:val="center"/>
                </w:tcPr>
                <w:p>
                  <w:pPr>
                    <w:ind w:right="-42" w:rightChars="-20"/>
                    <w:jc w:val="center"/>
                    <w:rPr>
                      <w:szCs w:val="21"/>
                    </w:rPr>
                  </w:pPr>
                  <w:r>
                    <w:rPr>
                      <w:szCs w:val="21"/>
                    </w:rPr>
                    <w:t>0.0063</w:t>
                  </w:r>
                </w:p>
              </w:tc>
              <w:tc>
                <w:tcPr>
                  <w:tcW w:w="1223" w:type="dxa"/>
                  <w:noWrap w:val="0"/>
                  <w:vAlign w:val="center"/>
                </w:tcPr>
                <w:p>
                  <w:pPr>
                    <w:ind w:left="-42" w:leftChars="-20" w:right="-42" w:rightChars="-20"/>
                    <w:jc w:val="center"/>
                    <w:rPr>
                      <w:szCs w:val="21"/>
                    </w:rPr>
                  </w:pPr>
                  <w:r>
                    <w:rPr>
                      <w:szCs w:val="21"/>
                    </w:rPr>
                    <w:t>0.0058</w:t>
                  </w:r>
                </w:p>
              </w:tc>
              <w:tc>
                <w:tcPr>
                  <w:tcW w:w="1161" w:type="dxa"/>
                  <w:noWrap w:val="0"/>
                  <w:vAlign w:val="center"/>
                </w:tcPr>
                <w:p>
                  <w:pPr>
                    <w:ind w:left="-42" w:leftChars="-20" w:right="-42" w:rightChars="-20"/>
                    <w:jc w:val="center"/>
                    <w:rPr>
                      <w:szCs w:val="21"/>
                    </w:rPr>
                  </w:pPr>
                  <w:r>
                    <w:rPr>
                      <w:szCs w:val="21"/>
                    </w:rPr>
                    <w:t>0.0057</w:t>
                  </w:r>
                </w:p>
              </w:tc>
              <w:tc>
                <w:tcPr>
                  <w:tcW w:w="1255" w:type="dxa"/>
                  <w:noWrap w:val="0"/>
                  <w:vAlign w:val="center"/>
                </w:tcPr>
                <w:p>
                  <w:pPr>
                    <w:ind w:left="-42" w:leftChars="-20" w:right="-42" w:rightChars="-20"/>
                    <w:jc w:val="center"/>
                    <w:rPr>
                      <w:szCs w:val="21"/>
                    </w:rPr>
                  </w:pPr>
                  <w:r>
                    <w:rPr>
                      <w:szCs w:val="21"/>
                    </w:rPr>
                    <w:t>0.6</w:t>
                  </w:r>
                </w:p>
              </w:tc>
              <w:tc>
                <w:tcPr>
                  <w:tcW w:w="1051" w:type="dxa"/>
                  <w:noWrap w:val="0"/>
                  <w:vAlign w:val="center"/>
                </w:tcPr>
                <w:p>
                  <w:pPr>
                    <w:ind w:left="-42" w:leftChars="-20" w:right="-42" w:rightChars="-20"/>
                    <w:jc w:val="center"/>
                    <w:rPr>
                      <w:szCs w:val="21"/>
                    </w:rPr>
                  </w:pPr>
                  <w:r>
                    <w:rPr>
                      <w:szCs w:val="21"/>
                    </w:rPr>
                    <w:t>0.0095~0.0105</w:t>
                  </w:r>
                </w:p>
              </w:tc>
              <w:tc>
                <w:tcPr>
                  <w:tcW w:w="695" w:type="dxa"/>
                  <w:noWrap w:val="0"/>
                  <w:vAlign w:val="center"/>
                </w:tcPr>
                <w:p>
                  <w:pPr>
                    <w:ind w:left="-42" w:leftChars="-20" w:right="-42" w:rightChars="-20"/>
                    <w:jc w:val="center"/>
                    <w:rPr>
                      <w:szCs w:val="21"/>
                    </w:rPr>
                  </w:pPr>
                  <w:r>
                    <w:rPr>
                      <w:szCs w:val="21"/>
                    </w:rPr>
                    <w:t>0</w:t>
                  </w:r>
                </w:p>
              </w:tc>
            </w:tr>
          </w:tbl>
          <w:p>
            <w:pPr>
              <w:snapToGrid w:val="0"/>
              <w:spacing w:after="120" w:afterLines="50" w:line="400" w:lineRule="exact"/>
              <w:jc w:val="center"/>
              <w:rPr>
                <w:b/>
                <w:bCs/>
                <w:szCs w:val="21"/>
              </w:rPr>
            </w:pPr>
            <w:r>
              <w:rPr>
                <w:b/>
                <w:bCs/>
                <w:szCs w:val="21"/>
              </w:rPr>
              <w:t>表</w:t>
            </w:r>
            <w:r>
              <w:rPr>
                <w:rFonts w:hint="eastAsia"/>
                <w:b/>
                <w:bCs/>
                <w:szCs w:val="21"/>
              </w:rPr>
              <w:t>3-5</w:t>
            </w:r>
            <w:r>
              <w:rPr>
                <w:b/>
                <w:bCs/>
                <w:szCs w:val="21"/>
              </w:rPr>
              <w:t>环境空气检测</w:t>
            </w:r>
            <w:r>
              <w:rPr>
                <w:rFonts w:hint="eastAsia"/>
                <w:b/>
                <w:bCs/>
                <w:szCs w:val="21"/>
              </w:rPr>
              <w:t>及评价</w:t>
            </w:r>
            <w:r>
              <w:rPr>
                <w:b/>
                <w:bCs/>
                <w:szCs w:val="21"/>
              </w:rPr>
              <w:t xml:space="preserve">结果表 </w:t>
            </w:r>
            <w:r>
              <w:rPr>
                <w:rFonts w:hint="eastAsia"/>
                <w:b/>
                <w:bCs/>
                <w:szCs w:val="21"/>
              </w:rPr>
              <w:t>（</w:t>
            </w:r>
            <w:r>
              <w:rPr>
                <w:b/>
                <w:bCs/>
                <w:szCs w:val="21"/>
              </w:rPr>
              <w:t>单位：mg/m</w:t>
            </w:r>
            <w:r>
              <w:rPr>
                <w:b/>
                <w:bCs/>
                <w:szCs w:val="21"/>
                <w:vertAlign w:val="superscript"/>
              </w:rPr>
              <w:t>3</w:t>
            </w:r>
            <w:r>
              <w:rPr>
                <w:rFonts w:hint="eastAsia"/>
                <w:b/>
                <w:bCs/>
                <w:szCs w:val="21"/>
              </w:rPr>
              <w:t>）</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677"/>
              <w:gridCol w:w="1161"/>
              <w:gridCol w:w="803"/>
              <w:gridCol w:w="788"/>
              <w:gridCol w:w="789"/>
              <w:gridCol w:w="788"/>
              <w:gridCol w:w="656"/>
              <w:gridCol w:w="1275"/>
              <w:gridCol w:w="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dxa"/>
                  <w:vMerge w:val="restart"/>
                  <w:noWrap w:val="0"/>
                  <w:vAlign w:val="center"/>
                </w:tcPr>
                <w:p>
                  <w:pPr>
                    <w:jc w:val="center"/>
                    <w:rPr>
                      <w:b/>
                      <w:bCs/>
                      <w:szCs w:val="21"/>
                    </w:rPr>
                  </w:pPr>
                  <w:r>
                    <w:rPr>
                      <w:b/>
                      <w:bCs/>
                      <w:szCs w:val="21"/>
                    </w:rPr>
                    <w:t>检测点位</w:t>
                  </w:r>
                </w:p>
              </w:tc>
              <w:tc>
                <w:tcPr>
                  <w:tcW w:w="753" w:type="dxa"/>
                  <w:vMerge w:val="restart"/>
                  <w:noWrap w:val="0"/>
                  <w:vAlign w:val="center"/>
                </w:tcPr>
                <w:p>
                  <w:pPr>
                    <w:jc w:val="center"/>
                    <w:rPr>
                      <w:b/>
                      <w:bCs/>
                      <w:szCs w:val="21"/>
                    </w:rPr>
                  </w:pPr>
                  <w:r>
                    <w:rPr>
                      <w:b/>
                      <w:bCs/>
                      <w:szCs w:val="21"/>
                    </w:rPr>
                    <w:t>检测因子</w:t>
                  </w:r>
                </w:p>
              </w:tc>
              <w:tc>
                <w:tcPr>
                  <w:tcW w:w="1161" w:type="dxa"/>
                  <w:vMerge w:val="restart"/>
                  <w:noWrap w:val="0"/>
                  <w:vAlign w:val="center"/>
                </w:tcPr>
                <w:p>
                  <w:pPr>
                    <w:jc w:val="center"/>
                    <w:rPr>
                      <w:b/>
                      <w:bCs/>
                      <w:szCs w:val="21"/>
                    </w:rPr>
                  </w:pPr>
                  <w:r>
                    <w:rPr>
                      <w:b/>
                      <w:bCs/>
                      <w:szCs w:val="21"/>
                    </w:rPr>
                    <w:t>采样日期</w:t>
                  </w:r>
                </w:p>
              </w:tc>
              <w:tc>
                <w:tcPr>
                  <w:tcW w:w="3420" w:type="dxa"/>
                  <w:gridSpan w:val="4"/>
                  <w:noWrap w:val="0"/>
                  <w:vAlign w:val="center"/>
                </w:tcPr>
                <w:p>
                  <w:pPr>
                    <w:jc w:val="center"/>
                    <w:rPr>
                      <w:b/>
                      <w:bCs/>
                      <w:szCs w:val="21"/>
                    </w:rPr>
                  </w:pPr>
                  <w:r>
                    <w:rPr>
                      <w:b/>
                      <w:bCs/>
                      <w:szCs w:val="21"/>
                    </w:rPr>
                    <w:t>检测结果</w:t>
                  </w:r>
                </w:p>
              </w:tc>
              <w:tc>
                <w:tcPr>
                  <w:tcW w:w="709" w:type="dxa"/>
                  <w:vMerge w:val="restart"/>
                  <w:noWrap w:val="0"/>
                  <w:vAlign w:val="center"/>
                </w:tcPr>
                <w:p>
                  <w:pPr>
                    <w:jc w:val="center"/>
                    <w:rPr>
                      <w:b/>
                      <w:bCs/>
                      <w:szCs w:val="21"/>
                    </w:rPr>
                  </w:pPr>
                  <w:r>
                    <w:rPr>
                      <w:b/>
                      <w:szCs w:val="21"/>
                    </w:rPr>
                    <w:t>标准限值</w:t>
                  </w:r>
                </w:p>
              </w:tc>
              <w:tc>
                <w:tcPr>
                  <w:tcW w:w="851" w:type="dxa"/>
                  <w:vMerge w:val="restart"/>
                  <w:noWrap w:val="0"/>
                  <w:vAlign w:val="center"/>
                </w:tcPr>
                <w:p>
                  <w:pPr>
                    <w:jc w:val="center"/>
                    <w:rPr>
                      <w:b/>
                      <w:bCs/>
                      <w:szCs w:val="21"/>
                    </w:rPr>
                  </w:pPr>
                  <w:r>
                    <w:rPr>
                      <w:b/>
                      <w:szCs w:val="21"/>
                    </w:rPr>
                    <w:t>评价指数Pi范围值</w:t>
                  </w:r>
                </w:p>
              </w:tc>
              <w:tc>
                <w:tcPr>
                  <w:tcW w:w="476" w:type="dxa"/>
                  <w:vMerge w:val="restart"/>
                  <w:noWrap w:val="0"/>
                  <w:vAlign w:val="center"/>
                </w:tcPr>
                <w:p>
                  <w:pPr>
                    <w:jc w:val="center"/>
                    <w:rPr>
                      <w:b/>
                      <w:bCs/>
                      <w:szCs w:val="21"/>
                    </w:rPr>
                  </w:pPr>
                  <w:r>
                    <w:rPr>
                      <w:b/>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dxa"/>
                  <w:vMerge w:val="continue"/>
                  <w:noWrap w:val="0"/>
                  <w:vAlign w:val="center"/>
                </w:tcPr>
                <w:p>
                  <w:pPr>
                    <w:widowControl/>
                    <w:jc w:val="left"/>
                    <w:rPr>
                      <w:b/>
                      <w:bCs/>
                      <w:szCs w:val="21"/>
                    </w:rPr>
                  </w:pPr>
                </w:p>
              </w:tc>
              <w:tc>
                <w:tcPr>
                  <w:tcW w:w="753" w:type="dxa"/>
                  <w:vMerge w:val="continue"/>
                  <w:noWrap w:val="0"/>
                  <w:vAlign w:val="center"/>
                </w:tcPr>
                <w:p>
                  <w:pPr>
                    <w:widowControl/>
                    <w:jc w:val="left"/>
                    <w:rPr>
                      <w:b/>
                      <w:bCs/>
                      <w:szCs w:val="21"/>
                    </w:rPr>
                  </w:pPr>
                </w:p>
              </w:tc>
              <w:tc>
                <w:tcPr>
                  <w:tcW w:w="1161" w:type="dxa"/>
                  <w:vMerge w:val="continue"/>
                  <w:noWrap w:val="0"/>
                  <w:vAlign w:val="center"/>
                </w:tcPr>
                <w:p>
                  <w:pPr>
                    <w:widowControl/>
                    <w:jc w:val="left"/>
                    <w:rPr>
                      <w:b/>
                      <w:bCs/>
                      <w:szCs w:val="21"/>
                    </w:rPr>
                  </w:pPr>
                </w:p>
              </w:tc>
              <w:tc>
                <w:tcPr>
                  <w:tcW w:w="869" w:type="dxa"/>
                  <w:noWrap w:val="0"/>
                  <w:vAlign w:val="center"/>
                </w:tcPr>
                <w:p>
                  <w:pPr>
                    <w:jc w:val="center"/>
                    <w:rPr>
                      <w:b/>
                      <w:bCs/>
                      <w:szCs w:val="21"/>
                    </w:rPr>
                  </w:pPr>
                  <w:r>
                    <w:rPr>
                      <w:b/>
                      <w:bCs/>
                      <w:szCs w:val="21"/>
                    </w:rPr>
                    <w:t>第一次</w:t>
                  </w:r>
                </w:p>
              </w:tc>
              <w:tc>
                <w:tcPr>
                  <w:tcW w:w="850" w:type="dxa"/>
                  <w:noWrap w:val="0"/>
                  <w:vAlign w:val="center"/>
                </w:tcPr>
                <w:p>
                  <w:pPr>
                    <w:jc w:val="center"/>
                    <w:rPr>
                      <w:b/>
                      <w:bCs/>
                      <w:szCs w:val="21"/>
                    </w:rPr>
                  </w:pPr>
                  <w:r>
                    <w:rPr>
                      <w:b/>
                      <w:bCs/>
                      <w:szCs w:val="21"/>
                    </w:rPr>
                    <w:t>第二次</w:t>
                  </w:r>
                </w:p>
              </w:tc>
              <w:tc>
                <w:tcPr>
                  <w:tcW w:w="851" w:type="dxa"/>
                  <w:noWrap w:val="0"/>
                  <w:vAlign w:val="center"/>
                </w:tcPr>
                <w:p>
                  <w:pPr>
                    <w:jc w:val="center"/>
                    <w:rPr>
                      <w:b/>
                      <w:bCs/>
                      <w:szCs w:val="21"/>
                    </w:rPr>
                  </w:pPr>
                  <w:r>
                    <w:rPr>
                      <w:b/>
                      <w:bCs/>
                      <w:szCs w:val="21"/>
                    </w:rPr>
                    <w:t>第三次</w:t>
                  </w:r>
                </w:p>
              </w:tc>
              <w:tc>
                <w:tcPr>
                  <w:tcW w:w="850" w:type="dxa"/>
                  <w:noWrap w:val="0"/>
                  <w:vAlign w:val="center"/>
                </w:tcPr>
                <w:p>
                  <w:pPr>
                    <w:jc w:val="center"/>
                    <w:rPr>
                      <w:b/>
                      <w:bCs/>
                      <w:szCs w:val="21"/>
                    </w:rPr>
                  </w:pPr>
                  <w:r>
                    <w:rPr>
                      <w:b/>
                      <w:bCs/>
                      <w:szCs w:val="21"/>
                    </w:rPr>
                    <w:t>第四次</w:t>
                  </w:r>
                </w:p>
              </w:tc>
              <w:tc>
                <w:tcPr>
                  <w:tcW w:w="709" w:type="dxa"/>
                  <w:vMerge w:val="continue"/>
                  <w:noWrap w:val="0"/>
                  <w:vAlign w:val="center"/>
                </w:tcPr>
                <w:p>
                  <w:pPr>
                    <w:jc w:val="center"/>
                    <w:rPr>
                      <w:b/>
                      <w:bCs/>
                      <w:szCs w:val="21"/>
                    </w:rPr>
                  </w:pPr>
                </w:p>
              </w:tc>
              <w:tc>
                <w:tcPr>
                  <w:tcW w:w="851" w:type="dxa"/>
                  <w:vMerge w:val="continue"/>
                  <w:noWrap w:val="0"/>
                  <w:vAlign w:val="center"/>
                </w:tcPr>
                <w:p>
                  <w:pPr>
                    <w:jc w:val="center"/>
                    <w:rPr>
                      <w:b/>
                      <w:bCs/>
                      <w:szCs w:val="21"/>
                    </w:rPr>
                  </w:pPr>
                </w:p>
              </w:tc>
              <w:tc>
                <w:tcPr>
                  <w:tcW w:w="476" w:type="dxa"/>
                  <w:vMerge w:val="continue"/>
                  <w:noWrap w:val="0"/>
                  <w:vAlign w:val="center"/>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dxa"/>
                  <w:vMerge w:val="restart"/>
                  <w:noWrap w:val="0"/>
                  <w:vAlign w:val="center"/>
                </w:tcPr>
                <w:p>
                  <w:pPr>
                    <w:jc w:val="center"/>
                    <w:rPr>
                      <w:szCs w:val="21"/>
                    </w:rPr>
                  </w:pPr>
                  <w:r>
                    <w:rPr>
                      <w:szCs w:val="21"/>
                    </w:rPr>
                    <w:t>G1，项目厂区内</w:t>
                  </w:r>
                </w:p>
              </w:tc>
              <w:tc>
                <w:tcPr>
                  <w:tcW w:w="753" w:type="dxa"/>
                  <w:vMerge w:val="restart"/>
                  <w:noWrap w:val="0"/>
                  <w:vAlign w:val="center"/>
                </w:tcPr>
                <w:p>
                  <w:pPr>
                    <w:snapToGrid w:val="0"/>
                    <w:jc w:val="center"/>
                    <w:rPr>
                      <w:szCs w:val="21"/>
                    </w:rPr>
                  </w:pPr>
                  <w:r>
                    <w:rPr>
                      <w:szCs w:val="21"/>
                    </w:rPr>
                    <w:t>非甲烷总烃</w:t>
                  </w:r>
                </w:p>
              </w:tc>
              <w:tc>
                <w:tcPr>
                  <w:tcW w:w="1161" w:type="dxa"/>
                  <w:noWrap w:val="0"/>
                  <w:vAlign w:val="center"/>
                </w:tcPr>
                <w:p>
                  <w:pPr>
                    <w:snapToGrid w:val="0"/>
                    <w:jc w:val="center"/>
                    <w:rPr>
                      <w:szCs w:val="21"/>
                    </w:rPr>
                  </w:pPr>
                  <w:r>
                    <w:rPr>
                      <w:szCs w:val="21"/>
                    </w:rPr>
                    <w:t>2023.07.10</w:t>
                  </w:r>
                </w:p>
              </w:tc>
              <w:tc>
                <w:tcPr>
                  <w:tcW w:w="869" w:type="dxa"/>
                  <w:noWrap w:val="0"/>
                  <w:vAlign w:val="center"/>
                </w:tcPr>
                <w:p>
                  <w:pPr>
                    <w:jc w:val="center"/>
                    <w:rPr>
                      <w:szCs w:val="21"/>
                    </w:rPr>
                  </w:pPr>
                  <w:r>
                    <w:rPr>
                      <w:szCs w:val="21"/>
                    </w:rPr>
                    <w:t>1.11</w:t>
                  </w:r>
                </w:p>
              </w:tc>
              <w:tc>
                <w:tcPr>
                  <w:tcW w:w="850" w:type="dxa"/>
                  <w:noWrap w:val="0"/>
                  <w:vAlign w:val="center"/>
                </w:tcPr>
                <w:p>
                  <w:pPr>
                    <w:jc w:val="center"/>
                    <w:rPr>
                      <w:szCs w:val="21"/>
                    </w:rPr>
                  </w:pPr>
                  <w:r>
                    <w:rPr>
                      <w:szCs w:val="21"/>
                    </w:rPr>
                    <w:t>1.03</w:t>
                  </w:r>
                </w:p>
              </w:tc>
              <w:tc>
                <w:tcPr>
                  <w:tcW w:w="851" w:type="dxa"/>
                  <w:noWrap w:val="0"/>
                  <w:vAlign w:val="center"/>
                </w:tcPr>
                <w:p>
                  <w:pPr>
                    <w:jc w:val="center"/>
                    <w:rPr>
                      <w:szCs w:val="21"/>
                    </w:rPr>
                  </w:pPr>
                  <w:r>
                    <w:rPr>
                      <w:szCs w:val="21"/>
                    </w:rPr>
                    <w:t>1.04</w:t>
                  </w:r>
                </w:p>
              </w:tc>
              <w:tc>
                <w:tcPr>
                  <w:tcW w:w="850" w:type="dxa"/>
                  <w:noWrap w:val="0"/>
                  <w:vAlign w:val="center"/>
                </w:tcPr>
                <w:p>
                  <w:pPr>
                    <w:jc w:val="center"/>
                    <w:rPr>
                      <w:szCs w:val="21"/>
                    </w:rPr>
                  </w:pPr>
                  <w:r>
                    <w:rPr>
                      <w:szCs w:val="21"/>
                    </w:rPr>
                    <w:t>1.10</w:t>
                  </w:r>
                </w:p>
              </w:tc>
              <w:tc>
                <w:tcPr>
                  <w:tcW w:w="709" w:type="dxa"/>
                  <w:vMerge w:val="restart"/>
                  <w:noWrap w:val="0"/>
                  <w:vAlign w:val="center"/>
                </w:tcPr>
                <w:p>
                  <w:pPr>
                    <w:jc w:val="center"/>
                    <w:rPr>
                      <w:szCs w:val="21"/>
                    </w:rPr>
                  </w:pPr>
                  <w:r>
                    <w:rPr>
                      <w:rFonts w:hint="eastAsia"/>
                      <w:szCs w:val="21"/>
                    </w:rPr>
                    <w:t>2.0</w:t>
                  </w:r>
                </w:p>
              </w:tc>
              <w:tc>
                <w:tcPr>
                  <w:tcW w:w="851" w:type="dxa"/>
                  <w:noWrap w:val="0"/>
                  <w:vAlign w:val="center"/>
                </w:tcPr>
                <w:p>
                  <w:pPr>
                    <w:jc w:val="center"/>
                    <w:rPr>
                      <w:szCs w:val="21"/>
                    </w:rPr>
                  </w:pPr>
                  <w:r>
                    <w:rPr>
                      <w:rFonts w:hint="eastAsia"/>
                      <w:szCs w:val="21"/>
                    </w:rPr>
                    <w:t>0.515~0.555</w:t>
                  </w:r>
                </w:p>
              </w:tc>
              <w:tc>
                <w:tcPr>
                  <w:tcW w:w="476" w:type="dxa"/>
                  <w:noWrap w:val="0"/>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dxa"/>
                  <w:vMerge w:val="continue"/>
                  <w:noWrap w:val="0"/>
                  <w:vAlign w:val="center"/>
                </w:tcPr>
                <w:p>
                  <w:pPr>
                    <w:widowControl/>
                    <w:jc w:val="left"/>
                    <w:rPr>
                      <w:szCs w:val="21"/>
                    </w:rPr>
                  </w:pPr>
                </w:p>
              </w:tc>
              <w:tc>
                <w:tcPr>
                  <w:tcW w:w="753" w:type="dxa"/>
                  <w:vMerge w:val="continue"/>
                  <w:noWrap w:val="0"/>
                  <w:vAlign w:val="center"/>
                </w:tcPr>
                <w:p>
                  <w:pPr>
                    <w:widowControl/>
                    <w:jc w:val="left"/>
                    <w:rPr>
                      <w:szCs w:val="21"/>
                    </w:rPr>
                  </w:pPr>
                </w:p>
              </w:tc>
              <w:tc>
                <w:tcPr>
                  <w:tcW w:w="1161" w:type="dxa"/>
                  <w:noWrap w:val="0"/>
                  <w:vAlign w:val="center"/>
                </w:tcPr>
                <w:p>
                  <w:pPr>
                    <w:snapToGrid w:val="0"/>
                    <w:jc w:val="center"/>
                    <w:rPr>
                      <w:szCs w:val="21"/>
                    </w:rPr>
                  </w:pPr>
                  <w:r>
                    <w:rPr>
                      <w:szCs w:val="21"/>
                    </w:rPr>
                    <w:t>2023.07.11</w:t>
                  </w:r>
                </w:p>
              </w:tc>
              <w:tc>
                <w:tcPr>
                  <w:tcW w:w="869" w:type="dxa"/>
                  <w:noWrap w:val="0"/>
                  <w:vAlign w:val="center"/>
                </w:tcPr>
                <w:p>
                  <w:pPr>
                    <w:jc w:val="center"/>
                    <w:rPr>
                      <w:szCs w:val="21"/>
                    </w:rPr>
                  </w:pPr>
                  <w:r>
                    <w:rPr>
                      <w:szCs w:val="21"/>
                    </w:rPr>
                    <w:t>0.98</w:t>
                  </w:r>
                </w:p>
              </w:tc>
              <w:tc>
                <w:tcPr>
                  <w:tcW w:w="850" w:type="dxa"/>
                  <w:noWrap w:val="0"/>
                  <w:vAlign w:val="center"/>
                </w:tcPr>
                <w:p>
                  <w:pPr>
                    <w:jc w:val="center"/>
                    <w:rPr>
                      <w:szCs w:val="21"/>
                    </w:rPr>
                  </w:pPr>
                  <w:r>
                    <w:rPr>
                      <w:szCs w:val="21"/>
                    </w:rPr>
                    <w:t>0.92</w:t>
                  </w:r>
                </w:p>
              </w:tc>
              <w:tc>
                <w:tcPr>
                  <w:tcW w:w="851" w:type="dxa"/>
                  <w:noWrap w:val="0"/>
                  <w:vAlign w:val="center"/>
                </w:tcPr>
                <w:p>
                  <w:pPr>
                    <w:jc w:val="center"/>
                    <w:rPr>
                      <w:szCs w:val="21"/>
                    </w:rPr>
                  </w:pPr>
                  <w:r>
                    <w:rPr>
                      <w:szCs w:val="21"/>
                    </w:rPr>
                    <w:t>0.97</w:t>
                  </w:r>
                </w:p>
              </w:tc>
              <w:tc>
                <w:tcPr>
                  <w:tcW w:w="850" w:type="dxa"/>
                  <w:noWrap w:val="0"/>
                  <w:vAlign w:val="center"/>
                </w:tcPr>
                <w:p>
                  <w:pPr>
                    <w:jc w:val="center"/>
                    <w:rPr>
                      <w:szCs w:val="21"/>
                    </w:rPr>
                  </w:pPr>
                  <w:r>
                    <w:rPr>
                      <w:szCs w:val="21"/>
                    </w:rPr>
                    <w:t>1.15</w:t>
                  </w:r>
                </w:p>
              </w:tc>
              <w:tc>
                <w:tcPr>
                  <w:tcW w:w="709" w:type="dxa"/>
                  <w:vMerge w:val="continue"/>
                  <w:noWrap w:val="0"/>
                  <w:vAlign w:val="center"/>
                </w:tcPr>
                <w:p>
                  <w:pPr>
                    <w:jc w:val="center"/>
                    <w:rPr>
                      <w:szCs w:val="21"/>
                    </w:rPr>
                  </w:pPr>
                </w:p>
              </w:tc>
              <w:tc>
                <w:tcPr>
                  <w:tcW w:w="851" w:type="dxa"/>
                  <w:noWrap w:val="0"/>
                  <w:vAlign w:val="center"/>
                </w:tcPr>
                <w:p>
                  <w:pPr>
                    <w:jc w:val="center"/>
                    <w:rPr>
                      <w:szCs w:val="21"/>
                    </w:rPr>
                  </w:pPr>
                  <w:r>
                    <w:rPr>
                      <w:rFonts w:hint="eastAsia"/>
                      <w:szCs w:val="21"/>
                    </w:rPr>
                    <w:t>0.46~0.575</w:t>
                  </w:r>
                </w:p>
              </w:tc>
              <w:tc>
                <w:tcPr>
                  <w:tcW w:w="476" w:type="dxa"/>
                  <w:noWrap w:val="0"/>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dxa"/>
                  <w:vMerge w:val="continue"/>
                  <w:noWrap w:val="0"/>
                  <w:vAlign w:val="center"/>
                </w:tcPr>
                <w:p>
                  <w:pPr>
                    <w:widowControl/>
                    <w:jc w:val="left"/>
                    <w:rPr>
                      <w:szCs w:val="21"/>
                    </w:rPr>
                  </w:pPr>
                </w:p>
              </w:tc>
              <w:tc>
                <w:tcPr>
                  <w:tcW w:w="753" w:type="dxa"/>
                  <w:vMerge w:val="continue"/>
                  <w:noWrap w:val="0"/>
                  <w:vAlign w:val="center"/>
                </w:tcPr>
                <w:p>
                  <w:pPr>
                    <w:widowControl/>
                    <w:jc w:val="left"/>
                    <w:rPr>
                      <w:szCs w:val="21"/>
                    </w:rPr>
                  </w:pPr>
                </w:p>
              </w:tc>
              <w:tc>
                <w:tcPr>
                  <w:tcW w:w="1161" w:type="dxa"/>
                  <w:noWrap w:val="0"/>
                  <w:vAlign w:val="center"/>
                </w:tcPr>
                <w:p>
                  <w:pPr>
                    <w:snapToGrid w:val="0"/>
                    <w:jc w:val="center"/>
                    <w:rPr>
                      <w:szCs w:val="21"/>
                    </w:rPr>
                  </w:pPr>
                  <w:r>
                    <w:rPr>
                      <w:szCs w:val="21"/>
                    </w:rPr>
                    <w:t>2023.07.12</w:t>
                  </w:r>
                </w:p>
              </w:tc>
              <w:tc>
                <w:tcPr>
                  <w:tcW w:w="869" w:type="dxa"/>
                  <w:noWrap w:val="0"/>
                  <w:vAlign w:val="center"/>
                </w:tcPr>
                <w:p>
                  <w:pPr>
                    <w:jc w:val="center"/>
                    <w:rPr>
                      <w:szCs w:val="21"/>
                    </w:rPr>
                  </w:pPr>
                  <w:r>
                    <w:rPr>
                      <w:szCs w:val="21"/>
                    </w:rPr>
                    <w:t>1.08</w:t>
                  </w:r>
                </w:p>
              </w:tc>
              <w:tc>
                <w:tcPr>
                  <w:tcW w:w="850" w:type="dxa"/>
                  <w:noWrap w:val="0"/>
                  <w:vAlign w:val="center"/>
                </w:tcPr>
                <w:p>
                  <w:pPr>
                    <w:jc w:val="center"/>
                    <w:rPr>
                      <w:szCs w:val="21"/>
                    </w:rPr>
                  </w:pPr>
                  <w:r>
                    <w:rPr>
                      <w:szCs w:val="21"/>
                    </w:rPr>
                    <w:t>0.81</w:t>
                  </w:r>
                </w:p>
              </w:tc>
              <w:tc>
                <w:tcPr>
                  <w:tcW w:w="851" w:type="dxa"/>
                  <w:noWrap w:val="0"/>
                  <w:vAlign w:val="center"/>
                </w:tcPr>
                <w:p>
                  <w:pPr>
                    <w:jc w:val="center"/>
                    <w:rPr>
                      <w:szCs w:val="21"/>
                    </w:rPr>
                  </w:pPr>
                  <w:r>
                    <w:rPr>
                      <w:szCs w:val="21"/>
                    </w:rPr>
                    <w:t>1.05</w:t>
                  </w:r>
                </w:p>
              </w:tc>
              <w:tc>
                <w:tcPr>
                  <w:tcW w:w="850" w:type="dxa"/>
                  <w:noWrap w:val="0"/>
                  <w:vAlign w:val="center"/>
                </w:tcPr>
                <w:p>
                  <w:pPr>
                    <w:jc w:val="center"/>
                    <w:rPr>
                      <w:szCs w:val="21"/>
                    </w:rPr>
                  </w:pPr>
                  <w:r>
                    <w:rPr>
                      <w:szCs w:val="21"/>
                    </w:rPr>
                    <w:t>1.16</w:t>
                  </w:r>
                </w:p>
              </w:tc>
              <w:tc>
                <w:tcPr>
                  <w:tcW w:w="709" w:type="dxa"/>
                  <w:vMerge w:val="continue"/>
                  <w:noWrap w:val="0"/>
                  <w:vAlign w:val="center"/>
                </w:tcPr>
                <w:p>
                  <w:pPr>
                    <w:jc w:val="center"/>
                    <w:rPr>
                      <w:szCs w:val="21"/>
                    </w:rPr>
                  </w:pPr>
                </w:p>
              </w:tc>
              <w:tc>
                <w:tcPr>
                  <w:tcW w:w="851" w:type="dxa"/>
                  <w:noWrap w:val="0"/>
                  <w:vAlign w:val="center"/>
                </w:tcPr>
                <w:p>
                  <w:pPr>
                    <w:jc w:val="center"/>
                    <w:rPr>
                      <w:szCs w:val="21"/>
                    </w:rPr>
                  </w:pPr>
                  <w:r>
                    <w:rPr>
                      <w:rFonts w:hint="eastAsia"/>
                      <w:szCs w:val="21"/>
                    </w:rPr>
                    <w:t>0.405~0.58</w:t>
                  </w:r>
                </w:p>
              </w:tc>
              <w:tc>
                <w:tcPr>
                  <w:tcW w:w="476" w:type="dxa"/>
                  <w:noWrap w:val="0"/>
                  <w:vAlign w:val="center"/>
                </w:tcPr>
                <w:p>
                  <w:pPr>
                    <w:jc w:val="center"/>
                    <w:rPr>
                      <w:szCs w:val="21"/>
                    </w:rPr>
                  </w:pPr>
                  <w:r>
                    <w:rPr>
                      <w:rFonts w:hint="eastAsia"/>
                      <w:szCs w:val="21"/>
                    </w:rPr>
                    <w:t>0</w:t>
                  </w:r>
                </w:p>
              </w:tc>
            </w:tr>
          </w:tbl>
          <w:p>
            <w:pPr>
              <w:widowControl/>
              <w:spacing w:line="360" w:lineRule="auto"/>
              <w:ind w:firstLine="480" w:firstLineChars="200"/>
              <w:rPr>
                <w:rFonts w:hint="eastAsia"/>
                <w:sz w:val="24"/>
              </w:rPr>
            </w:pPr>
            <w:r>
              <w:rPr>
                <w:sz w:val="24"/>
              </w:rPr>
              <w:t>监测及评价结果表明：项目所在区域环境空气质量较好，各监测点监测数据未出现超标现象，单项指数Pi均小于1，</w:t>
            </w:r>
            <w:r>
              <w:rPr>
                <w:rFonts w:hint="eastAsia"/>
                <w:sz w:val="24"/>
              </w:rPr>
              <w:t>TVOCs</w:t>
            </w:r>
            <w:r>
              <w:rPr>
                <w:sz w:val="24"/>
              </w:rPr>
              <w:t>能够满足《环境影响评价技术导则—大气环境》（HJ2.2-2018）附录D其他污染物空气质量浓度参考限值要求</w:t>
            </w:r>
            <w:r>
              <w:rPr>
                <w:rFonts w:hint="eastAsia"/>
                <w:sz w:val="24"/>
              </w:rPr>
              <w:t>；非甲烷总烃能够满足《大气污染物综合排放标准详解》中的标准要求。</w:t>
            </w:r>
          </w:p>
          <w:p>
            <w:pPr>
              <w:spacing w:line="360" w:lineRule="auto"/>
              <w:ind w:firstLine="480"/>
              <w:rPr>
                <w:b/>
                <w:bCs/>
                <w:sz w:val="28"/>
                <w:szCs w:val="28"/>
              </w:rPr>
            </w:pPr>
            <w:r>
              <w:rPr>
                <w:b/>
                <w:bCs/>
                <w:sz w:val="28"/>
                <w:szCs w:val="28"/>
              </w:rPr>
              <w:t>二、地表水环境质量现状</w:t>
            </w:r>
          </w:p>
          <w:p>
            <w:pPr>
              <w:widowControl/>
              <w:spacing w:line="360" w:lineRule="auto"/>
              <w:ind w:firstLine="480" w:firstLineChars="200"/>
              <w:rPr>
                <w:kern w:val="0"/>
                <w:sz w:val="24"/>
                <w:lang w:bidi="ar"/>
              </w:rPr>
            </w:pPr>
            <w:r>
              <w:rPr>
                <w:sz w:val="24"/>
              </w:rPr>
              <w:t>项目所在地</w:t>
            </w:r>
            <w:r>
              <w:rPr>
                <w:rFonts w:hint="eastAsia"/>
                <w:sz w:val="24"/>
              </w:rPr>
              <w:t>附近的</w:t>
            </w:r>
            <w:r>
              <w:rPr>
                <w:sz w:val="24"/>
              </w:rPr>
              <w:t>河流为</w:t>
            </w:r>
            <w:r>
              <w:rPr>
                <w:rFonts w:hint="eastAsia"/>
                <w:sz w:val="24"/>
              </w:rPr>
              <w:t>明月江和州河</w:t>
            </w:r>
            <w:r>
              <w:rPr>
                <w:sz w:val="24"/>
              </w:rPr>
              <w:t>，水功能类别执行《地表水环境质量标准》（GB3838-2002）Ⅲ类水域水质标准。</w:t>
            </w:r>
            <w:r>
              <w:rPr>
                <w:kern w:val="0"/>
                <w:sz w:val="24"/>
                <w:lang w:bidi="ar"/>
              </w:rPr>
              <w:t xml:space="preserve"> </w:t>
            </w:r>
          </w:p>
          <w:p>
            <w:pPr>
              <w:widowControl/>
              <w:spacing w:line="360" w:lineRule="auto"/>
              <w:ind w:firstLine="480" w:firstLineChars="200"/>
              <w:jc w:val="left"/>
              <w:rPr>
                <w:kern w:val="0"/>
                <w:sz w:val="24"/>
                <w:lang w:bidi="ar"/>
              </w:rPr>
            </w:pPr>
            <w:r>
              <w:rPr>
                <w:kern w:val="0"/>
                <w:sz w:val="24"/>
                <w:lang w:bidi="ar"/>
              </w:rPr>
              <w:t>根据《建设项目环境影响报告表编制技术指南（污染影响类）（试行）》 中有关水环境质量现状调查的规定，引用与建设项目距离近的有效数据，包括近3年的规划环境影响评价的监测数据，所在流域控制单元内国家、地方控制断面监测数据，生态环境主管部门发布的水环境质量数据或地表水达标情况的结论。</w:t>
            </w:r>
          </w:p>
          <w:p>
            <w:pPr>
              <w:spacing w:line="360" w:lineRule="auto"/>
              <w:ind w:firstLine="480" w:firstLineChars="200"/>
              <w:rPr>
                <w:rFonts w:hint="eastAsia"/>
                <w:kern w:val="0"/>
                <w:sz w:val="24"/>
                <w:lang w:bidi="ar"/>
              </w:rPr>
            </w:pPr>
            <w:r>
              <w:rPr>
                <w:kern w:val="0"/>
                <w:sz w:val="24"/>
                <w:lang w:bidi="ar"/>
              </w:rPr>
              <w:t>本次评价选用</w:t>
            </w:r>
            <w:r>
              <w:rPr>
                <w:rFonts w:hint="eastAsia"/>
                <w:kern w:val="0"/>
                <w:sz w:val="24"/>
                <w:lang w:bidi="ar"/>
              </w:rPr>
              <w:t>达州市</w:t>
            </w:r>
            <w:r>
              <w:rPr>
                <w:kern w:val="0"/>
                <w:sz w:val="24"/>
                <w:lang w:bidi="ar"/>
              </w:rPr>
              <w:t>生态环境局202</w:t>
            </w:r>
            <w:r>
              <w:rPr>
                <w:rFonts w:hint="eastAsia"/>
                <w:kern w:val="0"/>
                <w:sz w:val="24"/>
                <w:lang w:bidi="ar"/>
              </w:rPr>
              <w:t>3</w:t>
            </w:r>
            <w:r>
              <w:rPr>
                <w:kern w:val="0"/>
                <w:sz w:val="24"/>
                <w:lang w:bidi="ar"/>
              </w:rPr>
              <w:t>年</w:t>
            </w:r>
            <w:r>
              <w:rPr>
                <w:rFonts w:hint="eastAsia"/>
                <w:kern w:val="0"/>
                <w:sz w:val="24"/>
                <w:lang w:bidi="ar"/>
              </w:rPr>
              <w:t>7</w:t>
            </w:r>
            <w:r>
              <w:rPr>
                <w:kern w:val="0"/>
                <w:sz w:val="24"/>
                <w:lang w:bidi="ar"/>
              </w:rPr>
              <w:t>月</w:t>
            </w:r>
            <w:r>
              <w:rPr>
                <w:rFonts w:hint="eastAsia"/>
                <w:kern w:val="0"/>
                <w:sz w:val="24"/>
                <w:lang w:bidi="ar"/>
              </w:rPr>
              <w:t>17</w:t>
            </w:r>
            <w:r>
              <w:rPr>
                <w:kern w:val="0"/>
                <w:sz w:val="24"/>
                <w:lang w:bidi="ar"/>
              </w:rPr>
              <w:t>日公布的</w:t>
            </w:r>
            <w:r>
              <w:rPr>
                <w:rFonts w:hint="eastAsia"/>
                <w:kern w:val="0"/>
                <w:sz w:val="24"/>
                <w:lang w:bidi="ar"/>
              </w:rPr>
              <w:t>《20</w:t>
            </w:r>
            <w:r>
              <w:rPr>
                <w:kern w:val="0"/>
                <w:sz w:val="24"/>
                <w:lang w:bidi="ar"/>
              </w:rPr>
              <w:t>2</w:t>
            </w:r>
            <w:r>
              <w:rPr>
                <w:rFonts w:hint="eastAsia"/>
                <w:kern w:val="0"/>
                <w:sz w:val="24"/>
                <w:lang w:bidi="ar"/>
              </w:rPr>
              <w:t>3年6月达州市地表水水质月报》（</w:t>
            </w:r>
            <w:r>
              <w:rPr>
                <w:kern w:val="0"/>
                <w:sz w:val="24"/>
                <w:lang w:bidi="ar"/>
              </w:rPr>
              <w:t>https://sthjj.dazhou.gov.cn/news-show-16518.html</w:t>
            </w:r>
            <w:r>
              <w:rPr>
                <w:rFonts w:hint="eastAsia"/>
                <w:kern w:val="0"/>
                <w:sz w:val="24"/>
                <w:lang w:bidi="ar"/>
              </w:rPr>
              <w:t>）中水环境质量状况：</w:t>
            </w:r>
            <w:r>
              <w:rPr>
                <w:kern w:val="0"/>
                <w:sz w:val="24"/>
                <w:lang w:bidi="ar"/>
              </w:rPr>
              <w:t>2023年6月全市35个河流断面中，优（Ⅰ~Ⅱ类）良（Ⅲ类）水质断面 32个，占比91.4%；轻度污染（Ⅳ类）水质断面3个，占比8.6%。全市河流超标情况为：平滩河碧山中学、袁驿河速建桥、施家河岩登坡桥断面受到轻度污染，主要污染指标为高锰酸盐指数、化学需氧量。</w:t>
            </w:r>
          </w:p>
          <w:p>
            <w:pPr>
              <w:spacing w:line="360" w:lineRule="auto"/>
              <w:ind w:firstLine="480" w:firstLineChars="200"/>
              <w:rPr>
                <w:rFonts w:hint="eastAsia"/>
                <w:kern w:val="0"/>
                <w:sz w:val="24"/>
                <w:lang w:bidi="ar"/>
              </w:rPr>
            </w:pPr>
            <w:r>
              <w:rPr>
                <w:kern w:val="0"/>
                <w:sz w:val="24"/>
                <w:lang w:bidi="ar"/>
              </w:rPr>
              <w:t>区域水质评价结果表如下</w:t>
            </w:r>
            <w:r>
              <w:rPr>
                <w:rFonts w:hint="eastAsia"/>
                <w:kern w:val="0"/>
                <w:sz w:val="24"/>
                <w:lang w:bidi="ar"/>
              </w:rPr>
              <w:t>：</w:t>
            </w:r>
          </w:p>
          <w:p>
            <w:pPr>
              <w:spacing w:line="360" w:lineRule="auto"/>
              <w:jc w:val="center"/>
              <w:rPr>
                <w:rFonts w:hint="eastAsia"/>
                <w:b/>
                <w:bCs/>
                <w:szCs w:val="21"/>
              </w:rPr>
            </w:pPr>
            <w:r>
              <w:rPr>
                <w:rFonts w:hint="eastAsia"/>
                <w:b/>
                <w:bCs/>
                <w:szCs w:val="21"/>
              </w:rPr>
              <w:t>表3-6</w:t>
            </w:r>
            <w:r>
              <w:rPr>
                <w:b/>
                <w:bCs/>
                <w:szCs w:val="21"/>
              </w:rPr>
              <w:t xml:space="preserve"> </w:t>
            </w:r>
            <w:r>
              <w:rPr>
                <w:rFonts w:hint="eastAsia"/>
                <w:b/>
                <w:bCs/>
                <w:szCs w:val="21"/>
              </w:rPr>
              <w:t xml:space="preserve"> 2023年6月明月江及州河水质评价结果表</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130"/>
              <w:gridCol w:w="2056"/>
              <w:gridCol w:w="877"/>
              <w:gridCol w:w="653"/>
              <w:gridCol w:w="728"/>
              <w:gridCol w:w="72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3" w:type="dxa"/>
                  <w:noWrap w:val="0"/>
                  <w:vAlign w:val="center"/>
                </w:tcPr>
                <w:p>
                  <w:pPr>
                    <w:spacing w:line="240" w:lineRule="exact"/>
                    <w:jc w:val="center"/>
                    <w:rPr>
                      <w:b/>
                      <w:bCs/>
                      <w:szCs w:val="21"/>
                    </w:rPr>
                  </w:pPr>
                  <w:r>
                    <w:rPr>
                      <w:b/>
                      <w:bCs/>
                      <w:szCs w:val="21"/>
                    </w:rPr>
                    <w:t>河流名称</w:t>
                  </w:r>
                </w:p>
              </w:tc>
              <w:tc>
                <w:tcPr>
                  <w:tcW w:w="1130" w:type="dxa"/>
                  <w:noWrap w:val="0"/>
                  <w:vAlign w:val="center"/>
                </w:tcPr>
                <w:p>
                  <w:pPr>
                    <w:spacing w:line="240" w:lineRule="exact"/>
                    <w:jc w:val="center"/>
                    <w:rPr>
                      <w:b/>
                      <w:bCs/>
                      <w:szCs w:val="21"/>
                    </w:rPr>
                  </w:pPr>
                  <w:r>
                    <w:rPr>
                      <w:b/>
                      <w:bCs/>
                      <w:szCs w:val="21"/>
                    </w:rPr>
                    <w:t>断面名称</w:t>
                  </w:r>
                </w:p>
              </w:tc>
              <w:tc>
                <w:tcPr>
                  <w:tcW w:w="2056" w:type="dxa"/>
                  <w:noWrap w:val="0"/>
                  <w:vAlign w:val="center"/>
                </w:tcPr>
                <w:p>
                  <w:pPr>
                    <w:spacing w:line="240" w:lineRule="exact"/>
                    <w:jc w:val="center"/>
                    <w:rPr>
                      <w:b/>
                      <w:bCs/>
                      <w:szCs w:val="21"/>
                    </w:rPr>
                  </w:pPr>
                  <w:r>
                    <w:rPr>
                      <w:rFonts w:hint="eastAsia"/>
                      <w:b/>
                      <w:bCs/>
                      <w:szCs w:val="21"/>
                    </w:rPr>
                    <w:t>交界情况</w:t>
                  </w:r>
                </w:p>
              </w:tc>
              <w:tc>
                <w:tcPr>
                  <w:tcW w:w="877" w:type="dxa"/>
                  <w:noWrap w:val="0"/>
                  <w:vAlign w:val="center"/>
                </w:tcPr>
                <w:p>
                  <w:pPr>
                    <w:spacing w:line="240" w:lineRule="exact"/>
                    <w:jc w:val="center"/>
                    <w:rPr>
                      <w:b/>
                      <w:bCs/>
                      <w:szCs w:val="21"/>
                    </w:rPr>
                  </w:pPr>
                  <w:r>
                    <w:rPr>
                      <w:rFonts w:hint="eastAsia"/>
                      <w:b/>
                      <w:bCs/>
                      <w:szCs w:val="21"/>
                    </w:rPr>
                    <w:t>断面性质</w:t>
                  </w:r>
                </w:p>
              </w:tc>
              <w:tc>
                <w:tcPr>
                  <w:tcW w:w="653" w:type="dxa"/>
                  <w:noWrap w:val="0"/>
                  <w:vAlign w:val="center"/>
                </w:tcPr>
                <w:p>
                  <w:pPr>
                    <w:spacing w:line="240" w:lineRule="exact"/>
                    <w:jc w:val="center"/>
                    <w:rPr>
                      <w:b/>
                      <w:bCs/>
                      <w:szCs w:val="21"/>
                    </w:rPr>
                  </w:pPr>
                  <w:r>
                    <w:rPr>
                      <w:b/>
                      <w:bCs/>
                      <w:szCs w:val="21"/>
                    </w:rPr>
                    <w:t>上年同期</w:t>
                  </w:r>
                </w:p>
              </w:tc>
              <w:tc>
                <w:tcPr>
                  <w:tcW w:w="728" w:type="dxa"/>
                  <w:noWrap w:val="0"/>
                  <w:vAlign w:val="center"/>
                </w:tcPr>
                <w:p>
                  <w:pPr>
                    <w:spacing w:line="240" w:lineRule="exact"/>
                    <w:jc w:val="center"/>
                    <w:rPr>
                      <w:b/>
                      <w:bCs/>
                      <w:szCs w:val="21"/>
                    </w:rPr>
                  </w:pPr>
                  <w:r>
                    <w:rPr>
                      <w:b/>
                      <w:bCs/>
                      <w:szCs w:val="21"/>
                    </w:rPr>
                    <w:t>上月类别</w:t>
                  </w:r>
                </w:p>
              </w:tc>
              <w:tc>
                <w:tcPr>
                  <w:tcW w:w="726" w:type="dxa"/>
                  <w:noWrap w:val="0"/>
                  <w:vAlign w:val="center"/>
                </w:tcPr>
                <w:p>
                  <w:pPr>
                    <w:spacing w:line="240" w:lineRule="exact"/>
                    <w:jc w:val="center"/>
                    <w:rPr>
                      <w:b/>
                      <w:bCs/>
                      <w:szCs w:val="21"/>
                    </w:rPr>
                  </w:pPr>
                  <w:r>
                    <w:rPr>
                      <w:b/>
                      <w:bCs/>
                      <w:szCs w:val="21"/>
                    </w:rPr>
                    <w:t>本月类别</w:t>
                  </w:r>
                </w:p>
              </w:tc>
              <w:tc>
                <w:tcPr>
                  <w:tcW w:w="1347" w:type="dxa"/>
                  <w:noWrap w:val="0"/>
                  <w:vAlign w:val="center"/>
                </w:tcPr>
                <w:p>
                  <w:pPr>
                    <w:spacing w:line="240" w:lineRule="exact"/>
                    <w:jc w:val="center"/>
                    <w:rPr>
                      <w:b/>
                      <w:bCs/>
                      <w:szCs w:val="21"/>
                    </w:rPr>
                  </w:pPr>
                  <w:r>
                    <w:rPr>
                      <w:b/>
                      <w:bCs/>
                      <w:szCs w:val="21"/>
                    </w:rPr>
                    <w:t>主要污染指标</w:t>
                  </w:r>
                </w:p>
                <w:p>
                  <w:pPr>
                    <w:spacing w:line="240" w:lineRule="exact"/>
                    <w:jc w:val="center"/>
                    <w:rPr>
                      <w:b/>
                      <w:bCs/>
                      <w:szCs w:val="21"/>
                    </w:rPr>
                  </w:pPr>
                  <w:r>
                    <w:rPr>
                      <w:rFonts w:hint="eastAsia"/>
                      <w:b/>
                      <w:bCs/>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3" w:type="dxa"/>
                  <w:vMerge w:val="restart"/>
                  <w:noWrap w:val="0"/>
                  <w:vAlign w:val="center"/>
                </w:tcPr>
                <w:p>
                  <w:pPr>
                    <w:spacing w:line="240" w:lineRule="exact"/>
                    <w:jc w:val="center"/>
                    <w:rPr>
                      <w:rFonts w:hint="eastAsia"/>
                      <w:szCs w:val="21"/>
                    </w:rPr>
                  </w:pPr>
                  <w:r>
                    <w:rPr>
                      <w:rFonts w:hint="eastAsia"/>
                      <w:szCs w:val="21"/>
                    </w:rPr>
                    <w:t>州河干流</w:t>
                  </w:r>
                </w:p>
              </w:tc>
              <w:tc>
                <w:tcPr>
                  <w:tcW w:w="1130" w:type="dxa"/>
                  <w:noWrap w:val="0"/>
                  <w:vAlign w:val="center"/>
                </w:tcPr>
                <w:p>
                  <w:pPr>
                    <w:spacing w:line="240" w:lineRule="exact"/>
                    <w:jc w:val="center"/>
                    <w:rPr>
                      <w:rFonts w:hint="eastAsia"/>
                      <w:szCs w:val="21"/>
                    </w:rPr>
                  </w:pPr>
                  <w:r>
                    <w:rPr>
                      <w:rFonts w:hint="eastAsia"/>
                      <w:szCs w:val="21"/>
                    </w:rPr>
                    <w:t>张鼓坪</w:t>
                  </w:r>
                </w:p>
              </w:tc>
              <w:tc>
                <w:tcPr>
                  <w:tcW w:w="2056" w:type="dxa"/>
                  <w:noWrap w:val="0"/>
                  <w:vAlign w:val="center"/>
                </w:tcPr>
                <w:p>
                  <w:pPr>
                    <w:spacing w:line="240" w:lineRule="exact"/>
                    <w:jc w:val="center"/>
                    <w:rPr>
                      <w:rFonts w:hint="eastAsia"/>
                      <w:szCs w:val="21"/>
                    </w:rPr>
                  </w:pPr>
                  <w:r>
                    <w:rPr>
                      <w:rFonts w:hint="eastAsia"/>
                      <w:szCs w:val="21"/>
                    </w:rPr>
                    <w:t>县界</w:t>
                  </w:r>
                </w:p>
                <w:p>
                  <w:pPr>
                    <w:spacing w:line="240" w:lineRule="exact"/>
                    <w:jc w:val="center"/>
                    <w:rPr>
                      <w:rFonts w:hint="eastAsia"/>
                      <w:szCs w:val="21"/>
                    </w:rPr>
                  </w:pPr>
                  <w:r>
                    <w:rPr>
                      <w:rFonts w:hint="eastAsia"/>
                      <w:szCs w:val="21"/>
                    </w:rPr>
                    <w:t>（宣汉县→通川区）</w:t>
                  </w:r>
                </w:p>
              </w:tc>
              <w:tc>
                <w:tcPr>
                  <w:tcW w:w="877" w:type="dxa"/>
                  <w:noWrap w:val="0"/>
                  <w:vAlign w:val="center"/>
                </w:tcPr>
                <w:p>
                  <w:pPr>
                    <w:spacing w:line="240" w:lineRule="exact"/>
                    <w:jc w:val="center"/>
                    <w:rPr>
                      <w:szCs w:val="21"/>
                    </w:rPr>
                  </w:pPr>
                  <w:r>
                    <w:rPr>
                      <w:rFonts w:hint="eastAsia"/>
                      <w:szCs w:val="21"/>
                    </w:rPr>
                    <w:t>省控考核评价</w:t>
                  </w:r>
                </w:p>
              </w:tc>
              <w:tc>
                <w:tcPr>
                  <w:tcW w:w="653" w:type="dxa"/>
                  <w:noWrap w:val="0"/>
                  <w:vAlign w:val="center"/>
                </w:tcPr>
                <w:p>
                  <w:pPr>
                    <w:spacing w:line="240" w:lineRule="exact"/>
                    <w:jc w:val="center"/>
                    <w:rPr>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p>
              </w:tc>
              <w:tc>
                <w:tcPr>
                  <w:tcW w:w="728" w:type="dxa"/>
                  <w:noWrap w:val="0"/>
                  <w:vAlign w:val="center"/>
                </w:tcPr>
                <w:p>
                  <w:pPr>
                    <w:spacing w:line="240" w:lineRule="exact"/>
                    <w:jc w:val="center"/>
                    <w:rPr>
                      <w:szCs w:val="21"/>
                    </w:rPr>
                  </w:pPr>
                  <w:r>
                    <w:rPr>
                      <w:rFonts w:hint="eastAsia"/>
                      <w:szCs w:val="21"/>
                    </w:rPr>
                    <w:t>Ⅱ</w:t>
                  </w:r>
                </w:p>
              </w:tc>
              <w:tc>
                <w:tcPr>
                  <w:tcW w:w="726" w:type="dxa"/>
                  <w:noWrap w:val="0"/>
                  <w:vAlign w:val="center"/>
                </w:tcPr>
                <w:p>
                  <w:pPr>
                    <w:spacing w:line="240" w:lineRule="exact"/>
                    <w:jc w:val="center"/>
                    <w:rPr>
                      <w:szCs w:val="21"/>
                    </w:rPr>
                  </w:pPr>
                  <w:r>
                    <w:rPr>
                      <w:rFonts w:hint="eastAsia"/>
                      <w:szCs w:val="21"/>
                    </w:rPr>
                    <w:t>Ⅱ</w:t>
                  </w:r>
                </w:p>
              </w:tc>
              <w:tc>
                <w:tcPr>
                  <w:tcW w:w="1347" w:type="dxa"/>
                  <w:noWrap w:val="0"/>
                  <w:vAlign w:val="center"/>
                </w:tcPr>
                <w:p>
                  <w:pPr>
                    <w:spacing w:line="240" w:lineRule="exact"/>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3" w:type="dxa"/>
                  <w:vMerge w:val="continue"/>
                  <w:noWrap w:val="0"/>
                  <w:vAlign w:val="center"/>
                </w:tcPr>
                <w:p>
                  <w:pPr>
                    <w:spacing w:line="240" w:lineRule="exact"/>
                    <w:jc w:val="center"/>
                    <w:rPr>
                      <w:rFonts w:hint="eastAsia"/>
                      <w:szCs w:val="21"/>
                    </w:rPr>
                  </w:pPr>
                </w:p>
              </w:tc>
              <w:tc>
                <w:tcPr>
                  <w:tcW w:w="1130" w:type="dxa"/>
                  <w:noWrap w:val="0"/>
                  <w:vAlign w:val="center"/>
                </w:tcPr>
                <w:p>
                  <w:pPr>
                    <w:spacing w:line="240" w:lineRule="exact"/>
                    <w:jc w:val="center"/>
                    <w:rPr>
                      <w:rFonts w:hint="eastAsia"/>
                      <w:szCs w:val="21"/>
                    </w:rPr>
                  </w:pPr>
                  <w:r>
                    <w:rPr>
                      <w:rFonts w:hint="eastAsia"/>
                      <w:szCs w:val="21"/>
                    </w:rPr>
                    <w:t>车家河</w:t>
                  </w:r>
                </w:p>
              </w:tc>
              <w:tc>
                <w:tcPr>
                  <w:tcW w:w="2056" w:type="dxa"/>
                  <w:noWrap w:val="0"/>
                  <w:vAlign w:val="center"/>
                </w:tcPr>
                <w:p>
                  <w:pPr>
                    <w:spacing w:line="240" w:lineRule="exact"/>
                    <w:jc w:val="center"/>
                    <w:rPr>
                      <w:rFonts w:hint="eastAsia"/>
                      <w:szCs w:val="21"/>
                    </w:rPr>
                  </w:pPr>
                  <w:r>
                    <w:rPr>
                      <w:rFonts w:hint="eastAsia"/>
                      <w:szCs w:val="21"/>
                    </w:rPr>
                    <w:t>市城区</w:t>
                  </w:r>
                </w:p>
              </w:tc>
              <w:tc>
                <w:tcPr>
                  <w:tcW w:w="877" w:type="dxa"/>
                  <w:noWrap w:val="0"/>
                  <w:vAlign w:val="center"/>
                </w:tcPr>
                <w:p>
                  <w:pPr>
                    <w:spacing w:line="240" w:lineRule="exact"/>
                    <w:jc w:val="center"/>
                    <w:rPr>
                      <w:rFonts w:hint="eastAsia"/>
                      <w:szCs w:val="21"/>
                    </w:rPr>
                  </w:pPr>
                  <w:r>
                    <w:rPr>
                      <w:rFonts w:hint="eastAsia"/>
                      <w:szCs w:val="21"/>
                    </w:rPr>
                    <w:t>国考</w:t>
                  </w:r>
                </w:p>
              </w:tc>
              <w:tc>
                <w:tcPr>
                  <w:tcW w:w="653" w:type="dxa"/>
                  <w:noWrap w:val="0"/>
                  <w:vAlign w:val="center"/>
                </w:tcPr>
                <w:p>
                  <w:pPr>
                    <w:spacing w:line="240" w:lineRule="exact"/>
                    <w:jc w:val="center"/>
                    <w:rPr>
                      <w:rFonts w:hint="eastAsia"/>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p>
              </w:tc>
              <w:tc>
                <w:tcPr>
                  <w:tcW w:w="728" w:type="dxa"/>
                  <w:noWrap w:val="0"/>
                  <w:vAlign w:val="center"/>
                </w:tcPr>
                <w:p>
                  <w:pPr>
                    <w:spacing w:line="240" w:lineRule="exact"/>
                    <w:jc w:val="center"/>
                    <w:rPr>
                      <w:rFonts w:hint="eastAsia"/>
                      <w:szCs w:val="21"/>
                    </w:rPr>
                  </w:pPr>
                  <w:r>
                    <w:rPr>
                      <w:rFonts w:hint="eastAsia"/>
                      <w:szCs w:val="21"/>
                    </w:rPr>
                    <w:t>Ⅱ</w:t>
                  </w:r>
                </w:p>
              </w:tc>
              <w:tc>
                <w:tcPr>
                  <w:tcW w:w="726" w:type="dxa"/>
                  <w:noWrap w:val="0"/>
                  <w:vAlign w:val="center"/>
                </w:tcPr>
                <w:p>
                  <w:pPr>
                    <w:spacing w:line="240" w:lineRule="exact"/>
                    <w:jc w:val="center"/>
                    <w:rPr>
                      <w:rFonts w:hint="eastAsia"/>
                      <w:szCs w:val="21"/>
                    </w:rPr>
                  </w:pPr>
                  <w:r>
                    <w:rPr>
                      <w:rFonts w:hint="eastAsia"/>
                      <w:szCs w:val="21"/>
                    </w:rPr>
                    <w:t>Ⅱ</w:t>
                  </w:r>
                </w:p>
              </w:tc>
              <w:tc>
                <w:tcPr>
                  <w:tcW w:w="1347" w:type="dxa"/>
                  <w:noWrap w:val="0"/>
                  <w:vAlign w:val="center"/>
                </w:tcPr>
                <w:p>
                  <w:pPr>
                    <w:spacing w:line="24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83" w:type="dxa"/>
                  <w:noWrap w:val="0"/>
                  <w:vAlign w:val="center"/>
                </w:tcPr>
                <w:p>
                  <w:pPr>
                    <w:spacing w:line="240" w:lineRule="exact"/>
                    <w:jc w:val="center"/>
                    <w:rPr>
                      <w:rFonts w:hint="eastAsia"/>
                      <w:szCs w:val="21"/>
                    </w:rPr>
                  </w:pPr>
                  <w:r>
                    <w:rPr>
                      <w:rFonts w:hint="eastAsia"/>
                      <w:szCs w:val="21"/>
                    </w:rPr>
                    <w:t>明月江</w:t>
                  </w:r>
                </w:p>
              </w:tc>
              <w:tc>
                <w:tcPr>
                  <w:tcW w:w="1130" w:type="dxa"/>
                  <w:noWrap w:val="0"/>
                  <w:vAlign w:val="center"/>
                </w:tcPr>
                <w:p>
                  <w:pPr>
                    <w:spacing w:line="240" w:lineRule="exact"/>
                    <w:jc w:val="center"/>
                    <w:rPr>
                      <w:rFonts w:hint="eastAsia"/>
                      <w:szCs w:val="21"/>
                    </w:rPr>
                  </w:pPr>
                  <w:r>
                    <w:rPr>
                      <w:rFonts w:hint="eastAsia"/>
                      <w:szCs w:val="21"/>
                    </w:rPr>
                    <w:t>李家渡</w:t>
                  </w:r>
                </w:p>
              </w:tc>
              <w:tc>
                <w:tcPr>
                  <w:tcW w:w="2056" w:type="dxa"/>
                  <w:noWrap w:val="0"/>
                  <w:vAlign w:val="center"/>
                </w:tcPr>
                <w:p>
                  <w:pPr>
                    <w:spacing w:line="240" w:lineRule="exact"/>
                    <w:jc w:val="center"/>
                    <w:rPr>
                      <w:szCs w:val="21"/>
                    </w:rPr>
                  </w:pPr>
                  <w:r>
                    <w:rPr>
                      <w:rFonts w:hint="eastAsia"/>
                      <w:szCs w:val="21"/>
                    </w:rPr>
                    <w:t>县界</w:t>
                  </w:r>
                </w:p>
                <w:p>
                  <w:pPr>
                    <w:spacing w:line="240" w:lineRule="exact"/>
                    <w:jc w:val="center"/>
                    <w:rPr>
                      <w:rFonts w:hint="eastAsia"/>
                      <w:szCs w:val="21"/>
                    </w:rPr>
                  </w:pPr>
                  <w:r>
                    <w:rPr>
                      <w:rFonts w:hint="eastAsia"/>
                      <w:szCs w:val="21"/>
                    </w:rPr>
                    <w:t>（达川区→通川区）</w:t>
                  </w:r>
                </w:p>
              </w:tc>
              <w:tc>
                <w:tcPr>
                  <w:tcW w:w="877" w:type="dxa"/>
                  <w:noWrap w:val="0"/>
                  <w:vAlign w:val="center"/>
                </w:tcPr>
                <w:p>
                  <w:pPr>
                    <w:spacing w:line="240" w:lineRule="exact"/>
                    <w:jc w:val="center"/>
                    <w:rPr>
                      <w:rFonts w:hint="eastAsia"/>
                      <w:szCs w:val="21"/>
                    </w:rPr>
                  </w:pPr>
                  <w:r>
                    <w:rPr>
                      <w:rFonts w:hint="eastAsia"/>
                      <w:szCs w:val="21"/>
                    </w:rPr>
                    <w:t>国考</w:t>
                  </w:r>
                </w:p>
              </w:tc>
              <w:tc>
                <w:tcPr>
                  <w:tcW w:w="653" w:type="dxa"/>
                  <w:noWrap w:val="0"/>
                  <w:vAlign w:val="center"/>
                </w:tcPr>
                <w:p>
                  <w:pPr>
                    <w:spacing w:line="240" w:lineRule="exact"/>
                    <w:jc w:val="center"/>
                    <w:rPr>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p>
              </w:tc>
              <w:tc>
                <w:tcPr>
                  <w:tcW w:w="728" w:type="dxa"/>
                  <w:noWrap w:val="0"/>
                  <w:vAlign w:val="center"/>
                </w:tcPr>
                <w:p>
                  <w:pPr>
                    <w:spacing w:line="240" w:lineRule="exact"/>
                    <w:jc w:val="center"/>
                    <w:rPr>
                      <w:rFonts w:hint="eastAsia"/>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p>
              </w:tc>
              <w:tc>
                <w:tcPr>
                  <w:tcW w:w="726" w:type="dxa"/>
                  <w:noWrap w:val="0"/>
                  <w:vAlign w:val="center"/>
                </w:tcPr>
                <w:p>
                  <w:pPr>
                    <w:spacing w:line="240" w:lineRule="exact"/>
                    <w:jc w:val="center"/>
                    <w:rPr>
                      <w:rFonts w:hint="eastAsia"/>
                      <w:szCs w:val="21"/>
                    </w:rPr>
                  </w:pPr>
                  <w:r>
                    <w:rPr>
                      <w:szCs w:val="21"/>
                    </w:rPr>
                    <w:fldChar w:fldCharType="begin"/>
                  </w:r>
                  <w:r>
                    <w:rPr>
                      <w:szCs w:val="21"/>
                    </w:rPr>
                    <w:instrText xml:space="preserve"> </w:instrText>
                  </w:r>
                  <w:r>
                    <w:rPr>
                      <w:rFonts w:hint="eastAsia"/>
                      <w:szCs w:val="21"/>
                    </w:rPr>
                    <w:instrText xml:space="preserve">= 3 \* ROMAN</w:instrText>
                  </w:r>
                  <w:r>
                    <w:rPr>
                      <w:szCs w:val="21"/>
                    </w:rPr>
                    <w:instrText xml:space="preserve"> </w:instrText>
                  </w:r>
                  <w:r>
                    <w:rPr>
                      <w:szCs w:val="21"/>
                    </w:rPr>
                    <w:fldChar w:fldCharType="separate"/>
                  </w:r>
                  <w:r>
                    <w:rPr>
                      <w:szCs w:val="21"/>
                    </w:rPr>
                    <w:t>III</w:t>
                  </w:r>
                  <w:r>
                    <w:rPr>
                      <w:szCs w:val="21"/>
                    </w:rPr>
                    <w:fldChar w:fldCharType="end"/>
                  </w:r>
                </w:p>
              </w:tc>
              <w:tc>
                <w:tcPr>
                  <w:tcW w:w="1347" w:type="dxa"/>
                  <w:noWrap w:val="0"/>
                  <w:vAlign w:val="center"/>
                </w:tcPr>
                <w:p>
                  <w:pPr>
                    <w:spacing w:line="240" w:lineRule="exact"/>
                    <w:jc w:val="center"/>
                    <w:rPr>
                      <w:rFonts w:hint="eastAsia"/>
                      <w:szCs w:val="21"/>
                    </w:rPr>
                  </w:pPr>
                  <w:r>
                    <w:rPr>
                      <w:rFonts w:hint="eastAsia"/>
                      <w:szCs w:val="21"/>
                    </w:rPr>
                    <w:t>/</w:t>
                  </w:r>
                </w:p>
              </w:tc>
            </w:tr>
          </w:tbl>
          <w:p>
            <w:pPr>
              <w:pStyle w:val="132"/>
              <w:ind w:firstLine="480"/>
              <w:rPr>
                <w:rFonts w:hint="eastAsia"/>
                <w:szCs w:val="24"/>
              </w:rPr>
            </w:pPr>
            <w:r>
              <w:rPr>
                <w:rFonts w:hint="eastAsia"/>
                <w:szCs w:val="24"/>
              </w:rPr>
              <w:t>根据上表例行监测结果表明：项目区州河干流及明月江地表水质量良好，均能够达到《地表水环境质量标准》（GB3838-2002）III类水质标准。</w:t>
            </w:r>
          </w:p>
          <w:p>
            <w:pPr>
              <w:spacing w:line="360" w:lineRule="auto"/>
              <w:ind w:firstLine="562" w:firstLineChars="200"/>
              <w:rPr>
                <w:b/>
                <w:bCs/>
                <w:sz w:val="28"/>
                <w:szCs w:val="28"/>
              </w:rPr>
            </w:pPr>
            <w:r>
              <w:rPr>
                <w:b/>
                <w:bCs/>
                <w:sz w:val="28"/>
                <w:szCs w:val="28"/>
              </w:rPr>
              <w:t>三、地下水环境质量现状</w:t>
            </w:r>
          </w:p>
          <w:p>
            <w:pPr>
              <w:widowControl/>
              <w:spacing w:line="360" w:lineRule="auto"/>
              <w:ind w:firstLine="480" w:firstLineChars="200"/>
              <w:jc w:val="left"/>
              <w:rPr>
                <w:rFonts w:hint="eastAsia"/>
                <w:kern w:val="0"/>
                <w:sz w:val="24"/>
                <w:lang w:bidi="ar"/>
              </w:rPr>
            </w:pPr>
            <w:r>
              <w:rPr>
                <w:kern w:val="0"/>
                <w:sz w:val="24"/>
                <w:lang w:bidi="ar"/>
              </w:rPr>
              <w:t>根据《建设项目环境影响报告表编制技术指南（污染影响类）（试行）》 中有关</w:t>
            </w:r>
            <w:r>
              <w:rPr>
                <w:rFonts w:hint="eastAsia"/>
                <w:kern w:val="0"/>
                <w:sz w:val="24"/>
                <w:lang w:bidi="ar"/>
              </w:rPr>
              <w:t>地下水</w:t>
            </w:r>
            <w:r>
              <w:rPr>
                <w:kern w:val="0"/>
                <w:sz w:val="24"/>
                <w:lang w:bidi="ar"/>
              </w:rPr>
              <w:t>环境质量现状调查的规定，</w:t>
            </w:r>
            <w:r>
              <w:rPr>
                <w:rFonts w:hint="eastAsia"/>
                <w:kern w:val="0"/>
                <w:sz w:val="24"/>
                <w:lang w:bidi="ar"/>
              </w:rPr>
              <w:t>原则上不开展环境质量现状调查，建设项目存在地下水污染途径的，结合污染源、保护目标分布情况开展现状调查以留作背景值。本项目属于加油加气站项目，存在一定的地下水途径，因此本次评价</w:t>
            </w:r>
            <w:r>
              <w:rPr>
                <w:kern w:val="0"/>
                <w:sz w:val="24"/>
                <w:lang w:bidi="ar"/>
              </w:rPr>
              <w:t>委托达州恒福环境监测服务有限公司于202</w:t>
            </w:r>
            <w:r>
              <w:rPr>
                <w:rFonts w:hint="eastAsia"/>
                <w:kern w:val="0"/>
                <w:sz w:val="24"/>
                <w:lang w:bidi="ar"/>
              </w:rPr>
              <w:t>3</w:t>
            </w:r>
            <w:r>
              <w:rPr>
                <w:kern w:val="0"/>
                <w:sz w:val="24"/>
                <w:lang w:bidi="ar"/>
              </w:rPr>
              <w:t>年</w:t>
            </w:r>
            <w:r>
              <w:rPr>
                <w:rFonts w:hint="eastAsia"/>
                <w:kern w:val="0"/>
                <w:sz w:val="24"/>
                <w:lang w:bidi="ar"/>
              </w:rPr>
              <w:t>7</w:t>
            </w:r>
            <w:r>
              <w:rPr>
                <w:kern w:val="0"/>
                <w:sz w:val="24"/>
                <w:lang w:bidi="ar"/>
              </w:rPr>
              <w:t>月</w:t>
            </w:r>
            <w:r>
              <w:rPr>
                <w:rFonts w:hint="eastAsia"/>
                <w:kern w:val="0"/>
                <w:sz w:val="24"/>
                <w:lang w:bidi="ar"/>
              </w:rPr>
              <w:t>10</w:t>
            </w:r>
            <w:r>
              <w:rPr>
                <w:kern w:val="0"/>
                <w:sz w:val="24"/>
                <w:lang w:bidi="ar"/>
              </w:rPr>
              <w:t>日对项目区地下水环境质量进行了现状监测</w:t>
            </w:r>
            <w:r>
              <w:rPr>
                <w:rFonts w:hint="eastAsia"/>
                <w:kern w:val="0"/>
                <w:sz w:val="24"/>
                <w:lang w:bidi="ar"/>
              </w:rPr>
              <w:t>以留作背景值。</w:t>
            </w:r>
          </w:p>
          <w:p>
            <w:pPr>
              <w:spacing w:line="360" w:lineRule="auto"/>
              <w:ind w:firstLine="482" w:firstLineChars="200"/>
              <w:rPr>
                <w:b/>
                <w:bCs/>
                <w:sz w:val="24"/>
              </w:rPr>
            </w:pPr>
            <w:r>
              <w:rPr>
                <w:b/>
                <w:bCs/>
                <w:sz w:val="24"/>
              </w:rPr>
              <w:t>1、监测点设置</w:t>
            </w:r>
          </w:p>
          <w:p>
            <w:pPr>
              <w:spacing w:line="360" w:lineRule="auto"/>
              <w:ind w:firstLine="480" w:firstLineChars="200"/>
              <w:rPr>
                <w:sz w:val="24"/>
              </w:rPr>
            </w:pPr>
            <w:r>
              <w:rPr>
                <w:sz w:val="24"/>
              </w:rPr>
              <w:t>在项目区共设置</w:t>
            </w:r>
            <w:r>
              <w:rPr>
                <w:rFonts w:hint="eastAsia"/>
                <w:sz w:val="24"/>
              </w:rPr>
              <w:t>1</w:t>
            </w:r>
            <w:r>
              <w:rPr>
                <w:sz w:val="24"/>
              </w:rPr>
              <w:t>个地下水监测点位，具体监测点位如下表3-</w:t>
            </w:r>
            <w:r>
              <w:rPr>
                <w:rFonts w:hint="eastAsia"/>
                <w:sz w:val="24"/>
              </w:rPr>
              <w:t>7</w:t>
            </w:r>
            <w:r>
              <w:rPr>
                <w:sz w:val="24"/>
              </w:rPr>
              <w:t>所示：</w:t>
            </w:r>
          </w:p>
          <w:p>
            <w:pPr>
              <w:spacing w:line="360" w:lineRule="auto"/>
              <w:ind w:firstLine="422" w:firstLineChars="200"/>
              <w:jc w:val="center"/>
              <w:rPr>
                <w:b/>
                <w:bCs/>
                <w:szCs w:val="21"/>
              </w:rPr>
            </w:pPr>
            <w:r>
              <w:rPr>
                <w:b/>
                <w:bCs/>
                <w:szCs w:val="21"/>
              </w:rPr>
              <w:t>表3-</w:t>
            </w:r>
            <w:r>
              <w:rPr>
                <w:rFonts w:hint="eastAsia"/>
                <w:b/>
                <w:bCs/>
                <w:szCs w:val="21"/>
              </w:rPr>
              <w:t>7</w:t>
            </w:r>
            <w:r>
              <w:rPr>
                <w:b/>
                <w:bCs/>
                <w:szCs w:val="21"/>
              </w:rPr>
              <w:t>地下水监测点位</w:t>
            </w:r>
          </w:p>
          <w:tbl>
            <w:tblPr>
              <w:tblStyle w:val="70"/>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Layout w:type="autofit"/>
              <w:tblCellMar>
                <w:top w:w="0" w:type="dxa"/>
                <w:left w:w="108" w:type="dxa"/>
                <w:bottom w:w="0" w:type="dxa"/>
                <w:right w:w="108" w:type="dxa"/>
              </w:tblCellMar>
            </w:tblPr>
            <w:tblGrid>
              <w:gridCol w:w="1496"/>
              <w:gridCol w:w="3442"/>
              <w:gridCol w:w="344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893" w:type="pct"/>
                  <w:noWrap w:val="0"/>
                  <w:vAlign w:val="center"/>
                </w:tcPr>
                <w:p>
                  <w:pPr>
                    <w:adjustRightInd w:val="0"/>
                    <w:snapToGrid w:val="0"/>
                    <w:spacing w:line="276" w:lineRule="auto"/>
                    <w:jc w:val="center"/>
                    <w:rPr>
                      <w:b/>
                      <w:szCs w:val="21"/>
                    </w:rPr>
                  </w:pPr>
                  <w:r>
                    <w:rPr>
                      <w:b/>
                      <w:szCs w:val="21"/>
                    </w:rPr>
                    <w:t>监测点位编号</w:t>
                  </w:r>
                </w:p>
              </w:tc>
              <w:tc>
                <w:tcPr>
                  <w:tcW w:w="2054" w:type="pct"/>
                  <w:noWrap w:val="0"/>
                  <w:vAlign w:val="center"/>
                </w:tcPr>
                <w:p>
                  <w:pPr>
                    <w:adjustRightInd w:val="0"/>
                    <w:snapToGrid w:val="0"/>
                    <w:spacing w:line="276" w:lineRule="auto"/>
                    <w:jc w:val="center"/>
                    <w:rPr>
                      <w:b/>
                      <w:szCs w:val="21"/>
                    </w:rPr>
                  </w:pPr>
                  <w:r>
                    <w:rPr>
                      <w:b/>
                      <w:szCs w:val="21"/>
                    </w:rPr>
                    <w:t>监测点位置</w:t>
                  </w:r>
                </w:p>
              </w:tc>
              <w:tc>
                <w:tcPr>
                  <w:tcW w:w="2053" w:type="pct"/>
                  <w:noWrap w:val="0"/>
                  <w:vAlign w:val="center"/>
                </w:tcPr>
                <w:p>
                  <w:pPr>
                    <w:adjustRightInd w:val="0"/>
                    <w:snapToGrid w:val="0"/>
                    <w:spacing w:line="276" w:lineRule="auto"/>
                    <w:jc w:val="center"/>
                    <w:rPr>
                      <w:b/>
                      <w:szCs w:val="21"/>
                    </w:rPr>
                  </w:pPr>
                  <w:r>
                    <w:rPr>
                      <w:rFonts w:hint="eastAsia"/>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893" w:type="pct"/>
                  <w:noWrap w:val="0"/>
                  <w:vAlign w:val="center"/>
                </w:tcPr>
                <w:p>
                  <w:pPr>
                    <w:widowControl/>
                    <w:spacing w:line="276" w:lineRule="auto"/>
                    <w:jc w:val="center"/>
                    <w:rPr>
                      <w:bCs/>
                      <w:kern w:val="0"/>
                      <w:szCs w:val="21"/>
                    </w:rPr>
                  </w:pPr>
                  <w:r>
                    <w:rPr>
                      <w:bCs/>
                      <w:kern w:val="0"/>
                      <w:szCs w:val="21"/>
                    </w:rPr>
                    <w:t>1#</w:t>
                  </w:r>
                </w:p>
              </w:tc>
              <w:tc>
                <w:tcPr>
                  <w:tcW w:w="2054" w:type="pct"/>
                  <w:noWrap w:val="0"/>
                  <w:vAlign w:val="center"/>
                </w:tcPr>
                <w:p>
                  <w:pPr>
                    <w:jc w:val="center"/>
                    <w:rPr>
                      <w:bCs/>
                      <w:szCs w:val="21"/>
                    </w:rPr>
                  </w:pPr>
                  <w:bookmarkStart w:id="17" w:name="_Hlk122849567"/>
                  <w:r>
                    <w:rPr>
                      <w:rFonts w:hint="eastAsia"/>
                      <w:bCs/>
                      <w:szCs w:val="21"/>
                      <w:lang w:bidi="ar"/>
                    </w:rPr>
                    <w:t>项目</w:t>
                  </w:r>
                  <w:bookmarkEnd w:id="17"/>
                  <w:r>
                    <w:rPr>
                      <w:rFonts w:hint="eastAsia"/>
                      <w:bCs/>
                      <w:szCs w:val="21"/>
                      <w:lang w:bidi="ar"/>
                    </w:rPr>
                    <w:t>厂区内</w:t>
                  </w:r>
                </w:p>
              </w:tc>
              <w:tc>
                <w:tcPr>
                  <w:tcW w:w="2053" w:type="pct"/>
                  <w:noWrap w:val="0"/>
                  <w:vAlign w:val="center"/>
                </w:tcPr>
                <w:p>
                  <w:pPr>
                    <w:jc w:val="center"/>
                    <w:rPr>
                      <w:bCs/>
                      <w:szCs w:val="21"/>
                    </w:rPr>
                  </w:pPr>
                  <w:r>
                    <w:rPr>
                      <w:rFonts w:hint="eastAsia"/>
                      <w:bCs/>
                      <w:szCs w:val="21"/>
                    </w:rPr>
                    <w:t>实地监测</w:t>
                  </w:r>
                </w:p>
              </w:tc>
            </w:tr>
          </w:tbl>
          <w:p>
            <w:pPr>
              <w:spacing w:line="360" w:lineRule="auto"/>
              <w:ind w:firstLine="482" w:firstLineChars="200"/>
              <w:rPr>
                <w:b/>
                <w:bCs/>
                <w:sz w:val="24"/>
              </w:rPr>
            </w:pPr>
            <w:r>
              <w:rPr>
                <w:b/>
                <w:bCs/>
                <w:sz w:val="24"/>
              </w:rPr>
              <w:t>2、监测项目</w:t>
            </w:r>
          </w:p>
          <w:p>
            <w:pPr>
              <w:spacing w:line="360" w:lineRule="auto"/>
              <w:ind w:firstLine="456" w:firstLineChars="200"/>
              <w:rPr>
                <w:spacing w:val="-6"/>
                <w:sz w:val="24"/>
              </w:rPr>
            </w:pPr>
            <w:r>
              <w:rPr>
                <w:rFonts w:hint="eastAsia"/>
                <w:spacing w:val="-6"/>
                <w:sz w:val="24"/>
              </w:rPr>
              <w:t>本次环评按照《</w:t>
            </w:r>
            <w:r>
              <w:rPr>
                <w:spacing w:val="-6"/>
                <w:sz w:val="24"/>
              </w:rPr>
              <w:fldChar w:fldCharType="begin"/>
            </w:r>
            <w:r>
              <w:rPr>
                <w:spacing w:val="-6"/>
                <w:sz w:val="24"/>
              </w:rPr>
              <w:instrText xml:space="preserve">HYPERLINK "https://www.mee.gov.cn/ywgz/fgbz/bz/bzwb/jcffbz/202012/W020201203608473632069.pdf"</w:instrText>
            </w:r>
            <w:r>
              <w:rPr>
                <w:spacing w:val="-6"/>
                <w:sz w:val="24"/>
              </w:rPr>
              <w:fldChar w:fldCharType="separate"/>
            </w:r>
            <w:r>
              <w:rPr>
                <w:rFonts w:hint="eastAsia"/>
                <w:spacing w:val="-6"/>
                <w:sz w:val="24"/>
              </w:rPr>
              <w:t>地下水环境监测技术规范</w:t>
            </w:r>
            <w:r>
              <w:rPr>
                <w:spacing w:val="-6"/>
                <w:sz w:val="24"/>
              </w:rPr>
              <w:fldChar w:fldCharType="end"/>
            </w:r>
            <w:r>
              <w:rPr>
                <w:rFonts w:hint="eastAsia"/>
                <w:spacing w:val="-6"/>
                <w:sz w:val="24"/>
              </w:rPr>
              <w:t>》（HJ 164-2020）表F</w:t>
            </w:r>
            <w:r>
              <w:rPr>
                <w:spacing w:val="-6"/>
                <w:sz w:val="24"/>
              </w:rPr>
              <w:t>.1</w:t>
            </w:r>
            <w:r>
              <w:rPr>
                <w:rFonts w:hint="eastAsia"/>
                <w:spacing w:val="-6"/>
                <w:sz w:val="24"/>
              </w:rPr>
              <w:t>中石油生产销售区的特征污染物监测以下因子：</w:t>
            </w:r>
          </w:p>
          <w:p>
            <w:pPr>
              <w:spacing w:line="360" w:lineRule="auto"/>
              <w:ind w:firstLine="456" w:firstLineChars="200"/>
              <w:rPr>
                <w:rFonts w:hint="eastAsia"/>
                <w:spacing w:val="-6"/>
                <w:sz w:val="24"/>
              </w:rPr>
            </w:pPr>
            <w:r>
              <w:rPr>
                <w:spacing w:val="-6"/>
                <w:sz w:val="24"/>
              </w:rPr>
              <w:t>pH、硫酸盐、挥发性酚类、</w:t>
            </w:r>
            <w:r>
              <w:rPr>
                <w:rFonts w:hint="eastAsia"/>
                <w:spacing w:val="-6"/>
                <w:sz w:val="24"/>
              </w:rPr>
              <w:t>耗氧量</w:t>
            </w:r>
            <w:r>
              <w:rPr>
                <w:spacing w:val="-6"/>
                <w:sz w:val="24"/>
              </w:rPr>
              <w:t>、氨氮、硫化物、亚硝酸盐、硝酸盐、</w:t>
            </w:r>
            <w:r>
              <w:rPr>
                <w:rFonts w:hint="eastAsia"/>
                <w:spacing w:val="-6"/>
                <w:sz w:val="24"/>
              </w:rPr>
              <w:t>总</w:t>
            </w:r>
            <w:r>
              <w:rPr>
                <w:spacing w:val="-6"/>
                <w:sz w:val="24"/>
              </w:rPr>
              <w:t>氰化物、汞、砷、</w:t>
            </w:r>
            <w:r>
              <w:rPr>
                <w:rFonts w:hint="eastAsia"/>
                <w:spacing w:val="-6"/>
                <w:sz w:val="24"/>
              </w:rPr>
              <w:t>镍</w:t>
            </w:r>
            <w:r>
              <w:rPr>
                <w:spacing w:val="-6"/>
                <w:sz w:val="24"/>
              </w:rPr>
              <w:t>、铅、石油类、</w:t>
            </w:r>
            <w:r>
              <w:rPr>
                <w:rFonts w:hint="eastAsia"/>
                <w:spacing w:val="-6"/>
                <w:sz w:val="24"/>
              </w:rPr>
              <w:t>苯、甲苯、乙苯、</w:t>
            </w:r>
            <w:r>
              <w:rPr>
                <w:spacing w:val="-6"/>
                <w:sz w:val="24"/>
              </w:rPr>
              <w:t>间,对二甲苯、邻二甲苯</w:t>
            </w:r>
            <w:r>
              <w:rPr>
                <w:rFonts w:hint="eastAsia"/>
                <w:spacing w:val="-6"/>
                <w:sz w:val="24"/>
              </w:rPr>
              <w:t>、苯并[</w:t>
            </w:r>
            <w:r>
              <w:rPr>
                <w:spacing w:val="-6"/>
                <w:sz w:val="24"/>
              </w:rPr>
              <w:t>a]</w:t>
            </w:r>
            <w:r>
              <w:rPr>
                <w:rFonts w:hint="eastAsia"/>
                <w:spacing w:val="-6"/>
                <w:sz w:val="24"/>
              </w:rPr>
              <w:t>芘、石油烃（C</w:t>
            </w:r>
            <w:r>
              <w:rPr>
                <w:spacing w:val="-6"/>
                <w:sz w:val="24"/>
              </w:rPr>
              <w:t>6</w:t>
            </w:r>
            <w:r>
              <w:rPr>
                <w:rFonts w:hint="eastAsia"/>
                <w:spacing w:val="-6"/>
                <w:sz w:val="24"/>
              </w:rPr>
              <w:t>-</w:t>
            </w:r>
            <w:r>
              <w:rPr>
                <w:spacing w:val="-6"/>
                <w:sz w:val="24"/>
              </w:rPr>
              <w:t>C9</w:t>
            </w:r>
            <w:r>
              <w:rPr>
                <w:rFonts w:hint="eastAsia"/>
                <w:spacing w:val="-6"/>
                <w:sz w:val="24"/>
              </w:rPr>
              <w:t>）*、</w:t>
            </w:r>
            <w:r>
              <w:rPr>
                <w:spacing w:val="-6"/>
                <w:sz w:val="24"/>
              </w:rPr>
              <w:t>石油烃（C10-C40）</w:t>
            </w:r>
            <w:r>
              <w:rPr>
                <w:rFonts w:hint="eastAsia"/>
                <w:spacing w:val="-6"/>
                <w:sz w:val="24"/>
              </w:rPr>
              <w:t>*、甲基叔丁基醚*，共23项。</w:t>
            </w:r>
          </w:p>
          <w:p>
            <w:pPr>
              <w:pStyle w:val="879"/>
              <w:ind w:firstLine="482"/>
              <w:rPr>
                <w:b/>
                <w:bCs/>
                <w:szCs w:val="24"/>
              </w:rPr>
            </w:pPr>
            <w:r>
              <w:rPr>
                <w:b/>
                <w:bCs/>
                <w:szCs w:val="24"/>
              </w:rPr>
              <w:t>3、监测时间、频率</w:t>
            </w:r>
            <w:r>
              <w:rPr>
                <w:rFonts w:hint="eastAsia"/>
                <w:b/>
                <w:bCs/>
                <w:szCs w:val="24"/>
              </w:rPr>
              <w:t>及方法</w:t>
            </w:r>
          </w:p>
          <w:p>
            <w:pPr>
              <w:pStyle w:val="879"/>
              <w:ind w:firstLine="480"/>
              <w:rPr>
                <w:szCs w:val="24"/>
              </w:rPr>
            </w:pPr>
            <w:r>
              <w:rPr>
                <w:szCs w:val="24"/>
              </w:rPr>
              <w:t>达州恒福环境监测服务有限公司于202</w:t>
            </w:r>
            <w:r>
              <w:rPr>
                <w:rFonts w:hint="eastAsia"/>
                <w:szCs w:val="24"/>
              </w:rPr>
              <w:t>3</w:t>
            </w:r>
            <w:r>
              <w:rPr>
                <w:szCs w:val="24"/>
              </w:rPr>
              <w:t>年</w:t>
            </w:r>
            <w:r>
              <w:rPr>
                <w:rFonts w:hint="eastAsia"/>
                <w:szCs w:val="24"/>
              </w:rPr>
              <w:t>7</w:t>
            </w:r>
            <w:r>
              <w:rPr>
                <w:szCs w:val="24"/>
              </w:rPr>
              <w:t>月</w:t>
            </w:r>
            <w:r>
              <w:rPr>
                <w:rFonts w:hint="eastAsia"/>
                <w:szCs w:val="24"/>
              </w:rPr>
              <w:t>10</w:t>
            </w:r>
            <w:r>
              <w:rPr>
                <w:szCs w:val="24"/>
              </w:rPr>
              <w:t>日</w:t>
            </w:r>
            <w:r>
              <w:rPr>
                <w:rFonts w:hint="eastAsia"/>
                <w:szCs w:val="24"/>
              </w:rPr>
              <w:t>在</w:t>
            </w:r>
            <w:r>
              <w:rPr>
                <w:szCs w:val="24"/>
              </w:rPr>
              <w:t>项目</w:t>
            </w:r>
            <w:r>
              <w:rPr>
                <w:rFonts w:hint="eastAsia"/>
                <w:szCs w:val="24"/>
              </w:rPr>
              <w:t>厂区内</w:t>
            </w:r>
            <w:r>
              <w:rPr>
                <w:szCs w:val="24"/>
              </w:rPr>
              <w:t>进行了监测，监测1天，每天监测一次。监测分析方法见表3-</w:t>
            </w:r>
            <w:r>
              <w:rPr>
                <w:rFonts w:hint="eastAsia"/>
                <w:szCs w:val="24"/>
              </w:rPr>
              <w:t>8</w:t>
            </w:r>
            <w:r>
              <w:rPr>
                <w:szCs w:val="24"/>
              </w:rPr>
              <w:t>。</w:t>
            </w:r>
          </w:p>
          <w:p>
            <w:pPr>
              <w:ind w:firstLine="422" w:firstLineChars="200"/>
              <w:jc w:val="center"/>
              <w:rPr>
                <w:rFonts w:hint="eastAsia"/>
                <w:b/>
                <w:bCs/>
                <w:szCs w:val="21"/>
              </w:rPr>
            </w:pPr>
            <w:r>
              <w:rPr>
                <w:b/>
                <w:bCs/>
                <w:szCs w:val="21"/>
              </w:rPr>
              <w:t>表3-</w:t>
            </w:r>
            <w:r>
              <w:rPr>
                <w:rFonts w:hint="eastAsia"/>
                <w:b/>
                <w:bCs/>
                <w:szCs w:val="21"/>
              </w:rPr>
              <w:t>8</w:t>
            </w:r>
            <w:r>
              <w:rPr>
                <w:b/>
                <w:bCs/>
                <w:szCs w:val="21"/>
              </w:rPr>
              <w:t xml:space="preserve"> </w:t>
            </w:r>
            <w:r>
              <w:rPr>
                <w:rFonts w:hint="eastAsia"/>
                <w:b/>
                <w:bCs/>
                <w:szCs w:val="21"/>
              </w:rPr>
              <w:t>地下水</w:t>
            </w:r>
            <w:r>
              <w:rPr>
                <w:b/>
                <w:bCs/>
                <w:szCs w:val="21"/>
              </w:rPr>
              <w:t>质量监测分析方法一览表</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41"/>
              <w:gridCol w:w="2082"/>
              <w:gridCol w:w="1574"/>
              <w:gridCol w:w="2051"/>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b/>
                      <w:sz w:val="21"/>
                      <w:szCs w:val="21"/>
                    </w:rPr>
                    <w:t>检测因子</w:t>
                  </w:r>
                </w:p>
              </w:tc>
              <w:tc>
                <w:tcPr>
                  <w:tcW w:w="1242" w:type="pct"/>
                  <w:noWrap w:val="0"/>
                  <w:vAlign w:val="center"/>
                </w:tcPr>
                <w:p>
                  <w:pPr>
                    <w:pStyle w:val="897"/>
                    <w:spacing w:before="0" w:after="0"/>
                    <w:rPr>
                      <w:rFonts w:cs="Times New Roman"/>
                      <w:b/>
                      <w:sz w:val="21"/>
                      <w:szCs w:val="21"/>
                    </w:rPr>
                  </w:pPr>
                  <w:r>
                    <w:rPr>
                      <w:rFonts w:cs="Times New Roman"/>
                      <w:b/>
                      <w:sz w:val="21"/>
                      <w:szCs w:val="21"/>
                    </w:rPr>
                    <w:t>检测方法</w:t>
                  </w:r>
                </w:p>
              </w:tc>
              <w:tc>
                <w:tcPr>
                  <w:tcW w:w="939" w:type="pct"/>
                  <w:noWrap w:val="0"/>
                  <w:vAlign w:val="center"/>
                </w:tcPr>
                <w:p>
                  <w:pPr>
                    <w:pStyle w:val="897"/>
                    <w:spacing w:before="0" w:after="0"/>
                    <w:rPr>
                      <w:rFonts w:cs="Times New Roman"/>
                      <w:b/>
                      <w:sz w:val="21"/>
                      <w:szCs w:val="21"/>
                    </w:rPr>
                  </w:pPr>
                  <w:r>
                    <w:rPr>
                      <w:rFonts w:cs="Times New Roman"/>
                      <w:b/>
                      <w:sz w:val="21"/>
                      <w:szCs w:val="21"/>
                    </w:rPr>
                    <w:t>方法来源</w:t>
                  </w:r>
                </w:p>
              </w:tc>
              <w:tc>
                <w:tcPr>
                  <w:tcW w:w="1224" w:type="pct"/>
                  <w:noWrap w:val="0"/>
                  <w:vAlign w:val="center"/>
                </w:tcPr>
                <w:p>
                  <w:pPr>
                    <w:pStyle w:val="897"/>
                    <w:spacing w:before="0" w:after="0"/>
                    <w:rPr>
                      <w:rFonts w:cs="Times New Roman"/>
                      <w:b/>
                      <w:sz w:val="21"/>
                      <w:szCs w:val="21"/>
                    </w:rPr>
                  </w:pPr>
                  <w:r>
                    <w:rPr>
                      <w:rFonts w:cs="Times New Roman"/>
                      <w:b/>
                      <w:sz w:val="21"/>
                      <w:szCs w:val="21"/>
                    </w:rPr>
                    <w:t>使用仪器及编号</w:t>
                  </w:r>
                </w:p>
              </w:tc>
              <w:tc>
                <w:tcPr>
                  <w:tcW w:w="734" w:type="pct"/>
                  <w:noWrap w:val="0"/>
                  <w:vAlign w:val="center"/>
                </w:tcPr>
                <w:p>
                  <w:pPr>
                    <w:pStyle w:val="897"/>
                    <w:spacing w:before="0" w:after="0"/>
                    <w:rPr>
                      <w:rFonts w:cs="Times New Roman"/>
                      <w:b/>
                      <w:sz w:val="21"/>
                      <w:szCs w:val="21"/>
                    </w:rPr>
                  </w:pPr>
                  <w:r>
                    <w:rPr>
                      <w:rFonts w:cs="Times New Roman"/>
                      <w:b/>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pH（无量纲）</w:t>
                  </w:r>
                </w:p>
              </w:tc>
              <w:tc>
                <w:tcPr>
                  <w:tcW w:w="1242" w:type="pct"/>
                  <w:noWrap w:val="0"/>
                  <w:vAlign w:val="center"/>
                </w:tcPr>
                <w:p>
                  <w:pPr>
                    <w:pStyle w:val="897"/>
                    <w:spacing w:before="0" w:after="0"/>
                    <w:rPr>
                      <w:rFonts w:cs="Times New Roman"/>
                      <w:b/>
                      <w:sz w:val="21"/>
                      <w:szCs w:val="21"/>
                    </w:rPr>
                  </w:pPr>
                  <w:r>
                    <w:rPr>
                      <w:rFonts w:cs="Times New Roman"/>
                      <w:kern w:val="0"/>
                      <w:sz w:val="21"/>
                      <w:szCs w:val="21"/>
                    </w:rPr>
                    <w:t>水质 pH值的测定 电极法</w:t>
                  </w:r>
                </w:p>
              </w:tc>
              <w:tc>
                <w:tcPr>
                  <w:tcW w:w="939" w:type="pct"/>
                  <w:noWrap w:val="0"/>
                  <w:vAlign w:val="center"/>
                </w:tcPr>
                <w:p>
                  <w:pPr>
                    <w:pStyle w:val="897"/>
                    <w:spacing w:before="0" w:after="0"/>
                    <w:rPr>
                      <w:rFonts w:cs="Times New Roman"/>
                      <w:b/>
                      <w:sz w:val="21"/>
                      <w:szCs w:val="21"/>
                    </w:rPr>
                  </w:pPr>
                  <w:r>
                    <w:rPr>
                      <w:rFonts w:cs="Times New Roman"/>
                      <w:kern w:val="0"/>
                      <w:sz w:val="21"/>
                      <w:szCs w:val="21"/>
                    </w:rPr>
                    <w:t>HJ 1147-2020</w:t>
                  </w:r>
                </w:p>
              </w:tc>
              <w:tc>
                <w:tcPr>
                  <w:tcW w:w="1224" w:type="pct"/>
                  <w:noWrap w:val="0"/>
                  <w:vAlign w:val="center"/>
                </w:tcPr>
                <w:p>
                  <w:pPr>
                    <w:pStyle w:val="897"/>
                    <w:spacing w:before="0" w:after="0"/>
                    <w:rPr>
                      <w:rFonts w:cs="Times New Roman"/>
                      <w:kern w:val="0"/>
                      <w:sz w:val="21"/>
                      <w:szCs w:val="21"/>
                    </w:rPr>
                  </w:pPr>
                  <w:r>
                    <w:rPr>
                      <w:rFonts w:cs="Times New Roman"/>
                      <w:kern w:val="0"/>
                      <w:sz w:val="21"/>
                      <w:szCs w:val="21"/>
                    </w:rPr>
                    <w:t>PHB-4型便携式</w:t>
                  </w:r>
                </w:p>
                <w:p>
                  <w:pPr>
                    <w:pStyle w:val="897"/>
                    <w:spacing w:before="0" w:after="0"/>
                    <w:rPr>
                      <w:rFonts w:cs="Times New Roman"/>
                      <w:kern w:val="0"/>
                      <w:sz w:val="21"/>
                      <w:szCs w:val="21"/>
                    </w:rPr>
                  </w:pPr>
                  <w:r>
                    <w:rPr>
                      <w:rFonts w:cs="Times New Roman"/>
                      <w:kern w:val="0"/>
                      <w:sz w:val="21"/>
                      <w:szCs w:val="21"/>
                    </w:rPr>
                    <w:t>酸度计</w:t>
                  </w:r>
                </w:p>
                <w:p>
                  <w:pPr>
                    <w:pStyle w:val="897"/>
                    <w:spacing w:before="0" w:after="0"/>
                    <w:rPr>
                      <w:rFonts w:cs="Times New Roman"/>
                      <w:b/>
                      <w:sz w:val="21"/>
                      <w:szCs w:val="21"/>
                    </w:rPr>
                  </w:pPr>
                  <w:r>
                    <w:rPr>
                      <w:rFonts w:cs="Times New Roman"/>
                      <w:kern w:val="0"/>
                      <w:sz w:val="21"/>
                      <w:szCs w:val="21"/>
                    </w:rPr>
                    <w:t>（HFX-131）</w:t>
                  </w:r>
                </w:p>
              </w:tc>
              <w:tc>
                <w:tcPr>
                  <w:tcW w:w="734" w:type="pct"/>
                  <w:noWrap w:val="0"/>
                  <w:vAlign w:val="center"/>
                </w:tcPr>
                <w:p>
                  <w:pPr>
                    <w:pStyle w:val="897"/>
                    <w:spacing w:before="0" w:after="0"/>
                    <w:rPr>
                      <w:rFonts w:cs="Times New Roman"/>
                      <w:b/>
                      <w:sz w:val="21"/>
                      <w:szCs w:val="21"/>
                    </w:rPr>
                  </w:pPr>
                  <w:r>
                    <w:rPr>
                      <w:rFonts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铅</w:t>
                  </w:r>
                </w:p>
              </w:tc>
              <w:tc>
                <w:tcPr>
                  <w:tcW w:w="1242" w:type="pct"/>
                  <w:noWrap w:val="0"/>
                  <w:vAlign w:val="center"/>
                </w:tcPr>
                <w:p>
                  <w:pPr>
                    <w:pStyle w:val="897"/>
                    <w:spacing w:before="0" w:after="0"/>
                    <w:rPr>
                      <w:rFonts w:cs="Times New Roman"/>
                      <w:b/>
                      <w:sz w:val="21"/>
                      <w:szCs w:val="21"/>
                    </w:rPr>
                  </w:pPr>
                  <w:r>
                    <w:rPr>
                      <w:rFonts w:cs="Times New Roman"/>
                      <w:kern w:val="0"/>
                      <w:sz w:val="21"/>
                      <w:szCs w:val="21"/>
                    </w:rPr>
                    <w:t>综合指标和无机污染物 石墨炉原子吸收法测定镉、铜和铅（B）</w:t>
                  </w:r>
                </w:p>
              </w:tc>
              <w:tc>
                <w:tcPr>
                  <w:tcW w:w="939" w:type="pct"/>
                  <w:noWrap w:val="0"/>
                  <w:vAlign w:val="center"/>
                </w:tcPr>
                <w:p>
                  <w:pPr>
                    <w:pStyle w:val="897"/>
                    <w:spacing w:before="0" w:after="0"/>
                    <w:rPr>
                      <w:rFonts w:cs="Times New Roman"/>
                      <w:b/>
                      <w:sz w:val="21"/>
                      <w:szCs w:val="21"/>
                    </w:rPr>
                  </w:pPr>
                  <w:r>
                    <w:rPr>
                      <w:rFonts w:cs="Times New Roman"/>
                      <w:kern w:val="0"/>
                      <w:sz w:val="21"/>
                      <w:szCs w:val="21"/>
                    </w:rPr>
                    <w:t>《水和废水监测分析方法》（第四版 增补版）国家环境保护总局（2002年）</w:t>
                  </w:r>
                </w:p>
              </w:tc>
              <w:tc>
                <w:tcPr>
                  <w:tcW w:w="1224" w:type="pct"/>
                  <w:noWrap w:val="0"/>
                  <w:vAlign w:val="center"/>
                </w:tcPr>
                <w:p>
                  <w:pPr>
                    <w:tabs>
                      <w:tab w:val="left" w:pos="0"/>
                    </w:tabs>
                    <w:autoSpaceDN w:val="0"/>
                    <w:jc w:val="center"/>
                    <w:textAlignment w:val="center"/>
                    <w:rPr>
                      <w:szCs w:val="21"/>
                    </w:rPr>
                  </w:pPr>
                  <w:r>
                    <w:rPr>
                      <w:szCs w:val="21"/>
                    </w:rPr>
                    <w:t>PE600G型石墨炉原子吸收分光光度计</w:t>
                  </w:r>
                </w:p>
                <w:p>
                  <w:pPr>
                    <w:pStyle w:val="897"/>
                    <w:spacing w:before="0" w:after="0"/>
                    <w:rPr>
                      <w:rFonts w:cs="Times New Roman"/>
                      <w:b/>
                      <w:sz w:val="21"/>
                      <w:szCs w:val="21"/>
                    </w:rPr>
                  </w:pPr>
                  <w:r>
                    <w:rPr>
                      <w:rFonts w:cs="Times New Roman"/>
                      <w:kern w:val="0"/>
                      <w:sz w:val="21"/>
                      <w:szCs w:val="21"/>
                    </w:rPr>
                    <w:t>（HFJ-047）</w:t>
                  </w:r>
                </w:p>
              </w:tc>
              <w:tc>
                <w:tcPr>
                  <w:tcW w:w="734" w:type="pct"/>
                  <w:noWrap w:val="0"/>
                  <w:vAlign w:val="center"/>
                </w:tcPr>
                <w:p>
                  <w:pPr>
                    <w:pStyle w:val="897"/>
                    <w:spacing w:before="0" w:after="0"/>
                    <w:rPr>
                      <w:rFonts w:cs="Times New Roman"/>
                      <w:b/>
                      <w:sz w:val="21"/>
                      <w:szCs w:val="21"/>
                    </w:rPr>
                  </w:pPr>
                  <w:r>
                    <w:rPr>
                      <w:rFonts w:cs="Times New Roman"/>
                      <w:iCs/>
                      <w:sz w:val="21"/>
                      <w:szCs w:val="21"/>
                    </w:rPr>
                    <w:t>0.001</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耗氧量</w:t>
                  </w:r>
                </w:p>
              </w:tc>
              <w:tc>
                <w:tcPr>
                  <w:tcW w:w="1242" w:type="pct"/>
                  <w:noWrap w:val="0"/>
                  <w:vAlign w:val="center"/>
                </w:tcPr>
                <w:p>
                  <w:pPr>
                    <w:pStyle w:val="897"/>
                    <w:spacing w:before="0" w:after="0"/>
                    <w:rPr>
                      <w:rFonts w:cs="Times New Roman"/>
                      <w:b/>
                      <w:sz w:val="21"/>
                      <w:szCs w:val="21"/>
                    </w:rPr>
                  </w:pPr>
                  <w:r>
                    <w:rPr>
                      <w:rFonts w:cs="Times New Roman"/>
                      <w:sz w:val="21"/>
                      <w:szCs w:val="21"/>
                    </w:rPr>
                    <w:t>生活饮用水标准检验方法 有机物综合指标 酸性高锰酸钾滴定法</w:t>
                  </w:r>
                </w:p>
              </w:tc>
              <w:tc>
                <w:tcPr>
                  <w:tcW w:w="939" w:type="pct"/>
                  <w:noWrap w:val="0"/>
                  <w:vAlign w:val="center"/>
                </w:tcPr>
                <w:p>
                  <w:pPr>
                    <w:pStyle w:val="897"/>
                    <w:spacing w:before="0" w:after="0"/>
                    <w:rPr>
                      <w:rFonts w:cs="Times New Roman"/>
                      <w:b/>
                      <w:sz w:val="21"/>
                      <w:szCs w:val="21"/>
                    </w:rPr>
                  </w:pPr>
                  <w:r>
                    <w:rPr>
                      <w:rFonts w:cs="Times New Roman"/>
                      <w:sz w:val="21"/>
                      <w:szCs w:val="21"/>
                    </w:rPr>
                    <w:t>GB/T 5750.7-2006</w:t>
                  </w:r>
                </w:p>
              </w:tc>
              <w:tc>
                <w:tcPr>
                  <w:tcW w:w="1224" w:type="pct"/>
                  <w:noWrap w:val="0"/>
                  <w:vAlign w:val="center"/>
                </w:tcPr>
                <w:p>
                  <w:pPr>
                    <w:pStyle w:val="897"/>
                    <w:spacing w:before="0" w:after="0"/>
                    <w:rPr>
                      <w:rFonts w:cs="Times New Roman"/>
                      <w:b/>
                      <w:sz w:val="21"/>
                      <w:szCs w:val="21"/>
                    </w:rPr>
                  </w:pPr>
                  <w:r>
                    <w:rPr>
                      <w:rFonts w:cs="Times New Roman"/>
                      <w:sz w:val="21"/>
                      <w:szCs w:val="21"/>
                    </w:rPr>
                    <w:t>50mL酸式滴定管</w:t>
                  </w:r>
                </w:p>
              </w:tc>
              <w:tc>
                <w:tcPr>
                  <w:tcW w:w="734" w:type="pct"/>
                  <w:noWrap w:val="0"/>
                  <w:vAlign w:val="center"/>
                </w:tcPr>
                <w:p>
                  <w:pPr>
                    <w:pStyle w:val="897"/>
                    <w:spacing w:before="0" w:after="0"/>
                    <w:rPr>
                      <w:rFonts w:cs="Times New Roman"/>
                      <w:b/>
                      <w:sz w:val="21"/>
                      <w:szCs w:val="21"/>
                    </w:rPr>
                  </w:pPr>
                  <w:r>
                    <w:rPr>
                      <w:rFonts w:cs="Times New Roman"/>
                      <w:kern w:val="0"/>
                      <w:sz w:val="21"/>
                      <w:szCs w:val="21"/>
                    </w:rPr>
                    <w:t>0.05</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镍</w:t>
                  </w:r>
                </w:p>
              </w:tc>
              <w:tc>
                <w:tcPr>
                  <w:tcW w:w="1242" w:type="pct"/>
                  <w:noWrap w:val="0"/>
                  <w:vAlign w:val="center"/>
                </w:tcPr>
                <w:p>
                  <w:pPr>
                    <w:pStyle w:val="897"/>
                    <w:spacing w:before="0" w:after="0"/>
                    <w:rPr>
                      <w:rFonts w:cs="Times New Roman"/>
                      <w:b/>
                      <w:sz w:val="21"/>
                      <w:szCs w:val="21"/>
                    </w:rPr>
                  </w:pPr>
                  <w:r>
                    <w:rPr>
                      <w:rFonts w:cs="Times New Roman"/>
                      <w:sz w:val="21"/>
                      <w:szCs w:val="21"/>
                    </w:rPr>
                    <w:t>水质32种元素的测定 电感耦合等离子体发射光谱法</w:t>
                  </w:r>
                </w:p>
              </w:tc>
              <w:tc>
                <w:tcPr>
                  <w:tcW w:w="939" w:type="pct"/>
                  <w:noWrap w:val="0"/>
                  <w:vAlign w:val="center"/>
                </w:tcPr>
                <w:p>
                  <w:pPr>
                    <w:pStyle w:val="897"/>
                    <w:spacing w:before="0" w:after="0"/>
                    <w:rPr>
                      <w:rFonts w:cs="Times New Roman"/>
                      <w:b/>
                      <w:sz w:val="21"/>
                      <w:szCs w:val="21"/>
                    </w:rPr>
                  </w:pPr>
                  <w:r>
                    <w:rPr>
                      <w:rFonts w:cs="Times New Roman"/>
                      <w:snapToGrid w:val="0"/>
                      <w:sz w:val="21"/>
                      <w:szCs w:val="21"/>
                    </w:rPr>
                    <w:t>HJ 776-2015</w:t>
                  </w:r>
                </w:p>
              </w:tc>
              <w:tc>
                <w:tcPr>
                  <w:tcW w:w="1224" w:type="pct"/>
                  <w:noWrap w:val="0"/>
                  <w:vAlign w:val="center"/>
                </w:tcPr>
                <w:p>
                  <w:pPr>
                    <w:widowControl/>
                    <w:jc w:val="center"/>
                    <w:rPr>
                      <w:snapToGrid w:val="0"/>
                      <w:kern w:val="0"/>
                      <w:szCs w:val="21"/>
                    </w:rPr>
                  </w:pPr>
                  <w:r>
                    <w:rPr>
                      <w:snapToGrid w:val="0"/>
                      <w:kern w:val="0"/>
                      <w:szCs w:val="21"/>
                    </w:rPr>
                    <w:t>ICP-900型电感耦合等离子体发射光谱仪</w:t>
                  </w:r>
                </w:p>
                <w:p>
                  <w:pPr>
                    <w:pStyle w:val="897"/>
                    <w:spacing w:before="0" w:after="0"/>
                    <w:rPr>
                      <w:rFonts w:cs="Times New Roman"/>
                      <w:b/>
                      <w:sz w:val="21"/>
                      <w:szCs w:val="21"/>
                    </w:rPr>
                  </w:pPr>
                  <w:r>
                    <w:rPr>
                      <w:rFonts w:cs="Times New Roman"/>
                      <w:snapToGrid w:val="0"/>
                      <w:kern w:val="0"/>
                      <w:sz w:val="21"/>
                      <w:szCs w:val="21"/>
                    </w:rPr>
                    <w:t>（</w:t>
                  </w:r>
                  <w:r>
                    <w:rPr>
                      <w:rFonts w:cs="Times New Roman"/>
                      <w:kern w:val="0"/>
                      <w:sz w:val="21"/>
                      <w:szCs w:val="21"/>
                    </w:rPr>
                    <w:t>HFJ-026</w:t>
                  </w:r>
                  <w:r>
                    <w:rPr>
                      <w:rFonts w:cs="Times New Roman"/>
                      <w:snapToGrid w:val="0"/>
                      <w:kern w:val="0"/>
                      <w:sz w:val="21"/>
                      <w:szCs w:val="21"/>
                    </w:rPr>
                    <w:t>）</w:t>
                  </w:r>
                </w:p>
              </w:tc>
              <w:tc>
                <w:tcPr>
                  <w:tcW w:w="734" w:type="pct"/>
                  <w:noWrap w:val="0"/>
                  <w:vAlign w:val="center"/>
                </w:tcPr>
                <w:p>
                  <w:pPr>
                    <w:pStyle w:val="897"/>
                    <w:spacing w:before="0" w:after="0"/>
                    <w:rPr>
                      <w:rFonts w:cs="Times New Roman"/>
                      <w:b/>
                      <w:sz w:val="21"/>
                      <w:szCs w:val="21"/>
                    </w:rPr>
                  </w:pPr>
                  <w:r>
                    <w:rPr>
                      <w:rFonts w:cs="Times New Roman"/>
                      <w:kern w:val="0"/>
                      <w:sz w:val="21"/>
                      <w:szCs w:val="21"/>
                    </w:rPr>
                    <w:t>0.02</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硫酸盐</w:t>
                  </w:r>
                </w:p>
              </w:tc>
              <w:tc>
                <w:tcPr>
                  <w:tcW w:w="1242" w:type="pct"/>
                  <w:vMerge w:val="restart"/>
                  <w:noWrap w:val="0"/>
                  <w:vAlign w:val="center"/>
                </w:tcPr>
                <w:p>
                  <w:pPr>
                    <w:pStyle w:val="897"/>
                    <w:spacing w:before="0" w:after="0"/>
                    <w:rPr>
                      <w:rFonts w:cs="Times New Roman"/>
                      <w:b/>
                      <w:sz w:val="21"/>
                      <w:szCs w:val="21"/>
                    </w:rPr>
                  </w:pPr>
                  <w:r>
                    <w:rPr>
                      <w:rFonts w:cs="Times New Roman"/>
                      <w:sz w:val="21"/>
                      <w:szCs w:val="21"/>
                    </w:rPr>
                    <w:t>水质 无机阴离子（F</w:t>
                  </w:r>
                  <w:r>
                    <w:rPr>
                      <w:rFonts w:cs="Times New Roman"/>
                      <w:sz w:val="21"/>
                      <w:szCs w:val="21"/>
                      <w:vertAlign w:val="superscript"/>
                    </w:rPr>
                    <w:t>-</w:t>
                  </w:r>
                  <w:r>
                    <w:rPr>
                      <w:rFonts w:cs="Times New Roman"/>
                      <w:sz w:val="21"/>
                      <w:szCs w:val="21"/>
                    </w:rPr>
                    <w:t>、Cl</w:t>
                  </w:r>
                  <w:r>
                    <w:rPr>
                      <w:rFonts w:cs="Times New Roman"/>
                      <w:sz w:val="21"/>
                      <w:szCs w:val="21"/>
                      <w:vertAlign w:val="superscript"/>
                    </w:rPr>
                    <w:t>-</w:t>
                  </w:r>
                  <w:r>
                    <w:rPr>
                      <w:rFonts w:cs="Times New Roman"/>
                      <w:sz w:val="21"/>
                      <w:szCs w:val="21"/>
                    </w:rPr>
                    <w:t>、NO</w:t>
                  </w:r>
                  <w:r>
                    <w:rPr>
                      <w:rFonts w:cs="Times New Roman"/>
                      <w:sz w:val="21"/>
                      <w:szCs w:val="21"/>
                      <w:vertAlign w:val="subscript"/>
                    </w:rPr>
                    <w:t>2</w:t>
                  </w:r>
                  <w:r>
                    <w:rPr>
                      <w:rFonts w:cs="Times New Roman"/>
                      <w:sz w:val="21"/>
                      <w:szCs w:val="21"/>
                      <w:vertAlign w:val="superscript"/>
                    </w:rPr>
                    <w:t>-</w:t>
                  </w:r>
                  <w:r>
                    <w:rPr>
                      <w:rFonts w:cs="Times New Roman"/>
                      <w:sz w:val="21"/>
                      <w:szCs w:val="21"/>
                    </w:rPr>
                    <w:t>、Br</w:t>
                  </w:r>
                  <w:r>
                    <w:rPr>
                      <w:rFonts w:cs="Times New Roman"/>
                      <w:sz w:val="21"/>
                      <w:szCs w:val="21"/>
                      <w:vertAlign w:val="superscript"/>
                    </w:rPr>
                    <w:t>-</w:t>
                  </w:r>
                  <w:r>
                    <w:rPr>
                      <w:rFonts w:cs="Times New Roman"/>
                      <w:sz w:val="21"/>
                      <w:szCs w:val="21"/>
                    </w:rPr>
                    <w:t>、NO</w:t>
                  </w:r>
                  <w:r>
                    <w:rPr>
                      <w:rFonts w:cs="Times New Roman"/>
                      <w:sz w:val="21"/>
                      <w:szCs w:val="21"/>
                      <w:vertAlign w:val="subscript"/>
                    </w:rPr>
                    <w:t>3</w:t>
                  </w:r>
                  <w:r>
                    <w:rPr>
                      <w:rFonts w:cs="Times New Roman"/>
                      <w:sz w:val="21"/>
                      <w:szCs w:val="21"/>
                      <w:vertAlign w:val="superscript"/>
                    </w:rPr>
                    <w:t>-</w:t>
                  </w:r>
                  <w:r>
                    <w:rPr>
                      <w:rFonts w:cs="Times New Roman"/>
                      <w:sz w:val="21"/>
                      <w:szCs w:val="21"/>
                    </w:rPr>
                    <w:t>、PO</w:t>
                  </w:r>
                  <w:r>
                    <w:rPr>
                      <w:rFonts w:cs="Times New Roman"/>
                      <w:sz w:val="21"/>
                      <w:szCs w:val="21"/>
                      <w:vertAlign w:val="subscript"/>
                    </w:rPr>
                    <w:t>4</w:t>
                  </w:r>
                  <w:r>
                    <w:rPr>
                      <w:rFonts w:cs="Times New Roman"/>
                      <w:sz w:val="21"/>
                      <w:szCs w:val="21"/>
                      <w:vertAlign w:val="superscript"/>
                    </w:rPr>
                    <w:t>3-</w:t>
                  </w:r>
                  <w:r>
                    <w:rPr>
                      <w:rFonts w:cs="Times New Roman"/>
                      <w:sz w:val="21"/>
                      <w:szCs w:val="21"/>
                    </w:rPr>
                    <w:t>、SO</w:t>
                  </w:r>
                  <w:r>
                    <w:rPr>
                      <w:rFonts w:cs="Times New Roman"/>
                      <w:sz w:val="21"/>
                      <w:szCs w:val="21"/>
                      <w:vertAlign w:val="subscript"/>
                    </w:rPr>
                    <w:t>3</w:t>
                  </w:r>
                  <w:r>
                    <w:rPr>
                      <w:rFonts w:cs="Times New Roman"/>
                      <w:sz w:val="21"/>
                      <w:szCs w:val="21"/>
                      <w:vertAlign w:val="superscript"/>
                    </w:rPr>
                    <w:t>2-</w:t>
                  </w: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）的测定 离子色谱法</w:t>
                  </w:r>
                </w:p>
              </w:tc>
              <w:tc>
                <w:tcPr>
                  <w:tcW w:w="939" w:type="pct"/>
                  <w:vMerge w:val="restart"/>
                  <w:noWrap w:val="0"/>
                  <w:vAlign w:val="center"/>
                </w:tcPr>
                <w:p>
                  <w:pPr>
                    <w:pStyle w:val="897"/>
                    <w:spacing w:before="0" w:after="0"/>
                    <w:rPr>
                      <w:rFonts w:cs="Times New Roman"/>
                      <w:b/>
                      <w:sz w:val="21"/>
                      <w:szCs w:val="21"/>
                    </w:rPr>
                  </w:pPr>
                  <w:r>
                    <w:rPr>
                      <w:rFonts w:cs="Times New Roman"/>
                      <w:iCs/>
                      <w:sz w:val="21"/>
                      <w:szCs w:val="21"/>
                    </w:rPr>
                    <w:t>HJ 84-2016</w:t>
                  </w:r>
                </w:p>
              </w:tc>
              <w:tc>
                <w:tcPr>
                  <w:tcW w:w="1224" w:type="pct"/>
                  <w:vMerge w:val="restart"/>
                  <w:noWrap w:val="0"/>
                  <w:vAlign w:val="center"/>
                </w:tcPr>
                <w:p>
                  <w:pPr>
                    <w:pStyle w:val="897"/>
                    <w:spacing w:before="0" w:after="0"/>
                    <w:rPr>
                      <w:rFonts w:cs="Times New Roman"/>
                      <w:kern w:val="0"/>
                      <w:sz w:val="21"/>
                      <w:szCs w:val="21"/>
                    </w:rPr>
                  </w:pPr>
                  <w:r>
                    <w:rPr>
                      <w:rFonts w:cs="Times New Roman"/>
                      <w:kern w:val="0"/>
                      <w:sz w:val="21"/>
                      <w:szCs w:val="21"/>
                    </w:rPr>
                    <w:t>ICS-1000型离子</w:t>
                  </w:r>
                </w:p>
                <w:p>
                  <w:pPr>
                    <w:pStyle w:val="897"/>
                    <w:spacing w:before="0" w:after="0"/>
                    <w:rPr>
                      <w:rFonts w:cs="Times New Roman"/>
                      <w:kern w:val="0"/>
                      <w:sz w:val="21"/>
                      <w:szCs w:val="21"/>
                    </w:rPr>
                  </w:pPr>
                  <w:r>
                    <w:rPr>
                      <w:rFonts w:cs="Times New Roman"/>
                      <w:kern w:val="0"/>
                      <w:sz w:val="21"/>
                      <w:szCs w:val="21"/>
                    </w:rPr>
                    <w:t>色谱仪</w:t>
                  </w:r>
                </w:p>
                <w:p>
                  <w:pPr>
                    <w:pStyle w:val="897"/>
                    <w:spacing w:before="0" w:after="0"/>
                    <w:rPr>
                      <w:rFonts w:cs="Times New Roman"/>
                      <w:b/>
                      <w:sz w:val="21"/>
                      <w:szCs w:val="21"/>
                    </w:rPr>
                  </w:pPr>
                  <w:r>
                    <w:rPr>
                      <w:rFonts w:cs="Times New Roman"/>
                      <w:kern w:val="0"/>
                      <w:sz w:val="21"/>
                      <w:szCs w:val="21"/>
                    </w:rPr>
                    <w:t>（HFJ-068）</w:t>
                  </w:r>
                </w:p>
              </w:tc>
              <w:tc>
                <w:tcPr>
                  <w:tcW w:w="734" w:type="pct"/>
                  <w:noWrap w:val="0"/>
                  <w:vAlign w:val="center"/>
                </w:tcPr>
                <w:p>
                  <w:pPr>
                    <w:pStyle w:val="897"/>
                    <w:spacing w:before="0" w:after="0"/>
                    <w:rPr>
                      <w:rFonts w:cs="Times New Roman"/>
                      <w:b/>
                      <w:sz w:val="21"/>
                      <w:szCs w:val="21"/>
                    </w:rPr>
                  </w:pPr>
                  <w:r>
                    <w:rPr>
                      <w:rFonts w:cs="Times New Roman"/>
                      <w:kern w:val="0"/>
                      <w:sz w:val="21"/>
                      <w:szCs w:val="21"/>
                    </w:rPr>
                    <w:t>0.018</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kern w:val="0"/>
                      <w:sz w:val="21"/>
                      <w:szCs w:val="21"/>
                      <w:lang w:bidi="ar"/>
                    </w:rPr>
                    <w:t>硝酸盐</w:t>
                  </w:r>
                </w:p>
              </w:tc>
              <w:tc>
                <w:tcPr>
                  <w:tcW w:w="1242" w:type="pct"/>
                  <w:vMerge w:val="continue"/>
                  <w:noWrap w:val="0"/>
                  <w:vAlign w:val="center"/>
                </w:tcPr>
                <w:p>
                  <w:pPr>
                    <w:pStyle w:val="897"/>
                    <w:spacing w:before="0" w:after="0"/>
                    <w:rPr>
                      <w:rFonts w:cs="Times New Roman"/>
                      <w:b/>
                      <w:sz w:val="21"/>
                      <w:szCs w:val="21"/>
                    </w:rPr>
                  </w:pPr>
                </w:p>
              </w:tc>
              <w:tc>
                <w:tcPr>
                  <w:tcW w:w="939" w:type="pct"/>
                  <w:vMerge w:val="continue"/>
                  <w:noWrap w:val="0"/>
                  <w:vAlign w:val="center"/>
                </w:tcPr>
                <w:p>
                  <w:pPr>
                    <w:pStyle w:val="897"/>
                    <w:spacing w:before="0" w:after="0"/>
                    <w:rPr>
                      <w:rFonts w:cs="Times New Roman"/>
                      <w:b/>
                      <w:sz w:val="21"/>
                      <w:szCs w:val="21"/>
                    </w:rPr>
                  </w:pPr>
                </w:p>
              </w:tc>
              <w:tc>
                <w:tcPr>
                  <w:tcW w:w="1224" w:type="pct"/>
                  <w:vMerge w:val="continue"/>
                  <w:noWrap w:val="0"/>
                  <w:vAlign w:val="center"/>
                </w:tcPr>
                <w:p>
                  <w:pPr>
                    <w:pStyle w:val="897"/>
                    <w:spacing w:before="0" w:after="0"/>
                    <w:rPr>
                      <w:rFonts w:cs="Times New Roman"/>
                      <w:b/>
                      <w:sz w:val="21"/>
                      <w:szCs w:val="21"/>
                    </w:rPr>
                  </w:pPr>
                </w:p>
              </w:tc>
              <w:tc>
                <w:tcPr>
                  <w:tcW w:w="734" w:type="pct"/>
                  <w:noWrap w:val="0"/>
                  <w:vAlign w:val="center"/>
                </w:tcPr>
                <w:p>
                  <w:pPr>
                    <w:pStyle w:val="897"/>
                    <w:spacing w:before="0" w:after="0"/>
                    <w:rPr>
                      <w:rFonts w:cs="Times New Roman"/>
                      <w:b/>
                      <w:sz w:val="21"/>
                      <w:szCs w:val="21"/>
                    </w:rPr>
                  </w:pPr>
                  <w:r>
                    <w:rPr>
                      <w:rFonts w:cs="Times New Roman"/>
                      <w:kern w:val="0"/>
                      <w:sz w:val="21"/>
                      <w:szCs w:val="21"/>
                    </w:rPr>
                    <w:t>0.016</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noWrap w:val="0"/>
                  <w:vAlign w:val="center"/>
                </w:tcPr>
                <w:p>
                  <w:pPr>
                    <w:pStyle w:val="897"/>
                    <w:spacing w:before="0" w:after="0"/>
                    <w:rPr>
                      <w:rFonts w:cs="Times New Roman"/>
                      <w:b/>
                      <w:sz w:val="21"/>
                      <w:szCs w:val="21"/>
                    </w:rPr>
                  </w:pPr>
                  <w:r>
                    <w:rPr>
                      <w:rFonts w:cs="Times New Roman"/>
                      <w:sz w:val="21"/>
                      <w:szCs w:val="21"/>
                    </w:rPr>
                    <w:t>汞</w:t>
                  </w:r>
                </w:p>
              </w:tc>
              <w:tc>
                <w:tcPr>
                  <w:tcW w:w="1242" w:type="pct"/>
                  <w:noWrap w:val="0"/>
                  <w:vAlign w:val="center"/>
                </w:tcPr>
                <w:p>
                  <w:pPr>
                    <w:pStyle w:val="897"/>
                    <w:spacing w:before="0" w:after="0"/>
                    <w:rPr>
                      <w:rFonts w:cs="Times New Roman"/>
                      <w:b/>
                      <w:sz w:val="21"/>
                      <w:szCs w:val="21"/>
                    </w:rPr>
                  </w:pPr>
                  <w:r>
                    <w:rPr>
                      <w:rFonts w:cs="Times New Roman"/>
                      <w:sz w:val="21"/>
                      <w:szCs w:val="21"/>
                    </w:rPr>
                    <w:t>水质 汞的测定 冷原子荧光法（试行）</w:t>
                  </w:r>
                </w:p>
              </w:tc>
              <w:tc>
                <w:tcPr>
                  <w:tcW w:w="939" w:type="pct"/>
                  <w:noWrap w:val="0"/>
                  <w:vAlign w:val="center"/>
                </w:tcPr>
                <w:p>
                  <w:pPr>
                    <w:pStyle w:val="897"/>
                    <w:spacing w:before="0" w:after="0"/>
                    <w:rPr>
                      <w:rFonts w:cs="Times New Roman"/>
                      <w:b/>
                      <w:sz w:val="21"/>
                      <w:szCs w:val="21"/>
                    </w:rPr>
                  </w:pPr>
                  <w:r>
                    <w:rPr>
                      <w:rFonts w:cs="Times New Roman"/>
                      <w:iCs/>
                      <w:sz w:val="21"/>
                      <w:szCs w:val="21"/>
                    </w:rPr>
                    <w:t>HJ/T 341-2007</w:t>
                  </w:r>
                </w:p>
              </w:tc>
              <w:tc>
                <w:tcPr>
                  <w:tcW w:w="1224" w:type="pct"/>
                  <w:noWrap w:val="0"/>
                  <w:vAlign w:val="center"/>
                </w:tcPr>
                <w:p>
                  <w:pPr>
                    <w:pStyle w:val="897"/>
                    <w:spacing w:before="0" w:after="0"/>
                    <w:rPr>
                      <w:rFonts w:cs="Times New Roman"/>
                      <w:sz w:val="21"/>
                      <w:szCs w:val="21"/>
                    </w:rPr>
                  </w:pPr>
                  <w:r>
                    <w:rPr>
                      <w:rFonts w:cs="Times New Roman"/>
                      <w:sz w:val="21"/>
                      <w:szCs w:val="21"/>
                    </w:rPr>
                    <w:t>ZYG-Ⅱ型智能冷原子荧光测汞仪</w:t>
                  </w:r>
                </w:p>
                <w:p>
                  <w:pPr>
                    <w:pStyle w:val="897"/>
                    <w:spacing w:before="0" w:after="0"/>
                    <w:rPr>
                      <w:rFonts w:cs="Times New Roman"/>
                      <w:b/>
                      <w:sz w:val="21"/>
                      <w:szCs w:val="21"/>
                    </w:rPr>
                  </w:pPr>
                  <w:r>
                    <w:rPr>
                      <w:rFonts w:cs="Times New Roman"/>
                      <w:sz w:val="21"/>
                      <w:szCs w:val="21"/>
                    </w:rPr>
                    <w:t>（HFJ-069）</w:t>
                  </w:r>
                </w:p>
              </w:tc>
              <w:tc>
                <w:tcPr>
                  <w:tcW w:w="734" w:type="pct"/>
                  <w:noWrap w:val="0"/>
                  <w:vAlign w:val="center"/>
                </w:tcPr>
                <w:p>
                  <w:pPr>
                    <w:pStyle w:val="897"/>
                    <w:spacing w:before="0" w:after="0"/>
                    <w:rPr>
                      <w:rFonts w:cs="Times New Roman"/>
                      <w:b/>
                      <w:sz w:val="21"/>
                      <w:szCs w:val="21"/>
                    </w:rPr>
                  </w:pPr>
                  <w:r>
                    <w:rPr>
                      <w:rFonts w:cs="Times New Roman"/>
                      <w:sz w:val="21"/>
                      <w:szCs w:val="21"/>
                    </w:rPr>
                    <w:t>0.0015</w:t>
                  </w:r>
                  <w:r>
                    <w:rPr>
                      <w:rFonts w:cs="Times New Roman"/>
                      <w:kern w:val="0"/>
                      <w:sz w:val="21"/>
                      <w:szCs w:val="21"/>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砷</w:t>
                  </w:r>
                </w:p>
              </w:tc>
              <w:tc>
                <w:tcPr>
                  <w:tcW w:w="1242" w:type="pct"/>
                  <w:noWrap w:val="0"/>
                  <w:vAlign w:val="center"/>
                </w:tcPr>
                <w:p>
                  <w:pPr>
                    <w:pStyle w:val="897"/>
                    <w:spacing w:before="0" w:after="0"/>
                    <w:rPr>
                      <w:rFonts w:cs="Times New Roman"/>
                      <w:sz w:val="21"/>
                      <w:szCs w:val="21"/>
                    </w:rPr>
                  </w:pPr>
                  <w:r>
                    <w:rPr>
                      <w:rFonts w:cs="Times New Roman"/>
                      <w:sz w:val="21"/>
                      <w:szCs w:val="21"/>
                    </w:rPr>
                    <w:t>水质 汞、砷、硒、铋和锑的测定 原子荧光法</w:t>
                  </w:r>
                </w:p>
              </w:tc>
              <w:tc>
                <w:tcPr>
                  <w:tcW w:w="939" w:type="pct"/>
                  <w:noWrap w:val="0"/>
                  <w:vAlign w:val="center"/>
                </w:tcPr>
                <w:p>
                  <w:pPr>
                    <w:pStyle w:val="897"/>
                    <w:spacing w:before="0" w:after="0"/>
                    <w:rPr>
                      <w:rFonts w:cs="Times New Roman"/>
                      <w:sz w:val="21"/>
                      <w:szCs w:val="21"/>
                    </w:rPr>
                  </w:pPr>
                  <w:r>
                    <w:rPr>
                      <w:rFonts w:cs="Times New Roman"/>
                      <w:snapToGrid w:val="0"/>
                      <w:sz w:val="21"/>
                      <w:szCs w:val="21"/>
                    </w:rPr>
                    <w:t>HJ 694-2014</w:t>
                  </w:r>
                </w:p>
              </w:tc>
              <w:tc>
                <w:tcPr>
                  <w:tcW w:w="1224" w:type="pct"/>
                  <w:noWrap w:val="0"/>
                  <w:vAlign w:val="center"/>
                </w:tcPr>
                <w:p>
                  <w:pPr>
                    <w:jc w:val="center"/>
                    <w:rPr>
                      <w:snapToGrid w:val="0"/>
                      <w:kern w:val="0"/>
                      <w:szCs w:val="21"/>
                    </w:rPr>
                  </w:pPr>
                  <w:r>
                    <w:rPr>
                      <w:snapToGrid w:val="0"/>
                      <w:kern w:val="0"/>
                      <w:szCs w:val="21"/>
                    </w:rPr>
                    <w:t>AFS-8500型原子荧光光度计</w:t>
                  </w:r>
                </w:p>
                <w:p>
                  <w:pPr>
                    <w:pStyle w:val="897"/>
                    <w:spacing w:before="0" w:after="0"/>
                    <w:rPr>
                      <w:rFonts w:cs="Times New Roman"/>
                      <w:iCs/>
                      <w:sz w:val="21"/>
                      <w:szCs w:val="21"/>
                    </w:rPr>
                  </w:pPr>
                  <w:r>
                    <w:rPr>
                      <w:rFonts w:cs="Times New Roman"/>
                      <w:snapToGrid w:val="0"/>
                      <w:kern w:val="0"/>
                      <w:sz w:val="21"/>
                      <w:szCs w:val="21"/>
                    </w:rPr>
                    <w:t>（</w:t>
                  </w:r>
                  <w:r>
                    <w:rPr>
                      <w:rFonts w:cs="Times New Roman"/>
                      <w:sz w:val="21"/>
                      <w:szCs w:val="21"/>
                    </w:rPr>
                    <w:t>HFJ-095）</w:t>
                  </w:r>
                </w:p>
              </w:tc>
              <w:tc>
                <w:tcPr>
                  <w:tcW w:w="734" w:type="pct"/>
                  <w:noWrap w:val="0"/>
                  <w:vAlign w:val="center"/>
                </w:tcPr>
                <w:p>
                  <w:pPr>
                    <w:pStyle w:val="897"/>
                    <w:spacing w:before="0" w:after="0"/>
                    <w:rPr>
                      <w:rFonts w:cs="Times New Roman"/>
                      <w:kern w:val="0"/>
                      <w:sz w:val="21"/>
                      <w:szCs w:val="21"/>
                    </w:rPr>
                  </w:pPr>
                  <w:r>
                    <w:rPr>
                      <w:rFonts w:cs="Times New Roman"/>
                      <w:iCs/>
                      <w:sz w:val="21"/>
                      <w:szCs w:val="21"/>
                    </w:rPr>
                    <w:t>0.3</w:t>
                  </w:r>
                  <w:r>
                    <w:rPr>
                      <w:rFonts w:cs="Times New Roman"/>
                      <w:kern w:val="0"/>
                      <w:sz w:val="21"/>
                      <w:szCs w:val="21"/>
                    </w:rPr>
                    <w:t>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氨氮</w:t>
                  </w:r>
                </w:p>
              </w:tc>
              <w:tc>
                <w:tcPr>
                  <w:tcW w:w="1242" w:type="pct"/>
                  <w:noWrap w:val="0"/>
                  <w:vAlign w:val="center"/>
                </w:tcPr>
                <w:p>
                  <w:pPr>
                    <w:pStyle w:val="897"/>
                    <w:spacing w:before="0" w:after="0"/>
                    <w:rPr>
                      <w:rFonts w:cs="Times New Roman"/>
                      <w:sz w:val="21"/>
                      <w:szCs w:val="21"/>
                    </w:rPr>
                  </w:pPr>
                  <w:r>
                    <w:rPr>
                      <w:rFonts w:cs="Times New Roman"/>
                      <w:kern w:val="0"/>
                      <w:sz w:val="21"/>
                      <w:szCs w:val="21"/>
                    </w:rPr>
                    <w:t>水质 氨氮的测定 纳氏试剂分光光度法</w:t>
                  </w:r>
                </w:p>
              </w:tc>
              <w:tc>
                <w:tcPr>
                  <w:tcW w:w="939" w:type="pct"/>
                  <w:noWrap w:val="0"/>
                  <w:vAlign w:val="center"/>
                </w:tcPr>
                <w:p>
                  <w:pPr>
                    <w:pStyle w:val="897"/>
                    <w:spacing w:before="0" w:after="0"/>
                    <w:rPr>
                      <w:rFonts w:cs="Times New Roman"/>
                      <w:snapToGrid w:val="0"/>
                      <w:sz w:val="21"/>
                      <w:szCs w:val="21"/>
                    </w:rPr>
                  </w:pPr>
                  <w:r>
                    <w:rPr>
                      <w:rFonts w:cs="Times New Roman"/>
                      <w:kern w:val="0"/>
                      <w:sz w:val="21"/>
                      <w:szCs w:val="21"/>
                    </w:rPr>
                    <w:t>HJ 535-2009</w:t>
                  </w:r>
                </w:p>
              </w:tc>
              <w:tc>
                <w:tcPr>
                  <w:tcW w:w="1224" w:type="pct"/>
                  <w:vMerge w:val="restart"/>
                  <w:noWrap w:val="0"/>
                  <w:vAlign w:val="center"/>
                </w:tcPr>
                <w:p>
                  <w:pPr>
                    <w:tabs>
                      <w:tab w:val="left" w:pos="0"/>
                    </w:tabs>
                    <w:autoSpaceDN w:val="0"/>
                    <w:jc w:val="center"/>
                    <w:textAlignment w:val="center"/>
                    <w:rPr>
                      <w:iCs/>
                      <w:szCs w:val="21"/>
                    </w:rPr>
                  </w:pPr>
                  <w:r>
                    <w:rPr>
                      <w:iCs/>
                      <w:szCs w:val="21"/>
                    </w:rPr>
                    <w:t>752型紫外可见分光光度计</w:t>
                  </w:r>
                </w:p>
                <w:p>
                  <w:pPr>
                    <w:pStyle w:val="897"/>
                    <w:spacing w:before="0" w:after="0"/>
                    <w:rPr>
                      <w:rFonts w:cs="Times New Roman"/>
                      <w:snapToGrid w:val="0"/>
                      <w:kern w:val="0"/>
                      <w:sz w:val="21"/>
                      <w:szCs w:val="21"/>
                    </w:rPr>
                  </w:pPr>
                  <w:r>
                    <w:rPr>
                      <w:rFonts w:cs="Times New Roman"/>
                      <w:iCs/>
                      <w:sz w:val="21"/>
                      <w:szCs w:val="21"/>
                    </w:rPr>
                    <w:t>（HFJ-090）</w:t>
                  </w:r>
                </w:p>
              </w:tc>
              <w:tc>
                <w:tcPr>
                  <w:tcW w:w="734" w:type="pct"/>
                  <w:noWrap w:val="0"/>
                  <w:vAlign w:val="center"/>
                </w:tcPr>
                <w:p>
                  <w:pPr>
                    <w:widowControl/>
                    <w:jc w:val="center"/>
                    <w:rPr>
                      <w:iCs/>
                      <w:szCs w:val="21"/>
                    </w:rPr>
                  </w:pPr>
                  <w:r>
                    <w:rPr>
                      <w:kern w:val="0"/>
                      <w:szCs w:val="21"/>
                    </w:rPr>
                    <w:t>0.025</w:t>
                  </w:r>
                  <w:r>
                    <w:rPr>
                      <w:bCs/>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jc w:val="center"/>
                    <w:rPr>
                      <w:szCs w:val="21"/>
                    </w:rPr>
                  </w:pPr>
                  <w:r>
                    <w:rPr>
                      <w:szCs w:val="21"/>
                    </w:rPr>
                    <w:t>石油类</w:t>
                  </w:r>
                </w:p>
              </w:tc>
              <w:tc>
                <w:tcPr>
                  <w:tcW w:w="1242" w:type="pct"/>
                  <w:noWrap w:val="0"/>
                  <w:vAlign w:val="center"/>
                </w:tcPr>
                <w:p>
                  <w:pPr>
                    <w:pStyle w:val="897"/>
                    <w:spacing w:before="0" w:after="0"/>
                    <w:rPr>
                      <w:rFonts w:cs="Times New Roman"/>
                      <w:kern w:val="0"/>
                      <w:sz w:val="21"/>
                      <w:szCs w:val="21"/>
                    </w:rPr>
                  </w:pPr>
                  <w:r>
                    <w:rPr>
                      <w:rFonts w:cs="Times New Roman"/>
                      <w:kern w:val="0"/>
                      <w:sz w:val="21"/>
                      <w:szCs w:val="21"/>
                    </w:rPr>
                    <w:t>水质 石油类的测定 紫外分光光度法（试行）</w:t>
                  </w:r>
                </w:p>
              </w:tc>
              <w:tc>
                <w:tcPr>
                  <w:tcW w:w="939" w:type="pct"/>
                  <w:noWrap w:val="0"/>
                  <w:vAlign w:val="center"/>
                </w:tcPr>
                <w:p>
                  <w:pPr>
                    <w:pStyle w:val="897"/>
                    <w:spacing w:before="0" w:after="0"/>
                    <w:rPr>
                      <w:rFonts w:cs="Times New Roman"/>
                      <w:kern w:val="0"/>
                      <w:sz w:val="21"/>
                      <w:szCs w:val="21"/>
                    </w:rPr>
                  </w:pPr>
                  <w:r>
                    <w:rPr>
                      <w:rFonts w:cs="Times New Roman"/>
                      <w:sz w:val="21"/>
                      <w:szCs w:val="21"/>
                    </w:rPr>
                    <w:t>HJ 970-2018</w:t>
                  </w:r>
                </w:p>
              </w:tc>
              <w:tc>
                <w:tcPr>
                  <w:tcW w:w="1224" w:type="pct"/>
                  <w:vMerge w:val="continue"/>
                  <w:noWrap w:val="0"/>
                  <w:vAlign w:val="center"/>
                </w:tcPr>
                <w:p>
                  <w:pPr>
                    <w:pStyle w:val="897"/>
                    <w:spacing w:before="0" w:after="0"/>
                    <w:rPr>
                      <w:rFonts w:cs="Times New Roman"/>
                      <w:iCs/>
                      <w:sz w:val="21"/>
                      <w:szCs w:val="21"/>
                    </w:rPr>
                  </w:pPr>
                </w:p>
              </w:tc>
              <w:tc>
                <w:tcPr>
                  <w:tcW w:w="734" w:type="pct"/>
                  <w:noWrap w:val="0"/>
                  <w:vAlign w:val="center"/>
                </w:tcPr>
                <w:p>
                  <w:pPr>
                    <w:pStyle w:val="897"/>
                    <w:spacing w:before="0" w:after="0"/>
                    <w:rPr>
                      <w:rFonts w:cs="Times New Roman"/>
                      <w:kern w:val="0"/>
                      <w:sz w:val="21"/>
                      <w:szCs w:val="21"/>
                    </w:rPr>
                  </w:pPr>
                  <w:r>
                    <w:rPr>
                      <w:rFonts w:cs="Times New Roman"/>
                      <w:iCs/>
                      <w:sz w:val="21"/>
                      <w:szCs w:val="21"/>
                    </w:rPr>
                    <w:t>0.01</w:t>
                  </w:r>
                  <w:r>
                    <w:rPr>
                      <w:rFonts w:cs="Times New Roman"/>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kern w:val="0"/>
                      <w:sz w:val="21"/>
                      <w:szCs w:val="21"/>
                      <w:lang w:bidi="ar"/>
                    </w:rPr>
                  </w:pPr>
                  <w:r>
                    <w:rPr>
                      <w:rFonts w:cs="Times New Roman"/>
                      <w:sz w:val="21"/>
                      <w:szCs w:val="21"/>
                    </w:rPr>
                    <w:t>总氰化物</w:t>
                  </w:r>
                </w:p>
              </w:tc>
              <w:tc>
                <w:tcPr>
                  <w:tcW w:w="1242" w:type="pct"/>
                  <w:noWrap w:val="0"/>
                  <w:vAlign w:val="center"/>
                </w:tcPr>
                <w:p>
                  <w:pPr>
                    <w:autoSpaceDN w:val="0"/>
                    <w:jc w:val="center"/>
                    <w:textAlignment w:val="center"/>
                    <w:rPr>
                      <w:szCs w:val="21"/>
                    </w:rPr>
                  </w:pPr>
                  <w:r>
                    <w:rPr>
                      <w:kern w:val="0"/>
                      <w:szCs w:val="21"/>
                    </w:rPr>
                    <w:t>水质 氰化物的测定 容量法和分光光度法 异烟酸-巴比妥酸分光光度法</w:t>
                  </w:r>
                </w:p>
              </w:tc>
              <w:tc>
                <w:tcPr>
                  <w:tcW w:w="939" w:type="pct"/>
                  <w:noWrap w:val="0"/>
                  <w:vAlign w:val="center"/>
                </w:tcPr>
                <w:p>
                  <w:pPr>
                    <w:autoSpaceDN w:val="0"/>
                    <w:jc w:val="center"/>
                    <w:textAlignment w:val="center"/>
                    <w:rPr>
                      <w:szCs w:val="21"/>
                    </w:rPr>
                  </w:pPr>
                  <w:r>
                    <w:rPr>
                      <w:szCs w:val="21"/>
                    </w:rPr>
                    <w:t>HJ 484-2009</w:t>
                  </w:r>
                </w:p>
              </w:tc>
              <w:tc>
                <w:tcPr>
                  <w:tcW w:w="1224" w:type="pct"/>
                  <w:noWrap w:val="0"/>
                  <w:vAlign w:val="center"/>
                </w:tcPr>
                <w:p>
                  <w:pPr>
                    <w:snapToGrid w:val="0"/>
                    <w:jc w:val="center"/>
                    <w:rPr>
                      <w:kern w:val="0"/>
                      <w:szCs w:val="21"/>
                    </w:rPr>
                  </w:pPr>
                  <w:r>
                    <w:rPr>
                      <w:kern w:val="0"/>
                      <w:szCs w:val="21"/>
                    </w:rPr>
                    <w:t>752型紫外可见分光光度计</w:t>
                  </w:r>
                </w:p>
                <w:p>
                  <w:pPr>
                    <w:pStyle w:val="897"/>
                    <w:spacing w:before="0" w:after="0"/>
                    <w:rPr>
                      <w:rFonts w:cs="Times New Roman"/>
                      <w:snapToGrid w:val="0"/>
                      <w:kern w:val="0"/>
                      <w:sz w:val="21"/>
                      <w:szCs w:val="21"/>
                    </w:rPr>
                  </w:pPr>
                  <w:r>
                    <w:rPr>
                      <w:rFonts w:cs="Times New Roman"/>
                      <w:kern w:val="0"/>
                      <w:sz w:val="21"/>
                      <w:szCs w:val="21"/>
                    </w:rPr>
                    <w:t>（HFJ-094）</w:t>
                  </w:r>
                </w:p>
              </w:tc>
              <w:tc>
                <w:tcPr>
                  <w:tcW w:w="734" w:type="pct"/>
                  <w:noWrap w:val="0"/>
                  <w:vAlign w:val="center"/>
                </w:tcPr>
                <w:p>
                  <w:pPr>
                    <w:autoSpaceDN w:val="0"/>
                    <w:jc w:val="center"/>
                    <w:textAlignment w:val="center"/>
                    <w:rPr>
                      <w:kern w:val="0"/>
                      <w:szCs w:val="21"/>
                    </w:rPr>
                  </w:pPr>
                  <w:r>
                    <w:rPr>
                      <w:kern w:val="0"/>
                      <w:szCs w:val="21"/>
                    </w:rPr>
                    <w:t>0.001</w:t>
                  </w:r>
                  <w:r>
                    <w:rPr>
                      <w:bCs/>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kern w:val="0"/>
                      <w:sz w:val="21"/>
                      <w:szCs w:val="21"/>
                      <w:lang w:bidi="ar"/>
                    </w:rPr>
                  </w:pPr>
                  <w:r>
                    <w:rPr>
                      <w:rFonts w:cs="Times New Roman"/>
                      <w:sz w:val="21"/>
                      <w:szCs w:val="21"/>
                    </w:rPr>
                    <w:t>硫化物</w:t>
                  </w:r>
                </w:p>
              </w:tc>
              <w:tc>
                <w:tcPr>
                  <w:tcW w:w="1242" w:type="pct"/>
                  <w:noWrap w:val="0"/>
                  <w:vAlign w:val="center"/>
                </w:tcPr>
                <w:p>
                  <w:pPr>
                    <w:pStyle w:val="897"/>
                    <w:spacing w:before="0" w:after="0"/>
                    <w:rPr>
                      <w:rFonts w:cs="Times New Roman"/>
                      <w:sz w:val="21"/>
                      <w:szCs w:val="21"/>
                    </w:rPr>
                  </w:pPr>
                  <w:r>
                    <w:rPr>
                      <w:rFonts w:cs="Times New Roman"/>
                      <w:sz w:val="21"/>
                      <w:szCs w:val="21"/>
                    </w:rPr>
                    <w:t>水质 硫化物的测定 亚甲基蓝分光光度法</w:t>
                  </w:r>
                </w:p>
              </w:tc>
              <w:tc>
                <w:tcPr>
                  <w:tcW w:w="939" w:type="pct"/>
                  <w:noWrap w:val="0"/>
                  <w:vAlign w:val="center"/>
                </w:tcPr>
                <w:p>
                  <w:pPr>
                    <w:pStyle w:val="897"/>
                    <w:spacing w:before="0" w:after="0"/>
                    <w:rPr>
                      <w:rFonts w:cs="Times New Roman"/>
                      <w:snapToGrid w:val="0"/>
                      <w:sz w:val="21"/>
                      <w:szCs w:val="21"/>
                    </w:rPr>
                  </w:pPr>
                  <w:r>
                    <w:rPr>
                      <w:rFonts w:cs="Times New Roman"/>
                      <w:sz w:val="21"/>
                      <w:szCs w:val="21"/>
                    </w:rPr>
                    <w:t>HJ 1226-2021</w:t>
                  </w:r>
                </w:p>
              </w:tc>
              <w:tc>
                <w:tcPr>
                  <w:tcW w:w="1224" w:type="pct"/>
                  <w:noWrap w:val="0"/>
                  <w:vAlign w:val="center"/>
                </w:tcPr>
                <w:p>
                  <w:pPr>
                    <w:pStyle w:val="897"/>
                    <w:snapToGrid w:val="0"/>
                    <w:spacing w:before="0" w:after="0"/>
                    <w:rPr>
                      <w:rFonts w:cs="Times New Roman"/>
                      <w:kern w:val="0"/>
                      <w:sz w:val="21"/>
                      <w:szCs w:val="21"/>
                    </w:rPr>
                  </w:pPr>
                  <w:r>
                    <w:rPr>
                      <w:rFonts w:cs="Times New Roman"/>
                      <w:kern w:val="0"/>
                      <w:sz w:val="21"/>
                      <w:szCs w:val="21"/>
                    </w:rPr>
                    <w:t>UV-1100型紫外可见分光光度计</w:t>
                  </w:r>
                </w:p>
                <w:p>
                  <w:pPr>
                    <w:pStyle w:val="897"/>
                    <w:spacing w:before="0" w:after="0"/>
                    <w:rPr>
                      <w:rFonts w:cs="Times New Roman"/>
                      <w:sz w:val="21"/>
                      <w:szCs w:val="21"/>
                    </w:rPr>
                  </w:pPr>
                  <w:r>
                    <w:rPr>
                      <w:rFonts w:cs="Times New Roman"/>
                      <w:kern w:val="0"/>
                      <w:sz w:val="21"/>
                      <w:szCs w:val="21"/>
                    </w:rPr>
                    <w:t>（HFJ-025）</w:t>
                  </w:r>
                </w:p>
              </w:tc>
              <w:tc>
                <w:tcPr>
                  <w:tcW w:w="734" w:type="pct"/>
                  <w:noWrap w:val="0"/>
                  <w:vAlign w:val="center"/>
                </w:tcPr>
                <w:p>
                  <w:pPr>
                    <w:pStyle w:val="897"/>
                    <w:spacing w:before="0" w:after="0"/>
                    <w:rPr>
                      <w:rFonts w:cs="Times New Roman"/>
                      <w:kern w:val="0"/>
                      <w:sz w:val="21"/>
                      <w:szCs w:val="21"/>
                    </w:rPr>
                  </w:pPr>
                  <w:r>
                    <w:rPr>
                      <w:rFonts w:cs="Times New Roman"/>
                      <w:sz w:val="21"/>
                      <w:szCs w:val="21"/>
                    </w:rPr>
                    <w:t>0.003</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kern w:val="0"/>
                      <w:sz w:val="21"/>
                      <w:szCs w:val="21"/>
                      <w:lang w:bidi="ar"/>
                    </w:rPr>
                  </w:pPr>
                  <w:r>
                    <w:rPr>
                      <w:rFonts w:cs="Times New Roman"/>
                      <w:kern w:val="0"/>
                      <w:sz w:val="21"/>
                      <w:szCs w:val="21"/>
                      <w:lang w:bidi="ar"/>
                    </w:rPr>
                    <w:t>挥发性酚类</w:t>
                  </w:r>
                </w:p>
              </w:tc>
              <w:tc>
                <w:tcPr>
                  <w:tcW w:w="1242" w:type="pct"/>
                  <w:noWrap w:val="0"/>
                  <w:vAlign w:val="center"/>
                </w:tcPr>
                <w:p>
                  <w:pPr>
                    <w:pStyle w:val="897"/>
                    <w:spacing w:before="0" w:after="0"/>
                    <w:rPr>
                      <w:rFonts w:cs="Times New Roman"/>
                      <w:sz w:val="21"/>
                      <w:szCs w:val="21"/>
                    </w:rPr>
                  </w:pPr>
                  <w:r>
                    <w:rPr>
                      <w:rFonts w:cs="Times New Roman"/>
                      <w:sz w:val="21"/>
                      <w:szCs w:val="21"/>
                    </w:rPr>
                    <w:t>水质 挥发酚的测定 4-氨基安替比林分光光度法</w:t>
                  </w:r>
                </w:p>
              </w:tc>
              <w:tc>
                <w:tcPr>
                  <w:tcW w:w="939" w:type="pct"/>
                  <w:noWrap w:val="0"/>
                  <w:vAlign w:val="center"/>
                </w:tcPr>
                <w:p>
                  <w:pPr>
                    <w:pStyle w:val="897"/>
                    <w:spacing w:before="0" w:after="0"/>
                    <w:rPr>
                      <w:rFonts w:cs="Times New Roman"/>
                      <w:snapToGrid w:val="0"/>
                      <w:sz w:val="21"/>
                      <w:szCs w:val="21"/>
                    </w:rPr>
                  </w:pPr>
                  <w:r>
                    <w:rPr>
                      <w:rFonts w:cs="Times New Roman"/>
                      <w:sz w:val="21"/>
                      <w:szCs w:val="21"/>
                    </w:rPr>
                    <w:t>HJ 503-2009</w:t>
                  </w:r>
                </w:p>
              </w:tc>
              <w:tc>
                <w:tcPr>
                  <w:tcW w:w="1224" w:type="pct"/>
                  <w:noWrap w:val="0"/>
                  <w:vAlign w:val="center"/>
                </w:tcPr>
                <w:p>
                  <w:pPr>
                    <w:pStyle w:val="897"/>
                    <w:snapToGrid w:val="0"/>
                    <w:spacing w:before="0" w:after="0"/>
                    <w:rPr>
                      <w:rFonts w:cs="Times New Roman"/>
                      <w:kern w:val="0"/>
                      <w:sz w:val="21"/>
                      <w:szCs w:val="21"/>
                    </w:rPr>
                  </w:pPr>
                  <w:r>
                    <w:rPr>
                      <w:rFonts w:cs="Times New Roman"/>
                      <w:kern w:val="0"/>
                      <w:sz w:val="21"/>
                      <w:szCs w:val="21"/>
                    </w:rPr>
                    <w:t>721型可见分光</w:t>
                  </w:r>
                </w:p>
                <w:p>
                  <w:pPr>
                    <w:pStyle w:val="897"/>
                    <w:snapToGrid w:val="0"/>
                    <w:spacing w:before="0" w:after="0"/>
                    <w:rPr>
                      <w:rFonts w:cs="Times New Roman"/>
                      <w:kern w:val="0"/>
                      <w:sz w:val="21"/>
                      <w:szCs w:val="21"/>
                    </w:rPr>
                  </w:pPr>
                  <w:r>
                    <w:rPr>
                      <w:rFonts w:cs="Times New Roman"/>
                      <w:kern w:val="0"/>
                      <w:sz w:val="21"/>
                      <w:szCs w:val="21"/>
                    </w:rPr>
                    <w:t>光度计</w:t>
                  </w:r>
                </w:p>
                <w:p>
                  <w:pPr>
                    <w:pStyle w:val="897"/>
                    <w:spacing w:before="0" w:after="0"/>
                    <w:rPr>
                      <w:rFonts w:cs="Times New Roman"/>
                      <w:sz w:val="21"/>
                      <w:szCs w:val="21"/>
                    </w:rPr>
                  </w:pPr>
                  <w:r>
                    <w:rPr>
                      <w:rFonts w:cs="Times New Roman"/>
                      <w:kern w:val="0"/>
                      <w:sz w:val="21"/>
                      <w:szCs w:val="21"/>
                    </w:rPr>
                    <w:t>（HFJ-096）</w:t>
                  </w:r>
                </w:p>
              </w:tc>
              <w:tc>
                <w:tcPr>
                  <w:tcW w:w="734" w:type="pct"/>
                  <w:noWrap w:val="0"/>
                  <w:vAlign w:val="center"/>
                </w:tcPr>
                <w:p>
                  <w:pPr>
                    <w:pStyle w:val="897"/>
                    <w:spacing w:before="0" w:after="0"/>
                    <w:rPr>
                      <w:rFonts w:cs="Times New Roman"/>
                      <w:kern w:val="0"/>
                      <w:sz w:val="21"/>
                      <w:szCs w:val="21"/>
                    </w:rPr>
                  </w:pPr>
                  <w:r>
                    <w:rPr>
                      <w:rFonts w:cs="Times New Roman"/>
                      <w:kern w:val="0"/>
                      <w:sz w:val="21"/>
                      <w:szCs w:val="21"/>
                    </w:rPr>
                    <w:t>0.0003</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亚硝酸盐</w:t>
                  </w:r>
                </w:p>
              </w:tc>
              <w:tc>
                <w:tcPr>
                  <w:tcW w:w="1242" w:type="pct"/>
                  <w:noWrap w:val="0"/>
                  <w:vAlign w:val="center"/>
                </w:tcPr>
                <w:p>
                  <w:pPr>
                    <w:pStyle w:val="897"/>
                    <w:spacing w:before="0" w:after="0"/>
                    <w:rPr>
                      <w:rFonts w:cs="Times New Roman"/>
                      <w:sz w:val="21"/>
                      <w:szCs w:val="21"/>
                    </w:rPr>
                  </w:pPr>
                  <w:r>
                    <w:rPr>
                      <w:rFonts w:cs="Times New Roman"/>
                      <w:sz w:val="21"/>
                      <w:szCs w:val="21"/>
                    </w:rPr>
                    <w:t>生活饮用水标准检验方法 无机非金属指标 重氮偶合分光光度法</w:t>
                  </w:r>
                </w:p>
              </w:tc>
              <w:tc>
                <w:tcPr>
                  <w:tcW w:w="939" w:type="pct"/>
                  <w:noWrap w:val="0"/>
                  <w:vAlign w:val="center"/>
                </w:tcPr>
                <w:p>
                  <w:pPr>
                    <w:jc w:val="center"/>
                    <w:rPr>
                      <w:szCs w:val="21"/>
                    </w:rPr>
                  </w:pPr>
                  <w:r>
                    <w:rPr>
                      <w:szCs w:val="21"/>
                    </w:rPr>
                    <w:t>GB/T 5750.5-2006</w:t>
                  </w:r>
                </w:p>
              </w:tc>
              <w:tc>
                <w:tcPr>
                  <w:tcW w:w="1224" w:type="pct"/>
                  <w:noWrap w:val="0"/>
                  <w:vAlign w:val="center"/>
                </w:tcPr>
                <w:p>
                  <w:pPr>
                    <w:jc w:val="center"/>
                    <w:rPr>
                      <w:kern w:val="0"/>
                      <w:szCs w:val="21"/>
                    </w:rPr>
                  </w:pPr>
                  <w:r>
                    <w:rPr>
                      <w:kern w:val="0"/>
                      <w:szCs w:val="21"/>
                    </w:rPr>
                    <w:t>UV-1100型</w:t>
                  </w:r>
                </w:p>
                <w:p>
                  <w:pPr>
                    <w:jc w:val="center"/>
                    <w:rPr>
                      <w:kern w:val="0"/>
                      <w:szCs w:val="21"/>
                    </w:rPr>
                  </w:pPr>
                  <w:r>
                    <w:rPr>
                      <w:kern w:val="0"/>
                      <w:szCs w:val="21"/>
                    </w:rPr>
                    <w:t>紫外可见分光光度计</w:t>
                  </w:r>
                </w:p>
                <w:p>
                  <w:pPr>
                    <w:pStyle w:val="897"/>
                    <w:spacing w:before="0" w:after="0"/>
                    <w:rPr>
                      <w:rFonts w:cs="Times New Roman"/>
                      <w:sz w:val="21"/>
                      <w:szCs w:val="21"/>
                    </w:rPr>
                  </w:pPr>
                  <w:r>
                    <w:rPr>
                      <w:rFonts w:cs="Times New Roman"/>
                      <w:kern w:val="0"/>
                      <w:sz w:val="21"/>
                      <w:szCs w:val="21"/>
                    </w:rPr>
                    <w:t>（HFJ-060）</w:t>
                  </w:r>
                </w:p>
              </w:tc>
              <w:tc>
                <w:tcPr>
                  <w:tcW w:w="734" w:type="pct"/>
                  <w:noWrap w:val="0"/>
                  <w:vAlign w:val="center"/>
                </w:tcPr>
                <w:p>
                  <w:pPr>
                    <w:pStyle w:val="897"/>
                    <w:spacing w:before="0" w:after="0"/>
                    <w:rPr>
                      <w:rFonts w:cs="Times New Roman"/>
                      <w:kern w:val="0"/>
                      <w:sz w:val="21"/>
                      <w:szCs w:val="21"/>
                    </w:rPr>
                  </w:pPr>
                  <w:r>
                    <w:rPr>
                      <w:rFonts w:cs="Times New Roman"/>
                      <w:kern w:val="0"/>
                      <w:sz w:val="21"/>
                      <w:szCs w:val="21"/>
                    </w:rPr>
                    <w:t>0.001</w:t>
                  </w:r>
                  <w:r>
                    <w:rPr>
                      <w:rFonts w:cs="Times New Roman"/>
                      <w:bCs/>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苯</w:t>
                  </w:r>
                </w:p>
              </w:tc>
              <w:tc>
                <w:tcPr>
                  <w:tcW w:w="1242" w:type="pct"/>
                  <w:vMerge w:val="restart"/>
                  <w:noWrap w:val="0"/>
                  <w:vAlign w:val="center"/>
                </w:tcPr>
                <w:p>
                  <w:pPr>
                    <w:autoSpaceDE w:val="0"/>
                    <w:autoSpaceDN w:val="0"/>
                    <w:adjustRightInd w:val="0"/>
                    <w:jc w:val="center"/>
                    <w:textAlignment w:val="center"/>
                    <w:rPr>
                      <w:szCs w:val="21"/>
                    </w:rPr>
                  </w:pPr>
                  <w:r>
                    <w:rPr>
                      <w:szCs w:val="21"/>
                    </w:rPr>
                    <w:t>水质 挥发性有机物的测定 顶空/气相色谱-质谱法</w:t>
                  </w:r>
                </w:p>
              </w:tc>
              <w:tc>
                <w:tcPr>
                  <w:tcW w:w="939" w:type="pct"/>
                  <w:vMerge w:val="restart"/>
                  <w:noWrap w:val="0"/>
                  <w:vAlign w:val="center"/>
                </w:tcPr>
                <w:p>
                  <w:pPr>
                    <w:autoSpaceDE w:val="0"/>
                    <w:autoSpaceDN w:val="0"/>
                    <w:adjustRightInd w:val="0"/>
                    <w:jc w:val="center"/>
                    <w:textAlignment w:val="center"/>
                    <w:rPr>
                      <w:szCs w:val="21"/>
                    </w:rPr>
                  </w:pPr>
                  <w:r>
                    <w:rPr>
                      <w:szCs w:val="21"/>
                    </w:rPr>
                    <w:t>HJ 810-2016</w:t>
                  </w:r>
                </w:p>
              </w:tc>
              <w:tc>
                <w:tcPr>
                  <w:tcW w:w="1224" w:type="pct"/>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GC-MS 6890N+5973型气质联用仪</w:t>
                  </w:r>
                </w:p>
                <w:p>
                  <w:pPr>
                    <w:jc w:val="center"/>
                    <w:rPr>
                      <w:kern w:val="0"/>
                      <w:szCs w:val="21"/>
                    </w:rPr>
                  </w:pPr>
                  <w:r>
                    <w:rPr>
                      <w:kern w:val="0"/>
                      <w:szCs w:val="21"/>
                    </w:rPr>
                    <w:t>(HFJ-048</w:t>
                  </w:r>
                  <w:r>
                    <w:rPr>
                      <w:szCs w:val="21"/>
                    </w:rPr>
                    <w:t>)</w:t>
                  </w:r>
                </w:p>
              </w:tc>
              <w:tc>
                <w:tcPr>
                  <w:tcW w:w="734" w:type="pct"/>
                  <w:noWrap w:val="0"/>
                  <w:vAlign w:val="center"/>
                </w:tcPr>
                <w:p>
                  <w:pPr>
                    <w:jc w:val="center"/>
                    <w:rPr>
                      <w:szCs w:val="21"/>
                    </w:rPr>
                  </w:pPr>
                  <w:r>
                    <w:rPr>
                      <w:kern w:val="0"/>
                      <w:szCs w:val="21"/>
                    </w:rPr>
                    <w:t>0.8μg/L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甲苯</w:t>
                  </w:r>
                </w:p>
              </w:tc>
              <w:tc>
                <w:tcPr>
                  <w:tcW w:w="1242" w:type="pct"/>
                  <w:vMerge w:val="continue"/>
                  <w:noWrap w:val="0"/>
                  <w:vAlign w:val="center"/>
                </w:tcPr>
                <w:p>
                  <w:pPr>
                    <w:autoSpaceDE w:val="0"/>
                    <w:autoSpaceDN w:val="0"/>
                    <w:adjustRightInd w:val="0"/>
                    <w:jc w:val="center"/>
                    <w:textAlignment w:val="center"/>
                    <w:rPr>
                      <w:szCs w:val="21"/>
                    </w:rPr>
                  </w:pPr>
                </w:p>
              </w:tc>
              <w:tc>
                <w:tcPr>
                  <w:tcW w:w="939" w:type="pct"/>
                  <w:vMerge w:val="continue"/>
                  <w:noWrap w:val="0"/>
                  <w:vAlign w:val="center"/>
                </w:tcPr>
                <w:p>
                  <w:pPr>
                    <w:autoSpaceDE w:val="0"/>
                    <w:autoSpaceDN w:val="0"/>
                    <w:adjustRightInd w:val="0"/>
                    <w:jc w:val="center"/>
                    <w:textAlignment w:val="center"/>
                    <w:rPr>
                      <w:szCs w:val="21"/>
                    </w:rPr>
                  </w:pPr>
                </w:p>
              </w:tc>
              <w:tc>
                <w:tcPr>
                  <w:tcW w:w="1224" w:type="pct"/>
                  <w:vMerge w:val="continue"/>
                  <w:noWrap w:val="0"/>
                  <w:vAlign w:val="center"/>
                </w:tcPr>
                <w:p>
                  <w:pPr>
                    <w:jc w:val="center"/>
                    <w:rPr>
                      <w:kern w:val="0"/>
                      <w:szCs w:val="21"/>
                    </w:rPr>
                  </w:pPr>
                </w:p>
              </w:tc>
              <w:tc>
                <w:tcPr>
                  <w:tcW w:w="734" w:type="pct"/>
                  <w:noWrap w:val="0"/>
                  <w:vAlign w:val="center"/>
                </w:tcPr>
                <w:p>
                  <w:pPr>
                    <w:jc w:val="center"/>
                    <w:rPr>
                      <w:szCs w:val="21"/>
                    </w:rPr>
                  </w:pPr>
                  <w:r>
                    <w:rPr>
                      <w:kern w:val="0"/>
                      <w:szCs w:val="21"/>
                    </w:rPr>
                    <w:t>1.0μg/L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乙苯</w:t>
                  </w:r>
                </w:p>
              </w:tc>
              <w:tc>
                <w:tcPr>
                  <w:tcW w:w="1242" w:type="pct"/>
                  <w:vMerge w:val="continue"/>
                  <w:noWrap w:val="0"/>
                  <w:vAlign w:val="center"/>
                </w:tcPr>
                <w:p>
                  <w:pPr>
                    <w:autoSpaceDE w:val="0"/>
                    <w:autoSpaceDN w:val="0"/>
                    <w:adjustRightInd w:val="0"/>
                    <w:jc w:val="center"/>
                    <w:textAlignment w:val="center"/>
                    <w:rPr>
                      <w:szCs w:val="21"/>
                    </w:rPr>
                  </w:pPr>
                </w:p>
              </w:tc>
              <w:tc>
                <w:tcPr>
                  <w:tcW w:w="939" w:type="pct"/>
                  <w:vMerge w:val="continue"/>
                  <w:noWrap w:val="0"/>
                  <w:vAlign w:val="center"/>
                </w:tcPr>
                <w:p>
                  <w:pPr>
                    <w:autoSpaceDE w:val="0"/>
                    <w:autoSpaceDN w:val="0"/>
                    <w:adjustRightInd w:val="0"/>
                    <w:jc w:val="center"/>
                    <w:textAlignment w:val="center"/>
                    <w:rPr>
                      <w:szCs w:val="21"/>
                    </w:rPr>
                  </w:pPr>
                </w:p>
              </w:tc>
              <w:tc>
                <w:tcPr>
                  <w:tcW w:w="1224" w:type="pct"/>
                  <w:vMerge w:val="continue"/>
                  <w:noWrap w:val="0"/>
                  <w:vAlign w:val="center"/>
                </w:tcPr>
                <w:p>
                  <w:pPr>
                    <w:jc w:val="center"/>
                    <w:rPr>
                      <w:kern w:val="0"/>
                      <w:szCs w:val="21"/>
                    </w:rPr>
                  </w:pPr>
                </w:p>
              </w:tc>
              <w:tc>
                <w:tcPr>
                  <w:tcW w:w="734" w:type="pct"/>
                  <w:noWrap w:val="0"/>
                  <w:vAlign w:val="center"/>
                </w:tcPr>
                <w:p>
                  <w:pPr>
                    <w:jc w:val="center"/>
                    <w:rPr>
                      <w:szCs w:val="21"/>
                    </w:rPr>
                  </w:pPr>
                  <w:r>
                    <w:rPr>
                      <w:kern w:val="0"/>
                      <w:szCs w:val="21"/>
                    </w:rPr>
                    <w:t>1.0μg/L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pacing w:val="-6"/>
                      <w:kern w:val="0"/>
                      <w:sz w:val="21"/>
                      <w:szCs w:val="21"/>
                    </w:rPr>
                    <w:t>间,对二甲苯</w:t>
                  </w:r>
                </w:p>
              </w:tc>
              <w:tc>
                <w:tcPr>
                  <w:tcW w:w="1242" w:type="pct"/>
                  <w:vMerge w:val="continue"/>
                  <w:noWrap w:val="0"/>
                  <w:vAlign w:val="center"/>
                </w:tcPr>
                <w:p>
                  <w:pPr>
                    <w:autoSpaceDE w:val="0"/>
                    <w:autoSpaceDN w:val="0"/>
                    <w:adjustRightInd w:val="0"/>
                    <w:jc w:val="center"/>
                    <w:textAlignment w:val="center"/>
                    <w:rPr>
                      <w:szCs w:val="21"/>
                    </w:rPr>
                  </w:pPr>
                </w:p>
              </w:tc>
              <w:tc>
                <w:tcPr>
                  <w:tcW w:w="939" w:type="pct"/>
                  <w:vMerge w:val="continue"/>
                  <w:noWrap w:val="0"/>
                  <w:vAlign w:val="center"/>
                </w:tcPr>
                <w:p>
                  <w:pPr>
                    <w:autoSpaceDE w:val="0"/>
                    <w:autoSpaceDN w:val="0"/>
                    <w:adjustRightInd w:val="0"/>
                    <w:jc w:val="center"/>
                    <w:textAlignment w:val="center"/>
                    <w:rPr>
                      <w:szCs w:val="21"/>
                    </w:rPr>
                  </w:pPr>
                </w:p>
              </w:tc>
              <w:tc>
                <w:tcPr>
                  <w:tcW w:w="1224" w:type="pct"/>
                  <w:vMerge w:val="continue"/>
                  <w:noWrap w:val="0"/>
                  <w:vAlign w:val="center"/>
                </w:tcPr>
                <w:p>
                  <w:pPr>
                    <w:jc w:val="center"/>
                    <w:rPr>
                      <w:szCs w:val="21"/>
                    </w:rPr>
                  </w:pPr>
                </w:p>
              </w:tc>
              <w:tc>
                <w:tcPr>
                  <w:tcW w:w="734" w:type="pct"/>
                  <w:noWrap w:val="0"/>
                  <w:vAlign w:val="center"/>
                </w:tcPr>
                <w:p>
                  <w:pPr>
                    <w:pStyle w:val="897"/>
                    <w:spacing w:before="0" w:after="0"/>
                    <w:rPr>
                      <w:rFonts w:cs="Times New Roman"/>
                      <w:kern w:val="0"/>
                      <w:sz w:val="21"/>
                      <w:szCs w:val="21"/>
                    </w:rPr>
                  </w:pPr>
                  <w:r>
                    <w:rPr>
                      <w:rFonts w:cs="Times New Roman"/>
                      <w:kern w:val="0"/>
                      <w:sz w:val="21"/>
                      <w:szCs w:val="21"/>
                    </w:rPr>
                    <w:t>0.7μg/L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pacing w:val="-6"/>
                      <w:kern w:val="0"/>
                      <w:sz w:val="21"/>
                      <w:szCs w:val="21"/>
                    </w:rPr>
                    <w:t>邻二甲苯</w:t>
                  </w:r>
                </w:p>
              </w:tc>
              <w:tc>
                <w:tcPr>
                  <w:tcW w:w="1242" w:type="pct"/>
                  <w:vMerge w:val="continue"/>
                  <w:noWrap w:val="0"/>
                  <w:vAlign w:val="center"/>
                </w:tcPr>
                <w:p>
                  <w:pPr>
                    <w:pStyle w:val="897"/>
                    <w:spacing w:before="0" w:after="0"/>
                    <w:rPr>
                      <w:rFonts w:cs="Times New Roman"/>
                      <w:sz w:val="21"/>
                      <w:szCs w:val="21"/>
                    </w:rPr>
                  </w:pPr>
                </w:p>
              </w:tc>
              <w:tc>
                <w:tcPr>
                  <w:tcW w:w="939" w:type="pct"/>
                  <w:vMerge w:val="continue"/>
                  <w:noWrap w:val="0"/>
                  <w:vAlign w:val="center"/>
                </w:tcPr>
                <w:p>
                  <w:pPr>
                    <w:jc w:val="center"/>
                    <w:rPr>
                      <w:szCs w:val="21"/>
                    </w:rPr>
                  </w:pPr>
                </w:p>
              </w:tc>
              <w:tc>
                <w:tcPr>
                  <w:tcW w:w="1224" w:type="pct"/>
                  <w:vMerge w:val="continue"/>
                  <w:noWrap w:val="0"/>
                  <w:vAlign w:val="center"/>
                </w:tcPr>
                <w:p>
                  <w:pPr>
                    <w:pStyle w:val="897"/>
                    <w:spacing w:before="0" w:after="0"/>
                    <w:rPr>
                      <w:rFonts w:cs="Times New Roman"/>
                      <w:sz w:val="21"/>
                      <w:szCs w:val="21"/>
                    </w:rPr>
                  </w:pPr>
                </w:p>
              </w:tc>
              <w:tc>
                <w:tcPr>
                  <w:tcW w:w="734" w:type="pct"/>
                  <w:noWrap w:val="0"/>
                  <w:vAlign w:val="center"/>
                </w:tcPr>
                <w:p>
                  <w:pPr>
                    <w:pStyle w:val="897"/>
                    <w:spacing w:before="0" w:after="0"/>
                    <w:rPr>
                      <w:rFonts w:cs="Times New Roman"/>
                      <w:kern w:val="0"/>
                      <w:sz w:val="21"/>
                      <w:szCs w:val="21"/>
                    </w:rPr>
                  </w:pPr>
                  <w:r>
                    <w:rPr>
                      <w:rFonts w:cs="Times New Roman"/>
                      <w:kern w:val="0"/>
                      <w:sz w:val="21"/>
                      <w:szCs w:val="21"/>
                    </w:rPr>
                    <w:t>0.8μg/L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苯并[a]芘</w:t>
                  </w:r>
                </w:p>
              </w:tc>
              <w:tc>
                <w:tcPr>
                  <w:tcW w:w="1242" w:type="pct"/>
                  <w:noWrap w:val="0"/>
                  <w:vAlign w:val="center"/>
                </w:tcPr>
                <w:p>
                  <w:pPr>
                    <w:widowControl/>
                    <w:jc w:val="center"/>
                    <w:textAlignment w:val="center"/>
                    <w:rPr>
                      <w:kern w:val="0"/>
                      <w:szCs w:val="21"/>
                    </w:rPr>
                  </w:pPr>
                  <w:r>
                    <w:rPr>
                      <w:kern w:val="0"/>
                      <w:szCs w:val="21"/>
                    </w:rPr>
                    <w:t>水质 多环芳烃的测定 液液萃取和固相萃取高效液</w:t>
                  </w:r>
                </w:p>
                <w:p>
                  <w:pPr>
                    <w:widowControl/>
                    <w:jc w:val="center"/>
                    <w:textAlignment w:val="center"/>
                    <w:rPr>
                      <w:szCs w:val="21"/>
                    </w:rPr>
                  </w:pPr>
                  <w:r>
                    <w:rPr>
                      <w:kern w:val="0"/>
                      <w:szCs w:val="21"/>
                    </w:rPr>
                    <w:t>相色谱法</w:t>
                  </w:r>
                </w:p>
              </w:tc>
              <w:tc>
                <w:tcPr>
                  <w:tcW w:w="939" w:type="pct"/>
                  <w:noWrap w:val="0"/>
                  <w:vAlign w:val="center"/>
                </w:tcPr>
                <w:p>
                  <w:pPr>
                    <w:widowControl/>
                    <w:jc w:val="center"/>
                    <w:textAlignment w:val="center"/>
                    <w:rPr>
                      <w:szCs w:val="21"/>
                    </w:rPr>
                  </w:pPr>
                  <w:r>
                    <w:rPr>
                      <w:kern w:val="0"/>
                      <w:szCs w:val="21"/>
                    </w:rPr>
                    <w:t>HJ 478-2009</w:t>
                  </w:r>
                </w:p>
              </w:tc>
              <w:tc>
                <w:tcPr>
                  <w:tcW w:w="1224" w:type="pct"/>
                  <w:noWrap w:val="0"/>
                  <w:vAlign w:val="center"/>
                </w:tcPr>
                <w:p>
                  <w:pPr>
                    <w:widowControl/>
                    <w:jc w:val="center"/>
                    <w:textAlignment w:val="center"/>
                    <w:rPr>
                      <w:kern w:val="0"/>
                      <w:szCs w:val="21"/>
                    </w:rPr>
                  </w:pPr>
                  <w:r>
                    <w:rPr>
                      <w:kern w:val="0"/>
                      <w:szCs w:val="21"/>
                    </w:rPr>
                    <w:t>Waters2695型液相</w:t>
                  </w:r>
                </w:p>
                <w:p>
                  <w:pPr>
                    <w:widowControl/>
                    <w:jc w:val="center"/>
                    <w:textAlignment w:val="center"/>
                    <w:rPr>
                      <w:kern w:val="0"/>
                      <w:szCs w:val="21"/>
                    </w:rPr>
                  </w:pPr>
                  <w:r>
                    <w:rPr>
                      <w:kern w:val="0"/>
                      <w:szCs w:val="21"/>
                    </w:rPr>
                    <w:t>色谱仪</w:t>
                  </w:r>
                </w:p>
                <w:p>
                  <w:pPr>
                    <w:widowControl/>
                    <w:jc w:val="center"/>
                    <w:textAlignment w:val="center"/>
                    <w:rPr>
                      <w:szCs w:val="21"/>
                    </w:rPr>
                  </w:pPr>
                  <w:r>
                    <w:rPr>
                      <w:kern w:val="0"/>
                      <w:szCs w:val="21"/>
                    </w:rPr>
                    <w:t>（HFJ-048）</w:t>
                  </w:r>
                </w:p>
              </w:tc>
              <w:tc>
                <w:tcPr>
                  <w:tcW w:w="734" w:type="pct"/>
                  <w:noWrap w:val="0"/>
                  <w:vAlign w:val="center"/>
                </w:tcPr>
                <w:p>
                  <w:pPr>
                    <w:pStyle w:val="897"/>
                    <w:spacing w:before="0" w:after="0"/>
                    <w:rPr>
                      <w:rFonts w:cs="Times New Roman"/>
                      <w:kern w:val="0"/>
                      <w:sz w:val="21"/>
                      <w:szCs w:val="21"/>
                    </w:rPr>
                  </w:pPr>
                  <w:r>
                    <w:rPr>
                      <w:rFonts w:cs="Times New Roman"/>
                      <w:kern w:val="0"/>
                      <w:sz w:val="21"/>
                      <w:szCs w:val="21"/>
                    </w:rPr>
                    <w:t>0.0004μg/L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pacing w:val="-6"/>
                      <w:sz w:val="21"/>
                      <w:szCs w:val="21"/>
                    </w:rPr>
                    <w:t>石油烃（C</w:t>
                  </w:r>
                  <w:r>
                    <w:rPr>
                      <w:rFonts w:cs="Times New Roman"/>
                      <w:spacing w:val="-6"/>
                      <w:sz w:val="21"/>
                      <w:szCs w:val="21"/>
                      <w:vertAlign w:val="subscript"/>
                    </w:rPr>
                    <w:t>6</w:t>
                  </w:r>
                  <w:r>
                    <w:rPr>
                      <w:rFonts w:cs="Times New Roman"/>
                      <w:spacing w:val="-6"/>
                      <w:sz w:val="21"/>
                      <w:szCs w:val="21"/>
                    </w:rPr>
                    <w:t>-C</w:t>
                  </w:r>
                  <w:r>
                    <w:rPr>
                      <w:rFonts w:cs="Times New Roman"/>
                      <w:spacing w:val="-6"/>
                      <w:sz w:val="21"/>
                      <w:szCs w:val="21"/>
                      <w:vertAlign w:val="subscript"/>
                    </w:rPr>
                    <w:t>9</w:t>
                  </w:r>
                  <w:r>
                    <w:rPr>
                      <w:rFonts w:cs="Times New Roman"/>
                      <w:spacing w:val="-6"/>
                      <w:sz w:val="21"/>
                      <w:szCs w:val="21"/>
                    </w:rPr>
                    <w:t>）*</w:t>
                  </w:r>
                </w:p>
              </w:tc>
              <w:tc>
                <w:tcPr>
                  <w:tcW w:w="1242" w:type="pct"/>
                  <w:noWrap w:val="0"/>
                  <w:vAlign w:val="center"/>
                </w:tcPr>
                <w:p>
                  <w:pPr>
                    <w:jc w:val="center"/>
                    <w:rPr>
                      <w:szCs w:val="21"/>
                    </w:rPr>
                  </w:pPr>
                  <w:r>
                    <w:rPr>
                      <w:szCs w:val="21"/>
                    </w:rPr>
                    <w:t>水质 挥发性石油(C</w:t>
                  </w:r>
                  <w:r>
                    <w:rPr>
                      <w:szCs w:val="21"/>
                      <w:vertAlign w:val="subscript"/>
                    </w:rPr>
                    <w:t>6</w:t>
                  </w:r>
                  <w:r>
                    <w:rPr>
                      <w:szCs w:val="21"/>
                    </w:rPr>
                    <w:t>-C</w:t>
                  </w:r>
                  <w:r>
                    <w:rPr>
                      <w:szCs w:val="21"/>
                      <w:vertAlign w:val="subscript"/>
                    </w:rPr>
                    <w:t>9</w:t>
                  </w:r>
                  <w:r>
                    <w:rPr>
                      <w:szCs w:val="21"/>
                    </w:rPr>
                    <w:t>)的测定 吹扫捕集/气相色谱法</w:t>
                  </w:r>
                </w:p>
              </w:tc>
              <w:tc>
                <w:tcPr>
                  <w:tcW w:w="939" w:type="pct"/>
                  <w:noWrap w:val="0"/>
                  <w:vAlign w:val="center"/>
                </w:tcPr>
                <w:p>
                  <w:pPr>
                    <w:jc w:val="center"/>
                    <w:rPr>
                      <w:szCs w:val="21"/>
                    </w:rPr>
                  </w:pPr>
                  <w:r>
                    <w:rPr>
                      <w:szCs w:val="21"/>
                    </w:rPr>
                    <w:t>HJ 893-2017</w:t>
                  </w:r>
                </w:p>
              </w:tc>
              <w:tc>
                <w:tcPr>
                  <w:tcW w:w="1224" w:type="pct"/>
                  <w:noWrap w:val="0"/>
                  <w:vAlign w:val="center"/>
                </w:tcPr>
                <w:p>
                  <w:pPr>
                    <w:jc w:val="center"/>
                    <w:rPr>
                      <w:szCs w:val="21"/>
                    </w:rPr>
                  </w:pPr>
                  <w:r>
                    <w:rPr>
                      <w:szCs w:val="21"/>
                    </w:rPr>
                    <w:t>ntuvo9000气相</w:t>
                  </w:r>
                </w:p>
                <w:p>
                  <w:pPr>
                    <w:jc w:val="center"/>
                    <w:rPr>
                      <w:szCs w:val="21"/>
                    </w:rPr>
                  </w:pPr>
                  <w:r>
                    <w:rPr>
                      <w:szCs w:val="21"/>
                    </w:rPr>
                    <w:t>色谱仪</w:t>
                  </w:r>
                </w:p>
                <w:p>
                  <w:pPr>
                    <w:jc w:val="center"/>
                    <w:rPr>
                      <w:szCs w:val="21"/>
                    </w:rPr>
                  </w:pPr>
                  <w:r>
                    <w:rPr>
                      <w:szCs w:val="21"/>
                    </w:rPr>
                    <w:t>（CHYC/01-3024）</w:t>
                  </w:r>
                </w:p>
              </w:tc>
              <w:tc>
                <w:tcPr>
                  <w:tcW w:w="734" w:type="pct"/>
                  <w:noWrap w:val="0"/>
                  <w:vAlign w:val="center"/>
                </w:tcPr>
                <w:p>
                  <w:pPr>
                    <w:widowControl/>
                    <w:jc w:val="center"/>
                    <w:rPr>
                      <w:szCs w:val="21"/>
                    </w:rPr>
                  </w:pPr>
                  <w:r>
                    <w:rPr>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pacing w:val="-11"/>
                      <w:kern w:val="0"/>
                      <w:sz w:val="21"/>
                      <w:szCs w:val="21"/>
                    </w:rPr>
                    <w:t>石油烃（C</w:t>
                  </w:r>
                  <w:r>
                    <w:rPr>
                      <w:rFonts w:cs="Times New Roman"/>
                      <w:spacing w:val="-11"/>
                      <w:kern w:val="0"/>
                      <w:sz w:val="21"/>
                      <w:szCs w:val="21"/>
                      <w:vertAlign w:val="subscript"/>
                    </w:rPr>
                    <w:t>10</w:t>
                  </w:r>
                  <w:r>
                    <w:rPr>
                      <w:rFonts w:cs="Times New Roman"/>
                      <w:spacing w:val="-11"/>
                      <w:kern w:val="0"/>
                      <w:sz w:val="21"/>
                      <w:szCs w:val="21"/>
                    </w:rPr>
                    <w:t>-C</w:t>
                  </w:r>
                  <w:r>
                    <w:rPr>
                      <w:rFonts w:cs="Times New Roman"/>
                      <w:spacing w:val="-11"/>
                      <w:kern w:val="0"/>
                      <w:sz w:val="21"/>
                      <w:szCs w:val="21"/>
                      <w:vertAlign w:val="subscript"/>
                    </w:rPr>
                    <w:t>40</w:t>
                  </w:r>
                  <w:r>
                    <w:rPr>
                      <w:rFonts w:cs="Times New Roman"/>
                      <w:spacing w:val="-11"/>
                      <w:kern w:val="0"/>
                      <w:sz w:val="21"/>
                      <w:szCs w:val="21"/>
                    </w:rPr>
                    <w:t>）*</w:t>
                  </w:r>
                </w:p>
              </w:tc>
              <w:tc>
                <w:tcPr>
                  <w:tcW w:w="1242" w:type="pct"/>
                  <w:noWrap w:val="0"/>
                  <w:vAlign w:val="center"/>
                </w:tcPr>
                <w:p>
                  <w:pPr>
                    <w:jc w:val="center"/>
                    <w:rPr>
                      <w:szCs w:val="21"/>
                    </w:rPr>
                  </w:pPr>
                  <w:r>
                    <w:rPr>
                      <w:szCs w:val="21"/>
                    </w:rPr>
                    <w:t>水质 可萃取性石油烃（C</w:t>
                  </w:r>
                  <w:r>
                    <w:rPr>
                      <w:szCs w:val="21"/>
                      <w:vertAlign w:val="subscript"/>
                    </w:rPr>
                    <w:t>10</w:t>
                  </w:r>
                  <w:r>
                    <w:rPr>
                      <w:szCs w:val="21"/>
                    </w:rPr>
                    <w:t>-C</w:t>
                  </w:r>
                  <w:r>
                    <w:rPr>
                      <w:szCs w:val="21"/>
                      <w:vertAlign w:val="subscript"/>
                    </w:rPr>
                    <w:t>40</w:t>
                  </w:r>
                  <w:r>
                    <w:rPr>
                      <w:szCs w:val="21"/>
                    </w:rPr>
                    <w:t>）的测定 气相色谱法</w:t>
                  </w:r>
                </w:p>
              </w:tc>
              <w:tc>
                <w:tcPr>
                  <w:tcW w:w="939" w:type="pct"/>
                  <w:noWrap w:val="0"/>
                  <w:vAlign w:val="center"/>
                </w:tcPr>
                <w:p>
                  <w:pPr>
                    <w:jc w:val="center"/>
                    <w:rPr>
                      <w:szCs w:val="21"/>
                    </w:rPr>
                  </w:pPr>
                  <w:r>
                    <w:rPr>
                      <w:szCs w:val="21"/>
                    </w:rPr>
                    <w:t>HJ 894-2017</w:t>
                  </w:r>
                </w:p>
              </w:tc>
              <w:tc>
                <w:tcPr>
                  <w:tcW w:w="1224" w:type="pct"/>
                  <w:noWrap w:val="0"/>
                  <w:vAlign w:val="center"/>
                </w:tcPr>
                <w:p>
                  <w:pPr>
                    <w:jc w:val="center"/>
                    <w:rPr>
                      <w:szCs w:val="21"/>
                    </w:rPr>
                  </w:pPr>
                  <w:r>
                    <w:rPr>
                      <w:szCs w:val="21"/>
                    </w:rPr>
                    <w:t>ntuvo9000气相</w:t>
                  </w:r>
                </w:p>
                <w:p>
                  <w:pPr>
                    <w:jc w:val="center"/>
                    <w:rPr>
                      <w:szCs w:val="21"/>
                    </w:rPr>
                  </w:pPr>
                  <w:r>
                    <w:rPr>
                      <w:szCs w:val="21"/>
                    </w:rPr>
                    <w:t>色谱仪</w:t>
                  </w:r>
                </w:p>
                <w:p>
                  <w:pPr>
                    <w:jc w:val="center"/>
                    <w:rPr>
                      <w:szCs w:val="21"/>
                    </w:rPr>
                  </w:pPr>
                  <w:r>
                    <w:rPr>
                      <w:szCs w:val="21"/>
                    </w:rPr>
                    <w:t>（CHYC/01-3024）</w:t>
                  </w:r>
                </w:p>
              </w:tc>
              <w:tc>
                <w:tcPr>
                  <w:tcW w:w="734" w:type="pct"/>
                  <w:noWrap w:val="0"/>
                  <w:vAlign w:val="center"/>
                </w:tcPr>
                <w:p>
                  <w:pPr>
                    <w:widowControl/>
                    <w:jc w:val="center"/>
                    <w:rPr>
                      <w:szCs w:val="21"/>
                    </w:rPr>
                  </w:pPr>
                  <w:r>
                    <w:rPr>
                      <w:szCs w:val="21"/>
                    </w:rPr>
                    <w:t>0.01mg/L</w:t>
                  </w:r>
                </w:p>
              </w:tc>
            </w:tr>
            <w:tr>
              <w:tblPrEx>
                <w:tblCellMar>
                  <w:top w:w="0" w:type="dxa"/>
                  <w:left w:w="28" w:type="dxa"/>
                  <w:bottom w:w="0" w:type="dxa"/>
                  <w:right w:w="28" w:type="dxa"/>
                </w:tblCellMar>
              </w:tblPrEx>
              <w:trPr>
                <w:trHeight w:val="20" w:hRule="atLeast"/>
                <w:jc w:val="center"/>
              </w:trPr>
              <w:tc>
                <w:tcPr>
                  <w:tcW w:w="860" w:type="pct"/>
                  <w:noWrap w:val="0"/>
                  <w:vAlign w:val="center"/>
                </w:tcPr>
                <w:p>
                  <w:pPr>
                    <w:pStyle w:val="897"/>
                    <w:spacing w:before="0" w:after="0"/>
                    <w:rPr>
                      <w:rFonts w:cs="Times New Roman"/>
                      <w:sz w:val="21"/>
                      <w:szCs w:val="21"/>
                    </w:rPr>
                  </w:pPr>
                  <w:r>
                    <w:rPr>
                      <w:rFonts w:cs="Times New Roman"/>
                      <w:sz w:val="21"/>
                      <w:szCs w:val="21"/>
                    </w:rPr>
                    <w:t>甲基叔丁基醚*</w:t>
                  </w:r>
                </w:p>
              </w:tc>
              <w:tc>
                <w:tcPr>
                  <w:tcW w:w="1242" w:type="pct"/>
                  <w:noWrap w:val="0"/>
                  <w:vAlign w:val="center"/>
                </w:tcPr>
                <w:p>
                  <w:pPr>
                    <w:jc w:val="center"/>
                    <w:rPr>
                      <w:szCs w:val="21"/>
                    </w:rPr>
                  </w:pPr>
                  <w:r>
                    <w:rPr>
                      <w:szCs w:val="21"/>
                    </w:rPr>
                    <w:t>水质 挥发性有机物的测定 吹扫捕集/气相色谱-质谱法</w:t>
                  </w:r>
                </w:p>
              </w:tc>
              <w:tc>
                <w:tcPr>
                  <w:tcW w:w="939" w:type="pct"/>
                  <w:noWrap w:val="0"/>
                  <w:vAlign w:val="center"/>
                </w:tcPr>
                <w:p>
                  <w:pPr>
                    <w:jc w:val="center"/>
                    <w:rPr>
                      <w:szCs w:val="21"/>
                    </w:rPr>
                  </w:pPr>
                  <w:r>
                    <w:rPr>
                      <w:szCs w:val="21"/>
                    </w:rPr>
                    <w:t>HJ 639-2012</w:t>
                  </w:r>
                </w:p>
              </w:tc>
              <w:tc>
                <w:tcPr>
                  <w:tcW w:w="1224" w:type="pct"/>
                  <w:noWrap w:val="0"/>
                  <w:vAlign w:val="center"/>
                </w:tcPr>
                <w:p>
                  <w:pPr>
                    <w:jc w:val="center"/>
                    <w:rPr>
                      <w:szCs w:val="21"/>
                    </w:rPr>
                  </w:pPr>
                  <w:r>
                    <w:rPr>
                      <w:szCs w:val="21"/>
                    </w:rPr>
                    <w:t>Intuvo9000+5977B气相色谱质谱联用仪</w:t>
                  </w:r>
                </w:p>
                <w:p>
                  <w:pPr>
                    <w:jc w:val="center"/>
                    <w:rPr>
                      <w:szCs w:val="21"/>
                    </w:rPr>
                  </w:pPr>
                  <w:r>
                    <w:rPr>
                      <w:szCs w:val="21"/>
                    </w:rPr>
                    <w:t>（CHYC/01-3023）</w:t>
                  </w:r>
                </w:p>
              </w:tc>
              <w:tc>
                <w:tcPr>
                  <w:tcW w:w="734" w:type="pct"/>
                  <w:noWrap w:val="0"/>
                  <w:vAlign w:val="center"/>
                </w:tcPr>
                <w:p>
                  <w:pPr>
                    <w:widowControl/>
                    <w:jc w:val="center"/>
                    <w:rPr>
                      <w:szCs w:val="21"/>
                    </w:rPr>
                  </w:pPr>
                  <w:r>
                    <w:rPr>
                      <w:szCs w:val="21"/>
                    </w:rPr>
                    <w:t>0.7μg/L</w:t>
                  </w:r>
                </w:p>
              </w:tc>
            </w:tr>
          </w:tbl>
          <w:p>
            <w:pPr>
              <w:pStyle w:val="879"/>
              <w:ind w:firstLine="482"/>
              <w:rPr>
                <w:b/>
                <w:bCs/>
                <w:szCs w:val="24"/>
              </w:rPr>
            </w:pPr>
            <w:r>
              <w:rPr>
                <w:b/>
                <w:bCs/>
                <w:szCs w:val="24"/>
              </w:rPr>
              <w:t>4、监测分析结果</w:t>
            </w:r>
          </w:p>
          <w:p>
            <w:pPr>
              <w:pStyle w:val="879"/>
              <w:ind w:firstLine="480"/>
              <w:rPr>
                <w:szCs w:val="24"/>
              </w:rPr>
            </w:pPr>
            <w:r>
              <w:rPr>
                <w:szCs w:val="24"/>
              </w:rPr>
              <w:t>1）评价方法</w:t>
            </w:r>
          </w:p>
          <w:p>
            <w:pPr>
              <w:pStyle w:val="879"/>
              <w:ind w:firstLine="480"/>
              <w:rPr>
                <w:szCs w:val="24"/>
              </w:rPr>
            </w:pPr>
            <w:r>
              <w:rPr>
                <w:szCs w:val="24"/>
              </w:rPr>
              <w:t>采用单项标准指数法评价，其数学模式如下：</w:t>
            </w:r>
          </w:p>
          <w:p>
            <w:pPr>
              <w:pStyle w:val="879"/>
              <w:ind w:firstLine="482"/>
              <w:rPr>
                <w:szCs w:val="24"/>
              </w:rPr>
            </w:pPr>
            <w:r>
              <w:rPr>
                <w:b/>
                <w:bCs/>
                <w:szCs w:val="24"/>
              </w:rPr>
              <w:drawing>
                <wp:anchor distT="0" distB="0" distL="114300" distR="114300" simplePos="0" relativeHeight="251662336" behindDoc="0" locked="0" layoutInCell="1" allowOverlap="1">
                  <wp:simplePos x="0" y="0"/>
                  <wp:positionH relativeFrom="column">
                    <wp:posOffset>1677670</wp:posOffset>
                  </wp:positionH>
                  <wp:positionV relativeFrom="paragraph">
                    <wp:posOffset>265430</wp:posOffset>
                  </wp:positionV>
                  <wp:extent cx="597535" cy="469265"/>
                  <wp:effectExtent l="0" t="0" r="12065" b="6350"/>
                  <wp:wrapNone/>
                  <wp:docPr id="4"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对象 7"/>
                          <pic:cNvPicPr>
                            <a:picLocks noChangeAspect="1"/>
                          </pic:cNvPicPr>
                        </pic:nvPicPr>
                        <pic:blipFill>
                          <a:blip r:embed="rId25"/>
                          <a:stretch>
                            <a:fillRect/>
                          </a:stretch>
                        </pic:blipFill>
                        <pic:spPr>
                          <a:xfrm>
                            <a:off x="0" y="0"/>
                            <a:ext cx="597535" cy="469265"/>
                          </a:xfrm>
                          <a:prstGeom prst="rect">
                            <a:avLst/>
                          </a:prstGeom>
                          <a:noFill/>
                          <a:ln>
                            <a:noFill/>
                          </a:ln>
                        </pic:spPr>
                      </pic:pic>
                    </a:graphicData>
                  </a:graphic>
                </wp:anchor>
              </w:drawing>
            </w:r>
            <w:r>
              <w:rPr>
                <w:b/>
                <w:bCs/>
                <w:szCs w:val="24"/>
              </w:rPr>
              <w:t>一般污染物：</w:t>
            </w:r>
          </w:p>
          <w:p>
            <w:pPr>
              <w:pStyle w:val="879"/>
              <w:ind w:firstLine="480"/>
              <w:rPr>
                <w:szCs w:val="24"/>
              </w:rPr>
            </w:pPr>
          </w:p>
          <w:p>
            <w:pPr>
              <w:pStyle w:val="879"/>
              <w:ind w:firstLine="480"/>
              <w:rPr>
                <w:szCs w:val="24"/>
              </w:rPr>
            </w:pPr>
          </w:p>
          <w:p>
            <w:pPr>
              <w:spacing w:line="500" w:lineRule="atLeast"/>
              <w:ind w:firstLine="480"/>
              <w:rPr>
                <w:kern w:val="0"/>
                <w:sz w:val="24"/>
              </w:rPr>
            </w:pPr>
            <w:r>
              <w:rPr>
                <w:kern w:val="0"/>
                <w:sz w:val="24"/>
              </w:rPr>
              <w:t>式中：S</w:t>
            </w:r>
            <w:r>
              <w:rPr>
                <w:kern w:val="0"/>
                <w:sz w:val="24"/>
                <w:vertAlign w:val="subscript"/>
              </w:rPr>
              <w:t>ij</w:t>
            </w:r>
            <w:r>
              <w:rPr>
                <w:kern w:val="0"/>
                <w:sz w:val="24"/>
              </w:rPr>
              <w:t>——I污染物在监测点j的标准指数；</w:t>
            </w:r>
          </w:p>
          <w:p>
            <w:pPr>
              <w:spacing w:line="500" w:lineRule="atLeast"/>
              <w:ind w:firstLine="1200" w:firstLineChars="500"/>
              <w:rPr>
                <w:kern w:val="0"/>
                <w:sz w:val="24"/>
              </w:rPr>
            </w:pPr>
            <w:r>
              <w:rPr>
                <w:kern w:val="0"/>
                <w:sz w:val="24"/>
              </w:rPr>
              <w:t>C</w:t>
            </w:r>
            <w:r>
              <w:rPr>
                <w:kern w:val="0"/>
                <w:sz w:val="24"/>
                <w:vertAlign w:val="subscript"/>
              </w:rPr>
              <w:t>ij</w:t>
            </w:r>
            <w:r>
              <w:rPr>
                <w:kern w:val="0"/>
                <w:sz w:val="24"/>
              </w:rPr>
              <w:t>——I污染物在监测点j的浓度值（mg/L）；</w:t>
            </w:r>
          </w:p>
          <w:p>
            <w:pPr>
              <w:spacing w:line="500" w:lineRule="atLeast"/>
              <w:ind w:firstLine="1200" w:firstLineChars="500"/>
              <w:rPr>
                <w:kern w:val="0"/>
                <w:sz w:val="24"/>
              </w:rPr>
            </w:pPr>
            <w:r>
              <w:rPr>
                <w:kern w:val="0"/>
                <w:sz w:val="24"/>
              </w:rPr>
              <w:t>C</w:t>
            </w:r>
            <w:r>
              <w:rPr>
                <w:kern w:val="0"/>
                <w:sz w:val="24"/>
                <w:vertAlign w:val="subscript"/>
              </w:rPr>
              <w:t>si</w:t>
            </w:r>
            <w:r>
              <w:rPr>
                <w:kern w:val="0"/>
                <w:sz w:val="24"/>
              </w:rPr>
              <w:t>——I污染物的水环境质量标准值（mg/L）。</w:t>
            </w:r>
          </w:p>
          <w:p>
            <w:pPr>
              <w:spacing w:line="500" w:lineRule="atLeast"/>
              <w:ind w:firstLine="482"/>
              <w:rPr>
                <w:b/>
                <w:bCs/>
                <w:kern w:val="0"/>
                <w:sz w:val="24"/>
              </w:rPr>
            </w:pPr>
            <w:r>
              <w:rPr>
                <w:b/>
                <w:bCs/>
                <w:kern w:val="0"/>
                <w:sz w:val="24"/>
              </w:rPr>
              <w:drawing>
                <wp:anchor distT="0" distB="0" distL="114300" distR="114300" simplePos="0" relativeHeight="251663360" behindDoc="0" locked="0" layoutInCell="1" allowOverlap="1">
                  <wp:simplePos x="0" y="0"/>
                  <wp:positionH relativeFrom="column">
                    <wp:posOffset>1755140</wp:posOffset>
                  </wp:positionH>
                  <wp:positionV relativeFrom="paragraph">
                    <wp:posOffset>260350</wp:posOffset>
                  </wp:positionV>
                  <wp:extent cx="1245870" cy="889000"/>
                  <wp:effectExtent l="0" t="0" r="11430" b="6350"/>
                  <wp:wrapNone/>
                  <wp:docPr id="5"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对象 8"/>
                          <pic:cNvPicPr>
                            <a:picLocks noChangeAspect="1"/>
                          </pic:cNvPicPr>
                        </pic:nvPicPr>
                        <pic:blipFill>
                          <a:blip r:embed="rId26"/>
                          <a:stretch>
                            <a:fillRect/>
                          </a:stretch>
                        </pic:blipFill>
                        <pic:spPr>
                          <a:xfrm>
                            <a:off x="0" y="0"/>
                            <a:ext cx="1245870" cy="889000"/>
                          </a:xfrm>
                          <a:prstGeom prst="rect">
                            <a:avLst/>
                          </a:prstGeom>
                          <a:noFill/>
                          <a:ln>
                            <a:noFill/>
                          </a:ln>
                        </pic:spPr>
                      </pic:pic>
                    </a:graphicData>
                  </a:graphic>
                </wp:anchor>
              </w:drawing>
            </w:r>
            <w:r>
              <w:rPr>
                <w:b/>
                <w:bCs/>
                <w:kern w:val="0"/>
                <w:sz w:val="24"/>
              </w:rPr>
              <w:t xml:space="preserve">pH：                              </w:t>
            </w:r>
          </w:p>
          <w:p>
            <w:pPr>
              <w:spacing w:line="500" w:lineRule="atLeast"/>
              <w:ind w:firstLine="5874" w:firstLineChars="2438"/>
              <w:rPr>
                <w:b/>
                <w:bCs/>
                <w:kern w:val="0"/>
                <w:sz w:val="24"/>
                <w:vertAlign w:val="subscript"/>
              </w:rPr>
            </w:pPr>
            <w:r>
              <w:rPr>
                <w:b/>
                <w:bCs/>
                <w:kern w:val="0"/>
                <w:sz w:val="24"/>
              </w:rPr>
              <w:t xml:space="preserve"> </w:t>
            </w:r>
            <w:r>
              <w:rPr>
                <w:kern w:val="0"/>
                <w:sz w:val="24"/>
              </w:rPr>
              <w:t>pH</w:t>
            </w:r>
            <w:r>
              <w:rPr>
                <w:kern w:val="0"/>
                <w:sz w:val="24"/>
                <w:vertAlign w:val="subscript"/>
              </w:rPr>
              <w:t>j</w:t>
            </w:r>
            <w:r>
              <w:rPr>
                <w:kern w:val="0"/>
                <w:sz w:val="24"/>
              </w:rPr>
              <w:t>≤7.0</w:t>
            </w:r>
          </w:p>
          <w:p>
            <w:pPr>
              <w:spacing w:line="500" w:lineRule="atLeast"/>
              <w:ind w:firstLine="5851" w:firstLineChars="2438"/>
              <w:rPr>
                <w:kern w:val="0"/>
                <w:sz w:val="24"/>
              </w:rPr>
            </w:pPr>
            <w:r>
              <w:rPr>
                <w:kern w:val="0"/>
                <w:sz w:val="24"/>
              </w:rPr>
              <w:t xml:space="preserve"> pH</w:t>
            </w:r>
            <w:r>
              <w:rPr>
                <w:kern w:val="0"/>
                <w:sz w:val="24"/>
                <w:vertAlign w:val="subscript"/>
              </w:rPr>
              <w:t>j</w:t>
            </w:r>
            <w:r>
              <w:rPr>
                <w:kern w:val="0"/>
                <w:sz w:val="24"/>
              </w:rPr>
              <w:t>＞7.0</w:t>
            </w:r>
          </w:p>
          <w:p>
            <w:pPr>
              <w:spacing w:line="500" w:lineRule="atLeast"/>
              <w:ind w:firstLine="480"/>
              <w:rPr>
                <w:kern w:val="0"/>
                <w:sz w:val="24"/>
              </w:rPr>
            </w:pPr>
          </w:p>
          <w:p>
            <w:pPr>
              <w:spacing w:line="500" w:lineRule="atLeast"/>
              <w:ind w:firstLine="480"/>
              <w:rPr>
                <w:kern w:val="0"/>
                <w:sz w:val="24"/>
              </w:rPr>
            </w:pPr>
            <w:r>
              <w:rPr>
                <w:kern w:val="0"/>
                <w:sz w:val="24"/>
              </w:rPr>
              <w:t>式中：pH</w:t>
            </w:r>
            <w:r>
              <w:rPr>
                <w:kern w:val="0"/>
                <w:sz w:val="24"/>
                <w:vertAlign w:val="subscript"/>
              </w:rPr>
              <w:t>j</w:t>
            </w:r>
            <w:r>
              <w:rPr>
                <w:kern w:val="0"/>
                <w:sz w:val="24"/>
              </w:rPr>
              <w:t>——监测点j的pH值；</w:t>
            </w:r>
          </w:p>
          <w:p>
            <w:pPr>
              <w:spacing w:line="500" w:lineRule="atLeast"/>
              <w:ind w:firstLine="1200" w:firstLineChars="500"/>
              <w:rPr>
                <w:kern w:val="0"/>
                <w:sz w:val="24"/>
              </w:rPr>
            </w:pPr>
            <w:r>
              <w:rPr>
                <w:kern w:val="0"/>
                <w:sz w:val="24"/>
              </w:rPr>
              <w:t>pH</w:t>
            </w:r>
            <w:r>
              <w:rPr>
                <w:kern w:val="0"/>
                <w:sz w:val="24"/>
                <w:vertAlign w:val="subscript"/>
              </w:rPr>
              <w:t>sd</w:t>
            </w:r>
            <w:r>
              <w:rPr>
                <w:kern w:val="0"/>
                <w:sz w:val="24"/>
              </w:rPr>
              <w:t>——水质标准pH下限值；</w:t>
            </w:r>
          </w:p>
          <w:p>
            <w:pPr>
              <w:spacing w:line="500" w:lineRule="atLeast"/>
              <w:ind w:firstLine="1200" w:firstLineChars="500"/>
              <w:jc w:val="left"/>
              <w:rPr>
                <w:bCs/>
                <w:snapToGrid w:val="0"/>
                <w:sz w:val="24"/>
              </w:rPr>
            </w:pPr>
            <w:r>
              <w:rPr>
                <w:kern w:val="0"/>
                <w:sz w:val="24"/>
              </w:rPr>
              <w:t>pH</w:t>
            </w:r>
            <w:r>
              <w:rPr>
                <w:kern w:val="0"/>
                <w:sz w:val="24"/>
                <w:vertAlign w:val="subscript"/>
              </w:rPr>
              <w:t>su</w:t>
            </w:r>
            <w:r>
              <w:rPr>
                <w:kern w:val="0"/>
                <w:sz w:val="24"/>
              </w:rPr>
              <w:t>——水质标准pH的上限值。</w:t>
            </w:r>
          </w:p>
          <w:p>
            <w:pPr>
              <w:spacing w:line="500" w:lineRule="atLeast"/>
              <w:ind w:firstLine="480"/>
              <w:rPr>
                <w:sz w:val="24"/>
              </w:rPr>
            </w:pPr>
            <w:r>
              <w:rPr>
                <w:sz w:val="24"/>
              </w:rPr>
              <w:t>水质参数的标准指数&gt;1，表明该项水质参数超过了规定的指数水质指标，已不能满足使用要求；水质参数的标准指数≤1，表明该项水质参数到达或优于规定的水质，完全符合国家标准，可以满足使用要求。</w:t>
            </w:r>
          </w:p>
          <w:p>
            <w:pPr>
              <w:spacing w:line="500" w:lineRule="atLeast"/>
              <w:ind w:firstLine="556" w:firstLineChars="232"/>
              <w:rPr>
                <w:sz w:val="24"/>
              </w:rPr>
            </w:pPr>
            <w:r>
              <w:rPr>
                <w:sz w:val="24"/>
              </w:rPr>
              <w:t>2）地下水水质监测及评价结果</w:t>
            </w:r>
          </w:p>
          <w:p>
            <w:pPr>
              <w:spacing w:line="500" w:lineRule="atLeast"/>
              <w:ind w:firstLine="556" w:firstLineChars="232"/>
              <w:rPr>
                <w:rFonts w:hint="eastAsia"/>
                <w:sz w:val="24"/>
              </w:rPr>
            </w:pPr>
            <w:r>
              <w:rPr>
                <w:sz w:val="24"/>
              </w:rPr>
              <w:t>项目区域地下水环境质量现状监测及评价结果见下表。</w:t>
            </w:r>
          </w:p>
          <w:p>
            <w:pPr>
              <w:pStyle w:val="587"/>
              <w:spacing w:before="0" w:line="500" w:lineRule="atLeast"/>
              <w:rPr>
                <w:rFonts w:ascii="Times New Roman" w:eastAsia="宋体"/>
                <w:b/>
                <w:bCs/>
                <w:kern w:val="2"/>
                <w:sz w:val="21"/>
                <w:szCs w:val="21"/>
              </w:rPr>
            </w:pPr>
            <w:r>
              <w:rPr>
                <w:rFonts w:ascii="Times New Roman" w:eastAsia="宋体"/>
                <w:b/>
                <w:bCs/>
                <w:kern w:val="2"/>
                <w:sz w:val="21"/>
                <w:szCs w:val="21"/>
              </w:rPr>
              <w:t>表3-</w:t>
            </w:r>
            <w:r>
              <w:rPr>
                <w:rFonts w:hint="eastAsia" w:ascii="Times New Roman" w:eastAsia="宋体"/>
                <w:b/>
                <w:bCs/>
                <w:kern w:val="2"/>
                <w:sz w:val="21"/>
                <w:szCs w:val="21"/>
              </w:rPr>
              <w:t>9</w:t>
            </w:r>
            <w:r>
              <w:rPr>
                <w:rFonts w:ascii="Times New Roman" w:eastAsia="宋体"/>
                <w:b/>
                <w:bCs/>
                <w:kern w:val="2"/>
                <w:sz w:val="21"/>
                <w:szCs w:val="21"/>
              </w:rPr>
              <w:t xml:space="preserve"> </w:t>
            </w:r>
            <w:r>
              <w:rPr>
                <w:rFonts w:hint="eastAsia" w:ascii="Times New Roman" w:eastAsia="宋体"/>
                <w:b/>
                <w:bCs/>
                <w:kern w:val="2"/>
                <w:sz w:val="21"/>
                <w:szCs w:val="21"/>
              </w:rPr>
              <w:t>本项目</w:t>
            </w:r>
            <w:r>
              <w:rPr>
                <w:rFonts w:ascii="Times New Roman" w:eastAsia="宋体"/>
                <w:b/>
                <w:bCs/>
                <w:kern w:val="2"/>
                <w:sz w:val="21"/>
                <w:szCs w:val="21"/>
              </w:rPr>
              <w:t>地下水监测及评价结果</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305"/>
              <w:gridCol w:w="2255"/>
              <w:gridCol w:w="1319"/>
              <w:gridCol w:w="1229"/>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1" w:type="dxa"/>
                  <w:noWrap w:val="0"/>
                  <w:vAlign w:val="center"/>
                </w:tcPr>
                <w:p>
                  <w:pPr>
                    <w:jc w:val="center"/>
                    <w:rPr>
                      <w:b/>
                      <w:bCs/>
                      <w:szCs w:val="21"/>
                    </w:rPr>
                  </w:pPr>
                  <w:r>
                    <w:rPr>
                      <w:b/>
                      <w:bCs/>
                      <w:szCs w:val="21"/>
                    </w:rPr>
                    <w:t>采样日期</w:t>
                  </w:r>
                </w:p>
              </w:tc>
              <w:tc>
                <w:tcPr>
                  <w:tcW w:w="1339" w:type="dxa"/>
                  <w:noWrap w:val="0"/>
                  <w:vAlign w:val="center"/>
                </w:tcPr>
                <w:p>
                  <w:pPr>
                    <w:jc w:val="center"/>
                    <w:rPr>
                      <w:b/>
                      <w:szCs w:val="21"/>
                    </w:rPr>
                  </w:pPr>
                  <w:r>
                    <w:rPr>
                      <w:b/>
                      <w:szCs w:val="21"/>
                    </w:rPr>
                    <w:t>检测点编号及位置</w:t>
                  </w:r>
                </w:p>
              </w:tc>
              <w:tc>
                <w:tcPr>
                  <w:tcW w:w="2293" w:type="dxa"/>
                  <w:noWrap w:val="0"/>
                  <w:vAlign w:val="center"/>
                </w:tcPr>
                <w:p>
                  <w:pPr>
                    <w:jc w:val="center"/>
                    <w:rPr>
                      <w:b/>
                      <w:bCs/>
                      <w:szCs w:val="21"/>
                    </w:rPr>
                  </w:pPr>
                  <w:r>
                    <w:rPr>
                      <w:b/>
                      <w:bCs/>
                      <w:szCs w:val="21"/>
                    </w:rPr>
                    <w:t>检测因子</w:t>
                  </w:r>
                </w:p>
              </w:tc>
              <w:tc>
                <w:tcPr>
                  <w:tcW w:w="1336" w:type="dxa"/>
                  <w:noWrap w:val="0"/>
                  <w:vAlign w:val="center"/>
                </w:tcPr>
                <w:p>
                  <w:pPr>
                    <w:jc w:val="center"/>
                    <w:rPr>
                      <w:b/>
                      <w:bCs/>
                      <w:szCs w:val="21"/>
                    </w:rPr>
                  </w:pPr>
                  <w:r>
                    <w:rPr>
                      <w:b/>
                      <w:bCs/>
                      <w:szCs w:val="21"/>
                    </w:rPr>
                    <w:t>检测结果</w:t>
                  </w:r>
                </w:p>
              </w:tc>
              <w:tc>
                <w:tcPr>
                  <w:tcW w:w="1229" w:type="dxa"/>
                  <w:noWrap w:val="0"/>
                  <w:vAlign w:val="center"/>
                </w:tcPr>
                <w:p>
                  <w:pPr>
                    <w:jc w:val="center"/>
                    <w:rPr>
                      <w:b/>
                      <w:bCs/>
                      <w:szCs w:val="21"/>
                    </w:rPr>
                  </w:pPr>
                  <w:r>
                    <w:rPr>
                      <w:rFonts w:hint="eastAsia"/>
                      <w:b/>
                      <w:szCs w:val="21"/>
                    </w:rPr>
                    <w:t>标准值（mg/L）</w:t>
                  </w:r>
                </w:p>
              </w:tc>
              <w:tc>
                <w:tcPr>
                  <w:tcW w:w="1020" w:type="dxa"/>
                  <w:noWrap w:val="0"/>
                  <w:vAlign w:val="center"/>
                </w:tcPr>
                <w:p>
                  <w:pPr>
                    <w:jc w:val="center"/>
                    <w:rPr>
                      <w:b/>
                      <w:bCs/>
                      <w:szCs w:val="21"/>
                    </w:rPr>
                  </w:pPr>
                  <w:r>
                    <w:rPr>
                      <w:rFonts w:hint="eastAsia"/>
                      <w:b/>
                      <w:szCs w:val="21"/>
                    </w:rPr>
                    <w:t>单项指数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restart"/>
                  <w:noWrap w:val="0"/>
                  <w:vAlign w:val="center"/>
                </w:tcPr>
                <w:p>
                  <w:pPr>
                    <w:widowControl/>
                    <w:jc w:val="center"/>
                    <w:textAlignment w:val="center"/>
                    <w:rPr>
                      <w:szCs w:val="21"/>
                    </w:rPr>
                  </w:pPr>
                  <w:r>
                    <w:rPr>
                      <w:szCs w:val="21"/>
                    </w:rPr>
                    <w:t>2023.07.10</w:t>
                  </w:r>
                </w:p>
              </w:tc>
              <w:tc>
                <w:tcPr>
                  <w:tcW w:w="1339" w:type="dxa"/>
                  <w:vMerge w:val="restart"/>
                  <w:noWrap w:val="0"/>
                  <w:vAlign w:val="center"/>
                </w:tcPr>
                <w:p>
                  <w:pPr>
                    <w:jc w:val="center"/>
                    <w:rPr>
                      <w:szCs w:val="21"/>
                    </w:rPr>
                  </w:pPr>
                  <w:r>
                    <w:rPr>
                      <w:szCs w:val="21"/>
                    </w:rPr>
                    <w:t>项目厂区内</w:t>
                  </w:r>
                </w:p>
              </w:tc>
              <w:tc>
                <w:tcPr>
                  <w:tcW w:w="2293" w:type="dxa"/>
                  <w:noWrap w:val="0"/>
                  <w:vAlign w:val="center"/>
                </w:tcPr>
                <w:p>
                  <w:pPr>
                    <w:jc w:val="center"/>
                    <w:textAlignment w:val="center"/>
                    <w:rPr>
                      <w:szCs w:val="21"/>
                    </w:rPr>
                  </w:pPr>
                  <w:r>
                    <w:rPr>
                      <w:kern w:val="0"/>
                      <w:szCs w:val="21"/>
                      <w:lang w:bidi="ar"/>
                    </w:rPr>
                    <w:t>pH（无量纲）</w:t>
                  </w:r>
                </w:p>
              </w:tc>
              <w:tc>
                <w:tcPr>
                  <w:tcW w:w="1336" w:type="dxa"/>
                  <w:noWrap w:val="0"/>
                  <w:vAlign w:val="center"/>
                </w:tcPr>
                <w:p>
                  <w:pPr>
                    <w:jc w:val="center"/>
                    <w:rPr>
                      <w:szCs w:val="21"/>
                    </w:rPr>
                  </w:pPr>
                  <w:r>
                    <w:rPr>
                      <w:szCs w:val="21"/>
                    </w:rPr>
                    <w:t>7.4</w:t>
                  </w:r>
                </w:p>
              </w:tc>
              <w:tc>
                <w:tcPr>
                  <w:tcW w:w="1229" w:type="dxa"/>
                  <w:noWrap w:val="0"/>
                  <w:vAlign w:val="center"/>
                </w:tcPr>
                <w:p>
                  <w:pPr>
                    <w:jc w:val="center"/>
                    <w:rPr>
                      <w:szCs w:val="21"/>
                    </w:rPr>
                  </w:pPr>
                  <w:r>
                    <w:rPr>
                      <w:rFonts w:hint="eastAsia"/>
                      <w:szCs w:val="21"/>
                    </w:rPr>
                    <w:t>6.5</w:t>
                  </w:r>
                  <w:r>
                    <w:rPr>
                      <w:szCs w:val="21"/>
                    </w:rPr>
                    <w:t>≤</w:t>
                  </w:r>
                  <w:r>
                    <w:rPr>
                      <w:rFonts w:hint="eastAsia"/>
                      <w:szCs w:val="21"/>
                    </w:rPr>
                    <w:t>pH</w:t>
                  </w:r>
                  <w:r>
                    <w:rPr>
                      <w:szCs w:val="21"/>
                    </w:rPr>
                    <w:t>≤</w:t>
                  </w:r>
                  <w:r>
                    <w:rPr>
                      <w:rFonts w:hint="eastAsia"/>
                      <w:szCs w:val="21"/>
                    </w:rPr>
                    <w:t>8.5</w:t>
                  </w:r>
                </w:p>
              </w:tc>
              <w:tc>
                <w:tcPr>
                  <w:tcW w:w="1020" w:type="dxa"/>
                  <w:noWrap w:val="0"/>
                  <w:vAlign w:val="center"/>
                </w:tcPr>
                <w:p>
                  <w:pPr>
                    <w:jc w:val="center"/>
                    <w:rPr>
                      <w:szCs w:val="21"/>
                    </w:rPr>
                  </w:pPr>
                  <w:r>
                    <w:rPr>
                      <w:rFonts w:hint="eastAsia"/>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jc w:val="center"/>
                    <w:textAlignment w:val="center"/>
                    <w:rPr>
                      <w:szCs w:val="21"/>
                    </w:rPr>
                  </w:pPr>
                </w:p>
              </w:tc>
              <w:tc>
                <w:tcPr>
                  <w:tcW w:w="1339" w:type="dxa"/>
                  <w:vMerge w:val="continue"/>
                  <w:noWrap w:val="0"/>
                  <w:vAlign w:val="center"/>
                </w:tcPr>
                <w:p>
                  <w:pPr>
                    <w:jc w:val="center"/>
                    <w:textAlignment w:val="center"/>
                    <w:rPr>
                      <w:szCs w:val="21"/>
                    </w:rPr>
                  </w:pPr>
                </w:p>
              </w:tc>
              <w:tc>
                <w:tcPr>
                  <w:tcW w:w="2293" w:type="dxa"/>
                  <w:noWrap w:val="0"/>
                  <w:vAlign w:val="center"/>
                </w:tcPr>
                <w:p>
                  <w:pPr>
                    <w:widowControl/>
                    <w:jc w:val="center"/>
                    <w:textAlignment w:val="center"/>
                    <w:rPr>
                      <w:kern w:val="0"/>
                      <w:szCs w:val="21"/>
                      <w:lang w:bidi="ar"/>
                    </w:rPr>
                  </w:pPr>
                  <w:r>
                    <w:rPr>
                      <w:kern w:val="0"/>
                      <w:szCs w:val="21"/>
                      <w:lang w:bidi="ar"/>
                    </w:rPr>
                    <w:t>硝酸盐（以N</w:t>
                  </w:r>
                  <w:r>
                    <w:rPr>
                      <w:rStyle w:val="334"/>
                      <w:rFonts w:hint="default" w:ascii="Times New Roman" w:hAnsi="Times New Roman" w:cs="Times New Roman"/>
                      <w:color w:val="auto"/>
                      <w:sz w:val="21"/>
                      <w:szCs w:val="21"/>
                      <w:lang w:bidi="ar"/>
                    </w:rPr>
                    <w:t>计）</w:t>
                  </w:r>
                </w:p>
              </w:tc>
              <w:tc>
                <w:tcPr>
                  <w:tcW w:w="1336" w:type="dxa"/>
                  <w:noWrap w:val="0"/>
                  <w:vAlign w:val="center"/>
                </w:tcPr>
                <w:p>
                  <w:pPr>
                    <w:widowControl/>
                    <w:jc w:val="center"/>
                    <w:textAlignment w:val="center"/>
                    <w:rPr>
                      <w:szCs w:val="21"/>
                    </w:rPr>
                  </w:pPr>
                  <w:r>
                    <w:rPr>
                      <w:kern w:val="0"/>
                      <w:szCs w:val="21"/>
                      <w:lang w:bidi="ar"/>
                    </w:rPr>
                    <w:t>4.68</w:t>
                  </w:r>
                </w:p>
              </w:tc>
              <w:tc>
                <w:tcPr>
                  <w:tcW w:w="1229" w:type="dxa"/>
                  <w:noWrap w:val="0"/>
                  <w:vAlign w:val="center"/>
                </w:tcPr>
                <w:p>
                  <w:pPr>
                    <w:widowControl/>
                    <w:jc w:val="center"/>
                    <w:textAlignment w:val="center"/>
                    <w:rPr>
                      <w:kern w:val="0"/>
                      <w:szCs w:val="21"/>
                      <w:lang w:bidi="ar"/>
                    </w:rPr>
                  </w:pPr>
                  <w:r>
                    <w:rPr>
                      <w:rFonts w:hint="eastAsia"/>
                      <w:szCs w:val="21"/>
                    </w:rPr>
                    <w:t>20.0</w:t>
                  </w:r>
                </w:p>
              </w:tc>
              <w:tc>
                <w:tcPr>
                  <w:tcW w:w="1020" w:type="dxa"/>
                  <w:noWrap w:val="0"/>
                  <w:vAlign w:val="bottom"/>
                </w:tcPr>
                <w:p>
                  <w:pPr>
                    <w:jc w:val="center"/>
                    <w:rPr>
                      <w:szCs w:val="21"/>
                    </w:rPr>
                  </w:pPr>
                  <w:r>
                    <w:rPr>
                      <w:rFonts w:hint="eastAsia"/>
                      <w:szCs w:val="21"/>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jc w:val="center"/>
                    <w:textAlignment w:val="center"/>
                    <w:rPr>
                      <w:szCs w:val="21"/>
                    </w:rPr>
                  </w:pPr>
                </w:p>
              </w:tc>
              <w:tc>
                <w:tcPr>
                  <w:tcW w:w="1339" w:type="dxa"/>
                  <w:vMerge w:val="continue"/>
                  <w:noWrap w:val="0"/>
                  <w:vAlign w:val="center"/>
                </w:tcPr>
                <w:p>
                  <w:pPr>
                    <w:jc w:val="center"/>
                    <w:textAlignment w:val="center"/>
                    <w:rPr>
                      <w:szCs w:val="21"/>
                    </w:rPr>
                  </w:pPr>
                </w:p>
              </w:tc>
              <w:tc>
                <w:tcPr>
                  <w:tcW w:w="2293" w:type="dxa"/>
                  <w:noWrap w:val="0"/>
                  <w:vAlign w:val="center"/>
                </w:tcPr>
                <w:p>
                  <w:pPr>
                    <w:jc w:val="center"/>
                    <w:textAlignment w:val="center"/>
                    <w:rPr>
                      <w:szCs w:val="21"/>
                    </w:rPr>
                  </w:pPr>
                  <w:r>
                    <w:rPr>
                      <w:szCs w:val="21"/>
                    </w:rPr>
                    <w:t>硫酸盐</w:t>
                  </w:r>
                </w:p>
              </w:tc>
              <w:tc>
                <w:tcPr>
                  <w:tcW w:w="1336" w:type="dxa"/>
                  <w:noWrap w:val="0"/>
                  <w:vAlign w:val="center"/>
                </w:tcPr>
                <w:p>
                  <w:pPr>
                    <w:widowControl/>
                    <w:jc w:val="center"/>
                    <w:textAlignment w:val="center"/>
                    <w:rPr>
                      <w:szCs w:val="21"/>
                    </w:rPr>
                  </w:pPr>
                  <w:r>
                    <w:rPr>
                      <w:kern w:val="0"/>
                      <w:szCs w:val="21"/>
                      <w:lang w:bidi="ar"/>
                    </w:rPr>
                    <w:t>16.8</w:t>
                  </w:r>
                </w:p>
              </w:tc>
              <w:tc>
                <w:tcPr>
                  <w:tcW w:w="1229" w:type="dxa"/>
                  <w:noWrap w:val="0"/>
                  <w:vAlign w:val="center"/>
                </w:tcPr>
                <w:p>
                  <w:pPr>
                    <w:widowControl/>
                    <w:jc w:val="center"/>
                    <w:textAlignment w:val="center"/>
                    <w:rPr>
                      <w:kern w:val="0"/>
                      <w:szCs w:val="21"/>
                      <w:lang w:bidi="ar"/>
                    </w:rPr>
                  </w:pPr>
                  <w:r>
                    <w:rPr>
                      <w:rFonts w:hint="eastAsia"/>
                      <w:kern w:val="0"/>
                      <w:szCs w:val="21"/>
                      <w:lang w:bidi="ar"/>
                    </w:rPr>
                    <w:t>250</w:t>
                  </w:r>
                </w:p>
              </w:tc>
              <w:tc>
                <w:tcPr>
                  <w:tcW w:w="1020" w:type="dxa"/>
                  <w:noWrap w:val="0"/>
                  <w:vAlign w:val="bottom"/>
                </w:tcPr>
                <w:p>
                  <w:pPr>
                    <w:jc w:val="center"/>
                    <w:rPr>
                      <w:szCs w:val="21"/>
                    </w:rPr>
                  </w:pPr>
                  <w:r>
                    <w:rPr>
                      <w:rFonts w:hint="eastAsia"/>
                      <w:szCs w:val="21"/>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widowControl/>
                    <w:jc w:val="center"/>
                    <w:textAlignment w:val="center"/>
                    <w:rPr>
                      <w:kern w:val="0"/>
                      <w:szCs w:val="21"/>
                      <w:lang w:bidi="ar"/>
                    </w:rPr>
                  </w:pPr>
                  <w:r>
                    <w:rPr>
                      <w:kern w:val="0"/>
                      <w:szCs w:val="21"/>
                      <w:lang w:bidi="ar"/>
                    </w:rPr>
                    <w:t>亚硝酸盐（以N</w:t>
                  </w:r>
                  <w:r>
                    <w:rPr>
                      <w:rStyle w:val="334"/>
                      <w:rFonts w:hint="default" w:ascii="Times New Roman" w:hAnsi="Times New Roman" w:cs="Times New Roman"/>
                      <w:color w:val="auto"/>
                      <w:sz w:val="21"/>
                      <w:szCs w:val="21"/>
                      <w:lang w:bidi="ar"/>
                    </w:rPr>
                    <w:t>计）</w:t>
                  </w:r>
                </w:p>
              </w:tc>
              <w:tc>
                <w:tcPr>
                  <w:tcW w:w="1336" w:type="dxa"/>
                  <w:noWrap w:val="0"/>
                  <w:vAlign w:val="center"/>
                </w:tcPr>
                <w:p>
                  <w:pPr>
                    <w:widowControl/>
                    <w:jc w:val="center"/>
                    <w:textAlignment w:val="center"/>
                    <w:rPr>
                      <w:szCs w:val="21"/>
                    </w:rPr>
                  </w:pPr>
                  <w:r>
                    <w:rPr>
                      <w:kern w:val="0"/>
                      <w:szCs w:val="21"/>
                      <w:lang w:bidi="ar"/>
                    </w:rPr>
                    <w:t>0.016</w:t>
                  </w:r>
                </w:p>
              </w:tc>
              <w:tc>
                <w:tcPr>
                  <w:tcW w:w="1229" w:type="dxa"/>
                  <w:noWrap w:val="0"/>
                  <w:vAlign w:val="center"/>
                </w:tcPr>
                <w:p>
                  <w:pPr>
                    <w:widowControl/>
                    <w:jc w:val="center"/>
                    <w:textAlignment w:val="center"/>
                    <w:rPr>
                      <w:kern w:val="0"/>
                      <w:szCs w:val="21"/>
                      <w:lang w:bidi="ar"/>
                    </w:rPr>
                  </w:pPr>
                  <w:r>
                    <w:rPr>
                      <w:rFonts w:hint="eastAsia"/>
                      <w:kern w:val="0"/>
                      <w:szCs w:val="21"/>
                      <w:lang w:bidi="ar"/>
                    </w:rPr>
                    <w:t>1.00</w:t>
                  </w:r>
                </w:p>
              </w:tc>
              <w:tc>
                <w:tcPr>
                  <w:tcW w:w="1020" w:type="dxa"/>
                  <w:noWrap w:val="0"/>
                  <w:vAlign w:val="bottom"/>
                </w:tcPr>
                <w:p>
                  <w:pPr>
                    <w:jc w:val="center"/>
                    <w:rPr>
                      <w:szCs w:val="21"/>
                    </w:rPr>
                  </w:pPr>
                  <w:r>
                    <w:rPr>
                      <w:rFonts w:hint="eastAsia"/>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镍</w:t>
                  </w:r>
                </w:p>
              </w:tc>
              <w:tc>
                <w:tcPr>
                  <w:tcW w:w="1336" w:type="dxa"/>
                  <w:noWrap w:val="0"/>
                  <w:vAlign w:val="center"/>
                </w:tcPr>
                <w:p>
                  <w:pPr>
                    <w:widowControl/>
                    <w:jc w:val="center"/>
                    <w:textAlignment w:val="center"/>
                    <w:rPr>
                      <w:szCs w:val="21"/>
                    </w:rPr>
                  </w:pPr>
                  <w:r>
                    <w:rPr>
                      <w:kern w:val="0"/>
                      <w:szCs w:val="21"/>
                      <w:lang w:bidi="ar"/>
                    </w:rPr>
                    <w:t>0.02</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kern w:val="0"/>
                      <w:szCs w:val="21"/>
                      <w:lang w:bidi="ar"/>
                    </w:rPr>
                  </w:pPr>
                </w:p>
              </w:tc>
              <w:tc>
                <w:tcPr>
                  <w:tcW w:w="1339" w:type="dxa"/>
                  <w:vMerge w:val="continue"/>
                  <w:noWrap w:val="0"/>
                  <w:vAlign w:val="center"/>
                </w:tcPr>
                <w:p>
                  <w:pPr>
                    <w:widowControl/>
                    <w:jc w:val="center"/>
                    <w:textAlignment w:val="center"/>
                    <w:rPr>
                      <w:kern w:val="0"/>
                      <w:szCs w:val="21"/>
                      <w:lang w:bidi="ar"/>
                    </w:rPr>
                  </w:pPr>
                </w:p>
              </w:tc>
              <w:tc>
                <w:tcPr>
                  <w:tcW w:w="2293" w:type="dxa"/>
                  <w:noWrap w:val="0"/>
                  <w:vAlign w:val="center"/>
                </w:tcPr>
                <w:p>
                  <w:pPr>
                    <w:jc w:val="center"/>
                    <w:textAlignment w:val="center"/>
                    <w:rPr>
                      <w:kern w:val="0"/>
                      <w:szCs w:val="21"/>
                      <w:lang w:bidi="ar"/>
                    </w:rPr>
                  </w:pPr>
                  <w:r>
                    <w:rPr>
                      <w:kern w:val="0"/>
                      <w:szCs w:val="21"/>
                      <w:lang w:bidi="ar"/>
                    </w:rPr>
                    <w:t>铅</w:t>
                  </w:r>
                </w:p>
              </w:tc>
              <w:tc>
                <w:tcPr>
                  <w:tcW w:w="1336" w:type="dxa"/>
                  <w:noWrap w:val="0"/>
                  <w:vAlign w:val="center"/>
                </w:tcPr>
                <w:p>
                  <w:pPr>
                    <w:widowControl/>
                    <w:jc w:val="center"/>
                    <w:textAlignment w:val="center"/>
                    <w:rPr>
                      <w:szCs w:val="21"/>
                    </w:rPr>
                  </w:pPr>
                  <w:r>
                    <w:rPr>
                      <w:kern w:val="0"/>
                      <w:szCs w:val="21"/>
                      <w:lang w:bidi="ar"/>
                    </w:rPr>
                    <w:t>0.001</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0.01</w:t>
                  </w:r>
                </w:p>
              </w:tc>
              <w:tc>
                <w:tcPr>
                  <w:tcW w:w="1020" w:type="dxa"/>
                  <w:noWrap w:val="0"/>
                  <w:vAlign w:val="bottom"/>
                </w:tcPr>
                <w:p>
                  <w:pPr>
                    <w:jc w:val="center"/>
                    <w:rPr>
                      <w:szCs w:val="21"/>
                    </w:rPr>
                  </w:pPr>
                  <w:r>
                    <w:rPr>
                      <w:rFonts w:hint="eastAsia"/>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挥发性酚类</w:t>
                  </w:r>
                </w:p>
              </w:tc>
              <w:tc>
                <w:tcPr>
                  <w:tcW w:w="1336" w:type="dxa"/>
                  <w:noWrap w:val="0"/>
                  <w:vAlign w:val="center"/>
                </w:tcPr>
                <w:p>
                  <w:pPr>
                    <w:widowControl/>
                    <w:jc w:val="center"/>
                    <w:textAlignment w:val="center"/>
                    <w:rPr>
                      <w:szCs w:val="21"/>
                    </w:rPr>
                  </w:pPr>
                  <w:r>
                    <w:rPr>
                      <w:kern w:val="0"/>
                      <w:szCs w:val="21"/>
                      <w:lang w:bidi="ar"/>
                    </w:rPr>
                    <w:t>0.0003</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0.002</w:t>
                  </w:r>
                </w:p>
              </w:tc>
              <w:tc>
                <w:tcPr>
                  <w:tcW w:w="1020" w:type="dxa"/>
                  <w:noWrap w:val="0"/>
                  <w:vAlign w:val="bottom"/>
                </w:tcPr>
                <w:p>
                  <w:pPr>
                    <w:jc w:val="center"/>
                    <w:rPr>
                      <w:szCs w:val="21"/>
                    </w:rPr>
                  </w:pPr>
                  <w:r>
                    <w:rPr>
                      <w:rFonts w:hint="eastAsia"/>
                      <w:szCs w:val="21"/>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kern w:val="0"/>
                      <w:szCs w:val="21"/>
                      <w:lang w:bidi="ar"/>
                    </w:rPr>
                  </w:pPr>
                </w:p>
              </w:tc>
              <w:tc>
                <w:tcPr>
                  <w:tcW w:w="1339" w:type="dxa"/>
                  <w:vMerge w:val="continue"/>
                  <w:noWrap w:val="0"/>
                  <w:vAlign w:val="center"/>
                </w:tcPr>
                <w:p>
                  <w:pPr>
                    <w:widowControl/>
                    <w:jc w:val="center"/>
                    <w:textAlignment w:val="center"/>
                    <w:rPr>
                      <w:kern w:val="0"/>
                      <w:szCs w:val="21"/>
                      <w:lang w:bidi="ar"/>
                    </w:rPr>
                  </w:pPr>
                </w:p>
              </w:tc>
              <w:tc>
                <w:tcPr>
                  <w:tcW w:w="2293" w:type="dxa"/>
                  <w:noWrap w:val="0"/>
                  <w:vAlign w:val="center"/>
                </w:tcPr>
                <w:p>
                  <w:pPr>
                    <w:widowControl/>
                    <w:jc w:val="center"/>
                    <w:textAlignment w:val="center"/>
                    <w:rPr>
                      <w:kern w:val="0"/>
                      <w:szCs w:val="21"/>
                      <w:lang w:bidi="ar"/>
                    </w:rPr>
                  </w:pPr>
                  <w:r>
                    <w:rPr>
                      <w:kern w:val="0"/>
                      <w:szCs w:val="21"/>
                      <w:lang w:bidi="ar"/>
                    </w:rPr>
                    <w:t>耗氧量</w:t>
                  </w:r>
                </w:p>
              </w:tc>
              <w:tc>
                <w:tcPr>
                  <w:tcW w:w="1336" w:type="dxa"/>
                  <w:noWrap w:val="0"/>
                  <w:vAlign w:val="center"/>
                </w:tcPr>
                <w:p>
                  <w:pPr>
                    <w:widowControl/>
                    <w:jc w:val="center"/>
                    <w:textAlignment w:val="center"/>
                    <w:rPr>
                      <w:szCs w:val="21"/>
                    </w:rPr>
                  </w:pPr>
                  <w:r>
                    <w:rPr>
                      <w:kern w:val="0"/>
                      <w:szCs w:val="21"/>
                      <w:lang w:bidi="ar"/>
                    </w:rPr>
                    <w:t>1.48</w:t>
                  </w:r>
                </w:p>
              </w:tc>
              <w:tc>
                <w:tcPr>
                  <w:tcW w:w="1229" w:type="dxa"/>
                  <w:noWrap w:val="0"/>
                  <w:vAlign w:val="center"/>
                </w:tcPr>
                <w:p>
                  <w:pPr>
                    <w:widowControl/>
                    <w:jc w:val="center"/>
                    <w:textAlignment w:val="center"/>
                    <w:rPr>
                      <w:kern w:val="0"/>
                      <w:szCs w:val="21"/>
                      <w:lang w:bidi="ar"/>
                    </w:rPr>
                  </w:pPr>
                  <w:r>
                    <w:rPr>
                      <w:rFonts w:hint="eastAsia"/>
                      <w:kern w:val="0"/>
                      <w:szCs w:val="21"/>
                      <w:lang w:bidi="ar"/>
                    </w:rPr>
                    <w:t>3.0</w:t>
                  </w:r>
                </w:p>
              </w:tc>
              <w:tc>
                <w:tcPr>
                  <w:tcW w:w="1020" w:type="dxa"/>
                  <w:noWrap w:val="0"/>
                  <w:vAlign w:val="bottom"/>
                </w:tcPr>
                <w:p>
                  <w:pPr>
                    <w:jc w:val="center"/>
                    <w:rPr>
                      <w:szCs w:val="21"/>
                    </w:rPr>
                  </w:pPr>
                  <w:r>
                    <w:rPr>
                      <w:rFonts w:hint="eastAsia"/>
                      <w:szCs w:val="21"/>
                    </w:rPr>
                    <w:t>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氨氮</w:t>
                  </w:r>
                </w:p>
              </w:tc>
              <w:tc>
                <w:tcPr>
                  <w:tcW w:w="1336" w:type="dxa"/>
                  <w:noWrap w:val="0"/>
                  <w:vAlign w:val="center"/>
                </w:tcPr>
                <w:p>
                  <w:pPr>
                    <w:widowControl/>
                    <w:jc w:val="center"/>
                    <w:textAlignment w:val="center"/>
                    <w:rPr>
                      <w:szCs w:val="21"/>
                    </w:rPr>
                  </w:pPr>
                  <w:r>
                    <w:rPr>
                      <w:kern w:val="0"/>
                      <w:szCs w:val="21"/>
                      <w:lang w:bidi="ar"/>
                    </w:rPr>
                    <w:t>0.028</w:t>
                  </w:r>
                </w:p>
              </w:tc>
              <w:tc>
                <w:tcPr>
                  <w:tcW w:w="1229" w:type="dxa"/>
                  <w:noWrap w:val="0"/>
                  <w:vAlign w:val="center"/>
                </w:tcPr>
                <w:p>
                  <w:pPr>
                    <w:widowControl/>
                    <w:jc w:val="center"/>
                    <w:textAlignment w:val="center"/>
                    <w:rPr>
                      <w:kern w:val="0"/>
                      <w:szCs w:val="21"/>
                      <w:lang w:bidi="ar"/>
                    </w:rPr>
                  </w:pPr>
                  <w:r>
                    <w:rPr>
                      <w:rFonts w:hint="eastAsia"/>
                      <w:kern w:val="0"/>
                      <w:szCs w:val="21"/>
                      <w:lang w:bidi="ar"/>
                    </w:rPr>
                    <w:t>0.50</w:t>
                  </w:r>
                </w:p>
              </w:tc>
              <w:tc>
                <w:tcPr>
                  <w:tcW w:w="1020" w:type="dxa"/>
                  <w:noWrap w:val="0"/>
                  <w:vAlign w:val="bottom"/>
                </w:tcPr>
                <w:p>
                  <w:pPr>
                    <w:jc w:val="center"/>
                    <w:rPr>
                      <w:szCs w:val="21"/>
                    </w:rPr>
                  </w:pPr>
                  <w:r>
                    <w:rPr>
                      <w:rFonts w:hint="eastAsia"/>
                      <w:szCs w:val="21"/>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硫化物</w:t>
                  </w:r>
                </w:p>
              </w:tc>
              <w:tc>
                <w:tcPr>
                  <w:tcW w:w="1336" w:type="dxa"/>
                  <w:noWrap w:val="0"/>
                  <w:vAlign w:val="center"/>
                </w:tcPr>
                <w:p>
                  <w:pPr>
                    <w:widowControl/>
                    <w:jc w:val="center"/>
                    <w:textAlignment w:val="center"/>
                    <w:rPr>
                      <w:szCs w:val="21"/>
                    </w:rPr>
                  </w:pPr>
                  <w:r>
                    <w:rPr>
                      <w:kern w:val="0"/>
                      <w:szCs w:val="21"/>
                      <w:lang w:bidi="ar"/>
                    </w:rPr>
                    <w:t>0.003</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0.02</w:t>
                  </w:r>
                </w:p>
              </w:tc>
              <w:tc>
                <w:tcPr>
                  <w:tcW w:w="1020" w:type="dxa"/>
                  <w:noWrap w:val="0"/>
                  <w:vAlign w:val="bottom"/>
                </w:tcPr>
                <w:p>
                  <w:pPr>
                    <w:jc w:val="center"/>
                    <w:rPr>
                      <w:szCs w:val="21"/>
                    </w:rPr>
                  </w:pPr>
                  <w:r>
                    <w:rPr>
                      <w:rFonts w:hint="eastAsia"/>
                      <w:szCs w:val="21"/>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总氰化物</w:t>
                  </w:r>
                </w:p>
              </w:tc>
              <w:tc>
                <w:tcPr>
                  <w:tcW w:w="1336" w:type="dxa"/>
                  <w:noWrap w:val="0"/>
                  <w:vAlign w:val="center"/>
                </w:tcPr>
                <w:p>
                  <w:pPr>
                    <w:widowControl/>
                    <w:jc w:val="center"/>
                    <w:textAlignment w:val="center"/>
                    <w:rPr>
                      <w:szCs w:val="21"/>
                    </w:rPr>
                  </w:pPr>
                  <w:r>
                    <w:rPr>
                      <w:kern w:val="0"/>
                      <w:szCs w:val="21"/>
                      <w:lang w:bidi="ar"/>
                    </w:rPr>
                    <w:t>0.001</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0.05</w:t>
                  </w:r>
                </w:p>
              </w:tc>
              <w:tc>
                <w:tcPr>
                  <w:tcW w:w="1020" w:type="dxa"/>
                  <w:noWrap w:val="0"/>
                  <w:vAlign w:val="bottom"/>
                </w:tcPr>
                <w:p>
                  <w:pPr>
                    <w:jc w:val="center"/>
                    <w:rPr>
                      <w:szCs w:val="21"/>
                    </w:rPr>
                  </w:pPr>
                  <w:r>
                    <w:rPr>
                      <w:rFonts w:hint="eastAsia"/>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汞（</w:t>
                  </w:r>
                  <w:r>
                    <w:rPr>
                      <w:kern w:val="0"/>
                      <w:szCs w:val="21"/>
                    </w:rPr>
                    <w:t>μg/L</w:t>
                  </w:r>
                  <w:r>
                    <w:rPr>
                      <w:kern w:val="0"/>
                      <w:szCs w:val="21"/>
                      <w:lang w:bidi="ar"/>
                    </w:rPr>
                    <w:t>）</w:t>
                  </w:r>
                </w:p>
              </w:tc>
              <w:tc>
                <w:tcPr>
                  <w:tcW w:w="1336" w:type="dxa"/>
                  <w:noWrap w:val="0"/>
                  <w:vAlign w:val="center"/>
                </w:tcPr>
                <w:p>
                  <w:pPr>
                    <w:widowControl/>
                    <w:jc w:val="center"/>
                    <w:textAlignment w:val="center"/>
                    <w:rPr>
                      <w:szCs w:val="21"/>
                    </w:rPr>
                  </w:pPr>
                  <w:r>
                    <w:rPr>
                      <w:kern w:val="0"/>
                      <w:szCs w:val="21"/>
                      <w:lang w:bidi="ar"/>
                    </w:rPr>
                    <w:t>0.0015</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0.001</w:t>
                  </w:r>
                </w:p>
              </w:tc>
              <w:tc>
                <w:tcPr>
                  <w:tcW w:w="1020" w:type="dxa"/>
                  <w:noWrap w:val="0"/>
                  <w:vAlign w:val="bottom"/>
                </w:tcPr>
                <w:p>
                  <w:pPr>
                    <w:jc w:val="center"/>
                    <w:rPr>
                      <w:szCs w:val="21"/>
                    </w:rPr>
                  </w:pPr>
                  <w:r>
                    <w:rPr>
                      <w:rFonts w:hint="eastAsia"/>
                      <w:szCs w:val="21"/>
                    </w:rPr>
                    <w:t>0.00075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砷（</w:t>
                  </w:r>
                  <w:r>
                    <w:rPr>
                      <w:kern w:val="0"/>
                      <w:szCs w:val="21"/>
                    </w:rPr>
                    <w:t>μg/L</w:t>
                  </w:r>
                  <w:r>
                    <w:rPr>
                      <w:kern w:val="0"/>
                      <w:szCs w:val="21"/>
                      <w:lang w:bidi="ar"/>
                    </w:rPr>
                    <w:t>）</w:t>
                  </w:r>
                </w:p>
              </w:tc>
              <w:tc>
                <w:tcPr>
                  <w:tcW w:w="1336" w:type="dxa"/>
                  <w:noWrap w:val="0"/>
                  <w:vAlign w:val="center"/>
                </w:tcPr>
                <w:p>
                  <w:pPr>
                    <w:widowControl/>
                    <w:jc w:val="center"/>
                    <w:textAlignment w:val="center"/>
                    <w:rPr>
                      <w:szCs w:val="21"/>
                    </w:rPr>
                  </w:pPr>
                  <w:r>
                    <w:rPr>
                      <w:kern w:val="0"/>
                      <w:szCs w:val="21"/>
                      <w:lang w:bidi="ar"/>
                    </w:rPr>
                    <w:t>0.3</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0.01</w:t>
                  </w:r>
                </w:p>
              </w:tc>
              <w:tc>
                <w:tcPr>
                  <w:tcW w:w="1020" w:type="dxa"/>
                  <w:noWrap w:val="0"/>
                  <w:vAlign w:val="bottom"/>
                </w:tcPr>
                <w:p>
                  <w:pPr>
                    <w:jc w:val="center"/>
                    <w:rPr>
                      <w:szCs w:val="21"/>
                    </w:rPr>
                  </w:pPr>
                  <w:r>
                    <w:rPr>
                      <w:rFonts w:hint="eastAsia"/>
                      <w:szCs w:val="21"/>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jc w:val="center"/>
                    <w:textAlignment w:val="center"/>
                    <w:rPr>
                      <w:szCs w:val="21"/>
                    </w:rPr>
                  </w:pPr>
                  <w:r>
                    <w:rPr>
                      <w:kern w:val="0"/>
                      <w:szCs w:val="21"/>
                      <w:lang w:bidi="ar"/>
                    </w:rPr>
                    <w:t>石油类</w:t>
                  </w:r>
                </w:p>
              </w:tc>
              <w:tc>
                <w:tcPr>
                  <w:tcW w:w="1336" w:type="dxa"/>
                  <w:noWrap w:val="0"/>
                  <w:vAlign w:val="center"/>
                </w:tcPr>
                <w:p>
                  <w:pPr>
                    <w:widowControl/>
                    <w:jc w:val="center"/>
                    <w:textAlignment w:val="center"/>
                    <w:rPr>
                      <w:szCs w:val="21"/>
                    </w:rPr>
                  </w:pPr>
                  <w:r>
                    <w:rPr>
                      <w:kern w:val="0"/>
                      <w:szCs w:val="21"/>
                      <w:lang w:bidi="ar"/>
                    </w:rPr>
                    <w:t>0.01</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bottom"/>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苯</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0.8</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10.0</w:t>
                  </w:r>
                </w:p>
              </w:tc>
              <w:tc>
                <w:tcPr>
                  <w:tcW w:w="1020" w:type="dxa"/>
                  <w:noWrap w:val="0"/>
                  <w:vAlign w:val="bottom"/>
                </w:tcPr>
                <w:p>
                  <w:pPr>
                    <w:jc w:val="center"/>
                    <w:rPr>
                      <w:szCs w:val="21"/>
                    </w:rPr>
                  </w:pPr>
                  <w:r>
                    <w:rPr>
                      <w:rFonts w:hint="eastAsia"/>
                      <w:szCs w:val="21"/>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甲苯</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1.0</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700</w:t>
                  </w:r>
                </w:p>
              </w:tc>
              <w:tc>
                <w:tcPr>
                  <w:tcW w:w="1020" w:type="dxa"/>
                  <w:noWrap w:val="0"/>
                  <w:vAlign w:val="bottom"/>
                </w:tcPr>
                <w:p>
                  <w:pPr>
                    <w:jc w:val="center"/>
                    <w:rPr>
                      <w:szCs w:val="21"/>
                    </w:rPr>
                  </w:pPr>
                  <w:r>
                    <w:rPr>
                      <w:rFonts w:hint="eastAsia"/>
                      <w:szCs w:val="21"/>
                    </w:rPr>
                    <w:t>0.0000007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乙苯</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1.0</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300</w:t>
                  </w:r>
                </w:p>
              </w:tc>
              <w:tc>
                <w:tcPr>
                  <w:tcW w:w="1020" w:type="dxa"/>
                  <w:noWrap w:val="0"/>
                  <w:vAlign w:val="bottom"/>
                </w:tcPr>
                <w:p>
                  <w:pPr>
                    <w:jc w:val="center"/>
                    <w:rPr>
                      <w:szCs w:val="21"/>
                    </w:rPr>
                  </w:pPr>
                  <w:r>
                    <w:rPr>
                      <w:rFonts w:hint="eastAsia"/>
                      <w:szCs w:val="21"/>
                    </w:rPr>
                    <w:t>0.0000017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widowControl/>
                    <w:jc w:val="center"/>
                    <w:textAlignment w:val="center"/>
                    <w:rPr>
                      <w:szCs w:val="21"/>
                    </w:rPr>
                  </w:pPr>
                </w:p>
              </w:tc>
              <w:tc>
                <w:tcPr>
                  <w:tcW w:w="1339" w:type="dxa"/>
                  <w:vMerge w:val="continue"/>
                  <w:noWrap w:val="0"/>
                  <w:vAlign w:val="center"/>
                </w:tcPr>
                <w:p>
                  <w:pPr>
                    <w:widowControl/>
                    <w:jc w:val="center"/>
                    <w:textAlignment w:val="center"/>
                    <w:rPr>
                      <w:szCs w:val="21"/>
                    </w:rPr>
                  </w:pPr>
                </w:p>
              </w:tc>
              <w:tc>
                <w:tcPr>
                  <w:tcW w:w="2293" w:type="dxa"/>
                  <w:noWrap w:val="0"/>
                  <w:vAlign w:val="center"/>
                </w:tcPr>
                <w:p>
                  <w:pPr>
                    <w:pStyle w:val="897"/>
                    <w:spacing w:before="0" w:after="0"/>
                    <w:rPr>
                      <w:rFonts w:cs="Times New Roman"/>
                      <w:sz w:val="21"/>
                      <w:szCs w:val="21"/>
                    </w:rPr>
                  </w:pPr>
                  <w:r>
                    <w:rPr>
                      <w:rFonts w:cs="Times New Roman"/>
                      <w:kern w:val="0"/>
                      <w:sz w:val="21"/>
                      <w:szCs w:val="21"/>
                    </w:rPr>
                    <w:t>间,对二甲苯</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top"/>
                    <w:rPr>
                      <w:szCs w:val="21"/>
                    </w:rPr>
                  </w:pPr>
                  <w:r>
                    <w:rPr>
                      <w:kern w:val="0"/>
                      <w:szCs w:val="21"/>
                      <w:lang w:bidi="ar"/>
                    </w:rPr>
                    <w:t>0.7</w:t>
                  </w:r>
                  <w:r>
                    <w:rPr>
                      <w:kern w:val="0"/>
                      <w:szCs w:val="21"/>
                      <w:vertAlign w:val="superscript"/>
                      <w:lang w:bidi="ar"/>
                    </w:rPr>
                    <w:t>L</w:t>
                  </w:r>
                </w:p>
              </w:tc>
              <w:tc>
                <w:tcPr>
                  <w:tcW w:w="1229" w:type="dxa"/>
                  <w:noWrap w:val="0"/>
                  <w:vAlign w:val="center"/>
                </w:tcPr>
                <w:p>
                  <w:pPr>
                    <w:widowControl/>
                    <w:jc w:val="center"/>
                    <w:textAlignment w:val="top"/>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pStyle w:val="897"/>
                    <w:snapToGrid w:val="0"/>
                    <w:spacing w:before="0" w:after="0"/>
                    <w:rPr>
                      <w:rFonts w:cs="Times New Roman"/>
                      <w:sz w:val="21"/>
                      <w:szCs w:val="21"/>
                    </w:rPr>
                  </w:pPr>
                </w:p>
              </w:tc>
              <w:tc>
                <w:tcPr>
                  <w:tcW w:w="1339" w:type="dxa"/>
                  <w:vMerge w:val="continue"/>
                  <w:noWrap w:val="0"/>
                  <w:vAlign w:val="center"/>
                </w:tcPr>
                <w:p>
                  <w:pPr>
                    <w:pStyle w:val="897"/>
                    <w:snapToGrid w:val="0"/>
                    <w:spacing w:before="0" w:after="0"/>
                    <w:rPr>
                      <w:rFonts w:cs="Times New Roman"/>
                      <w:sz w:val="21"/>
                      <w:szCs w:val="21"/>
                    </w:rPr>
                  </w:pPr>
                </w:p>
              </w:tc>
              <w:tc>
                <w:tcPr>
                  <w:tcW w:w="2293" w:type="dxa"/>
                  <w:noWrap w:val="0"/>
                  <w:vAlign w:val="center"/>
                </w:tcPr>
                <w:p>
                  <w:pPr>
                    <w:pStyle w:val="897"/>
                    <w:spacing w:before="0" w:after="0"/>
                    <w:rPr>
                      <w:rFonts w:cs="Times New Roman"/>
                      <w:sz w:val="21"/>
                      <w:szCs w:val="21"/>
                    </w:rPr>
                  </w:pPr>
                  <w:r>
                    <w:rPr>
                      <w:rFonts w:cs="Times New Roman"/>
                      <w:kern w:val="0"/>
                      <w:sz w:val="21"/>
                      <w:szCs w:val="21"/>
                    </w:rPr>
                    <w:t>邻二甲苯</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0.8</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pStyle w:val="897"/>
                    <w:snapToGrid w:val="0"/>
                    <w:spacing w:before="0" w:after="0"/>
                    <w:rPr>
                      <w:rFonts w:cs="Times New Roman"/>
                      <w:sz w:val="21"/>
                      <w:szCs w:val="21"/>
                    </w:rPr>
                  </w:pPr>
                </w:p>
              </w:tc>
              <w:tc>
                <w:tcPr>
                  <w:tcW w:w="1339" w:type="dxa"/>
                  <w:vMerge w:val="continue"/>
                  <w:noWrap w:val="0"/>
                  <w:vAlign w:val="center"/>
                </w:tcPr>
                <w:p>
                  <w:pPr>
                    <w:pStyle w:val="897"/>
                    <w:snapToGrid w:val="0"/>
                    <w:spacing w:before="0" w:after="0"/>
                    <w:rPr>
                      <w:rFonts w:cs="Times New Roman"/>
                      <w:sz w:val="21"/>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苯并[a]芘</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0.0004</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0.01</w:t>
                  </w:r>
                </w:p>
              </w:tc>
              <w:tc>
                <w:tcPr>
                  <w:tcW w:w="1020" w:type="dxa"/>
                  <w:noWrap w:val="0"/>
                  <w:vAlign w:val="center"/>
                </w:tcPr>
                <w:p>
                  <w:pPr>
                    <w:jc w:val="center"/>
                    <w:rPr>
                      <w:szCs w:val="21"/>
                    </w:rPr>
                  </w:pPr>
                  <w:r>
                    <w:rPr>
                      <w:rFonts w:hint="eastAsia"/>
                      <w:szCs w:val="21"/>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pStyle w:val="897"/>
                    <w:snapToGrid w:val="0"/>
                    <w:spacing w:before="0" w:after="0"/>
                    <w:rPr>
                      <w:rFonts w:cs="Times New Roman"/>
                      <w:sz w:val="21"/>
                      <w:szCs w:val="21"/>
                    </w:rPr>
                  </w:pPr>
                </w:p>
              </w:tc>
              <w:tc>
                <w:tcPr>
                  <w:tcW w:w="1339" w:type="dxa"/>
                  <w:vMerge w:val="continue"/>
                  <w:noWrap w:val="0"/>
                  <w:vAlign w:val="center"/>
                </w:tcPr>
                <w:p>
                  <w:pPr>
                    <w:pStyle w:val="897"/>
                    <w:snapToGrid w:val="0"/>
                    <w:spacing w:before="0" w:after="0"/>
                    <w:rPr>
                      <w:rFonts w:cs="Times New Roman"/>
                      <w:sz w:val="21"/>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石油烃（C</w:t>
                  </w:r>
                  <w:r>
                    <w:rPr>
                      <w:rFonts w:cs="Times New Roman"/>
                      <w:sz w:val="21"/>
                      <w:szCs w:val="21"/>
                      <w:vertAlign w:val="subscript"/>
                    </w:rPr>
                    <w:t>6</w:t>
                  </w:r>
                  <w:r>
                    <w:rPr>
                      <w:rFonts w:cs="Times New Roman"/>
                      <w:sz w:val="21"/>
                      <w:szCs w:val="21"/>
                    </w:rPr>
                    <w:t>-C</w:t>
                  </w:r>
                  <w:r>
                    <w:rPr>
                      <w:rFonts w:cs="Times New Roman"/>
                      <w:sz w:val="21"/>
                      <w:szCs w:val="21"/>
                      <w:vertAlign w:val="subscript"/>
                    </w:rPr>
                    <w:t>9</w:t>
                  </w:r>
                  <w:r>
                    <w:rPr>
                      <w:rFonts w:cs="Times New Roman"/>
                      <w:sz w:val="21"/>
                      <w:szCs w:val="21"/>
                    </w:rPr>
                    <w:t>）*</w:t>
                  </w:r>
                </w:p>
              </w:tc>
              <w:tc>
                <w:tcPr>
                  <w:tcW w:w="1336" w:type="dxa"/>
                  <w:noWrap w:val="0"/>
                  <w:vAlign w:val="center"/>
                </w:tcPr>
                <w:p>
                  <w:pPr>
                    <w:widowControl/>
                    <w:jc w:val="center"/>
                    <w:textAlignment w:val="center"/>
                    <w:rPr>
                      <w:kern w:val="0"/>
                      <w:szCs w:val="21"/>
                      <w:lang w:bidi="ar"/>
                    </w:rPr>
                  </w:pPr>
                  <w:r>
                    <w:rPr>
                      <w:kern w:val="0"/>
                      <w:szCs w:val="21"/>
                      <w:lang w:bidi="ar"/>
                    </w:rPr>
                    <w:t>0.02</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pStyle w:val="897"/>
                    <w:snapToGrid w:val="0"/>
                    <w:spacing w:before="0" w:after="0"/>
                    <w:rPr>
                      <w:rFonts w:cs="Times New Roman"/>
                      <w:sz w:val="21"/>
                      <w:szCs w:val="21"/>
                    </w:rPr>
                  </w:pPr>
                </w:p>
              </w:tc>
              <w:tc>
                <w:tcPr>
                  <w:tcW w:w="1339" w:type="dxa"/>
                  <w:vMerge w:val="continue"/>
                  <w:noWrap w:val="0"/>
                  <w:vAlign w:val="center"/>
                </w:tcPr>
                <w:p>
                  <w:pPr>
                    <w:pStyle w:val="897"/>
                    <w:snapToGrid w:val="0"/>
                    <w:spacing w:before="0" w:after="0"/>
                    <w:rPr>
                      <w:rFonts w:cs="Times New Roman"/>
                      <w:sz w:val="21"/>
                      <w:szCs w:val="21"/>
                    </w:rPr>
                  </w:pPr>
                </w:p>
              </w:tc>
              <w:tc>
                <w:tcPr>
                  <w:tcW w:w="2293" w:type="dxa"/>
                  <w:noWrap w:val="0"/>
                  <w:vAlign w:val="center"/>
                </w:tcPr>
                <w:p>
                  <w:pPr>
                    <w:pStyle w:val="897"/>
                    <w:spacing w:before="0" w:after="0"/>
                    <w:rPr>
                      <w:rFonts w:cs="Times New Roman"/>
                      <w:sz w:val="21"/>
                      <w:szCs w:val="21"/>
                    </w:rPr>
                  </w:pPr>
                  <w:r>
                    <w:rPr>
                      <w:rFonts w:cs="Times New Roman"/>
                      <w:kern w:val="0"/>
                      <w:sz w:val="21"/>
                      <w:szCs w:val="21"/>
                    </w:rPr>
                    <w:t>石油烃（C</w:t>
                  </w:r>
                  <w:r>
                    <w:rPr>
                      <w:rFonts w:cs="Times New Roman"/>
                      <w:kern w:val="0"/>
                      <w:sz w:val="21"/>
                      <w:szCs w:val="21"/>
                      <w:vertAlign w:val="subscript"/>
                    </w:rPr>
                    <w:t>10</w:t>
                  </w:r>
                  <w:r>
                    <w:rPr>
                      <w:rFonts w:cs="Times New Roman"/>
                      <w:kern w:val="0"/>
                      <w:sz w:val="21"/>
                      <w:szCs w:val="21"/>
                    </w:rPr>
                    <w:t>-C</w:t>
                  </w:r>
                  <w:r>
                    <w:rPr>
                      <w:rFonts w:cs="Times New Roman"/>
                      <w:kern w:val="0"/>
                      <w:sz w:val="21"/>
                      <w:szCs w:val="21"/>
                      <w:vertAlign w:val="subscript"/>
                    </w:rPr>
                    <w:t>40</w:t>
                  </w:r>
                  <w:r>
                    <w:rPr>
                      <w:rFonts w:cs="Times New Roman"/>
                      <w:kern w:val="0"/>
                      <w:sz w:val="21"/>
                      <w:szCs w:val="21"/>
                    </w:rPr>
                    <w:t>）*</w:t>
                  </w:r>
                </w:p>
              </w:tc>
              <w:tc>
                <w:tcPr>
                  <w:tcW w:w="1336" w:type="dxa"/>
                  <w:noWrap w:val="0"/>
                  <w:vAlign w:val="center"/>
                </w:tcPr>
                <w:p>
                  <w:pPr>
                    <w:widowControl/>
                    <w:jc w:val="center"/>
                    <w:textAlignment w:val="center"/>
                    <w:rPr>
                      <w:kern w:val="0"/>
                      <w:szCs w:val="21"/>
                      <w:lang w:bidi="ar"/>
                    </w:rPr>
                  </w:pPr>
                  <w:r>
                    <w:rPr>
                      <w:kern w:val="0"/>
                      <w:szCs w:val="21"/>
                      <w:lang w:bidi="ar"/>
                    </w:rPr>
                    <w:t>0.01</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noWrap w:val="0"/>
                  <w:vAlign w:val="center"/>
                </w:tcPr>
                <w:p>
                  <w:pPr>
                    <w:pStyle w:val="897"/>
                    <w:snapToGrid w:val="0"/>
                    <w:spacing w:before="0" w:after="0"/>
                    <w:rPr>
                      <w:rFonts w:cs="Times New Roman"/>
                      <w:sz w:val="21"/>
                      <w:szCs w:val="21"/>
                    </w:rPr>
                  </w:pPr>
                </w:p>
              </w:tc>
              <w:tc>
                <w:tcPr>
                  <w:tcW w:w="1339" w:type="dxa"/>
                  <w:vMerge w:val="continue"/>
                  <w:noWrap w:val="0"/>
                  <w:vAlign w:val="center"/>
                </w:tcPr>
                <w:p>
                  <w:pPr>
                    <w:pStyle w:val="897"/>
                    <w:snapToGrid w:val="0"/>
                    <w:spacing w:before="0" w:after="0"/>
                    <w:rPr>
                      <w:rFonts w:cs="Times New Roman"/>
                      <w:sz w:val="21"/>
                      <w:szCs w:val="21"/>
                    </w:rPr>
                  </w:pPr>
                </w:p>
              </w:tc>
              <w:tc>
                <w:tcPr>
                  <w:tcW w:w="2293" w:type="dxa"/>
                  <w:noWrap w:val="0"/>
                  <w:vAlign w:val="center"/>
                </w:tcPr>
                <w:p>
                  <w:pPr>
                    <w:pStyle w:val="897"/>
                    <w:spacing w:before="0" w:after="0"/>
                    <w:rPr>
                      <w:rFonts w:cs="Times New Roman"/>
                      <w:sz w:val="21"/>
                      <w:szCs w:val="21"/>
                    </w:rPr>
                  </w:pPr>
                  <w:r>
                    <w:rPr>
                      <w:rFonts w:cs="Times New Roman"/>
                      <w:sz w:val="21"/>
                      <w:szCs w:val="21"/>
                    </w:rPr>
                    <w:t>甲基叔丁基醚*</w:t>
                  </w:r>
                  <w:r>
                    <w:rPr>
                      <w:rFonts w:cs="Times New Roman"/>
                      <w:kern w:val="0"/>
                      <w:sz w:val="21"/>
                      <w:szCs w:val="21"/>
                      <w:lang w:bidi="ar"/>
                    </w:rPr>
                    <w:t>（</w:t>
                  </w:r>
                  <w:r>
                    <w:rPr>
                      <w:rFonts w:cs="Times New Roman"/>
                      <w:kern w:val="0"/>
                      <w:sz w:val="21"/>
                      <w:szCs w:val="21"/>
                    </w:rPr>
                    <w:t>μg/L</w:t>
                  </w:r>
                  <w:r>
                    <w:rPr>
                      <w:rFonts w:cs="Times New Roman"/>
                      <w:kern w:val="0"/>
                      <w:sz w:val="21"/>
                      <w:szCs w:val="21"/>
                      <w:lang w:bidi="ar"/>
                    </w:rPr>
                    <w:t>）</w:t>
                  </w:r>
                </w:p>
              </w:tc>
              <w:tc>
                <w:tcPr>
                  <w:tcW w:w="1336" w:type="dxa"/>
                  <w:noWrap w:val="0"/>
                  <w:vAlign w:val="center"/>
                </w:tcPr>
                <w:p>
                  <w:pPr>
                    <w:widowControl/>
                    <w:jc w:val="center"/>
                    <w:textAlignment w:val="center"/>
                    <w:rPr>
                      <w:kern w:val="0"/>
                      <w:szCs w:val="21"/>
                      <w:lang w:bidi="ar"/>
                    </w:rPr>
                  </w:pPr>
                  <w:r>
                    <w:rPr>
                      <w:kern w:val="0"/>
                      <w:szCs w:val="21"/>
                      <w:lang w:bidi="ar"/>
                    </w:rPr>
                    <w:t>0.7</w:t>
                  </w:r>
                  <w:r>
                    <w:rPr>
                      <w:kern w:val="0"/>
                      <w:szCs w:val="21"/>
                      <w:vertAlign w:val="superscript"/>
                      <w:lang w:bidi="ar"/>
                    </w:rPr>
                    <w:t>L</w:t>
                  </w:r>
                </w:p>
              </w:tc>
              <w:tc>
                <w:tcPr>
                  <w:tcW w:w="1229" w:type="dxa"/>
                  <w:noWrap w:val="0"/>
                  <w:vAlign w:val="center"/>
                </w:tcPr>
                <w:p>
                  <w:pPr>
                    <w:widowControl/>
                    <w:jc w:val="center"/>
                    <w:textAlignment w:val="center"/>
                    <w:rPr>
                      <w:kern w:val="0"/>
                      <w:szCs w:val="21"/>
                      <w:lang w:bidi="ar"/>
                    </w:rPr>
                  </w:pPr>
                  <w:r>
                    <w:rPr>
                      <w:rFonts w:hint="eastAsia"/>
                      <w:kern w:val="0"/>
                      <w:szCs w:val="21"/>
                      <w:lang w:bidi="ar"/>
                    </w:rPr>
                    <w:t>/</w:t>
                  </w:r>
                </w:p>
              </w:tc>
              <w:tc>
                <w:tcPr>
                  <w:tcW w:w="1020" w:type="dxa"/>
                  <w:noWrap w:val="0"/>
                  <w:vAlign w:val="center"/>
                </w:tcPr>
                <w:p>
                  <w:pPr>
                    <w:jc w:val="center"/>
                    <w:rPr>
                      <w:szCs w:val="21"/>
                    </w:rPr>
                  </w:pPr>
                  <w:r>
                    <w:rPr>
                      <w:rFonts w:hint="eastAsia"/>
                      <w:szCs w:val="21"/>
                    </w:rPr>
                    <w:t>/</w:t>
                  </w:r>
                </w:p>
              </w:tc>
            </w:tr>
          </w:tbl>
          <w:p>
            <w:pPr>
              <w:ind w:firstLine="489" w:firstLineChars="232"/>
              <w:jc w:val="left"/>
              <w:rPr>
                <w:b/>
                <w:bCs/>
                <w:szCs w:val="21"/>
              </w:rPr>
            </w:pPr>
            <w:r>
              <w:rPr>
                <w:rFonts w:hint="eastAsia"/>
                <w:b/>
                <w:bCs/>
                <w:szCs w:val="21"/>
              </w:rPr>
              <w:t>注：1、“检出限+L”表示未检出，单项指数以检出限的一半计；</w:t>
            </w:r>
          </w:p>
          <w:p>
            <w:pPr>
              <w:ind w:firstLine="911" w:firstLineChars="432"/>
              <w:jc w:val="left"/>
              <w:rPr>
                <w:b/>
                <w:bCs/>
                <w:szCs w:val="21"/>
              </w:rPr>
            </w:pPr>
            <w:r>
              <w:rPr>
                <w:rFonts w:hint="eastAsia"/>
                <w:b/>
                <w:bCs/>
                <w:szCs w:val="21"/>
              </w:rPr>
              <w:t>2、对于无标准的监测因子，不进行评价仅以监测值作为区域背景值。</w:t>
            </w:r>
          </w:p>
          <w:p>
            <w:pPr>
              <w:pStyle w:val="132"/>
              <w:ind w:firstLine="480"/>
              <w:rPr>
                <w:rFonts w:hint="eastAsia"/>
                <w:szCs w:val="24"/>
              </w:rPr>
            </w:pPr>
            <w:r>
              <w:rPr>
                <w:szCs w:val="24"/>
              </w:rPr>
              <w:t>由表3-</w:t>
            </w:r>
            <w:r>
              <w:rPr>
                <w:rFonts w:hint="eastAsia"/>
                <w:szCs w:val="24"/>
              </w:rPr>
              <w:t>9</w:t>
            </w:r>
            <w:r>
              <w:rPr>
                <w:szCs w:val="24"/>
              </w:rPr>
              <w:t>可知，</w:t>
            </w:r>
            <w:r>
              <w:rPr>
                <w:rFonts w:hint="eastAsia"/>
                <w:szCs w:val="24"/>
              </w:rPr>
              <w:t>项目区地下水环境质量较好，各项监测因子均</w:t>
            </w:r>
            <w:r>
              <w:rPr>
                <w:szCs w:val="24"/>
              </w:rPr>
              <w:t>满足《地下水质量标准》（</w:t>
            </w:r>
            <w:r>
              <w:rPr>
                <w:szCs w:val="24"/>
              </w:rPr>
              <w:fldChar w:fldCharType="begin"/>
            </w:r>
            <w:r>
              <w:rPr>
                <w:szCs w:val="24"/>
              </w:rPr>
              <w:instrText xml:space="preserve"> HYPERLINK "http://wenku.cyjzzd.com/a/1300001943" \t "https://www.so.com/_blank" </w:instrText>
            </w:r>
            <w:r>
              <w:rPr>
                <w:szCs w:val="24"/>
              </w:rPr>
              <w:fldChar w:fldCharType="separate"/>
            </w:r>
            <w:r>
              <w:rPr>
                <w:szCs w:val="24"/>
              </w:rPr>
              <w:t>GB/T 14848-2017</w:t>
            </w:r>
            <w:r>
              <w:rPr>
                <w:szCs w:val="24"/>
              </w:rPr>
              <w:fldChar w:fldCharType="end"/>
            </w:r>
            <w:r>
              <w:rPr>
                <w:szCs w:val="24"/>
              </w:rPr>
              <w:t>）三级标准要求</w:t>
            </w:r>
            <w:r>
              <w:rPr>
                <w:rFonts w:hint="eastAsia"/>
                <w:szCs w:val="24"/>
              </w:rPr>
              <w:t>。</w:t>
            </w:r>
          </w:p>
          <w:p>
            <w:pPr>
              <w:spacing w:line="360" w:lineRule="auto"/>
              <w:ind w:firstLine="562" w:firstLineChars="200"/>
              <w:rPr>
                <w:b/>
                <w:bCs/>
                <w:sz w:val="28"/>
                <w:szCs w:val="28"/>
              </w:rPr>
            </w:pPr>
            <w:r>
              <w:rPr>
                <w:b/>
                <w:bCs/>
                <w:sz w:val="28"/>
                <w:szCs w:val="28"/>
              </w:rPr>
              <w:t>四、土壤环境质量现状</w:t>
            </w:r>
          </w:p>
          <w:p>
            <w:pPr>
              <w:widowControl/>
              <w:spacing w:line="360" w:lineRule="auto"/>
              <w:ind w:firstLine="480" w:firstLineChars="200"/>
              <w:jc w:val="left"/>
              <w:rPr>
                <w:rFonts w:hint="eastAsia"/>
                <w:kern w:val="0"/>
                <w:sz w:val="24"/>
                <w:lang w:bidi="ar"/>
              </w:rPr>
            </w:pPr>
            <w:r>
              <w:rPr>
                <w:kern w:val="0"/>
                <w:sz w:val="24"/>
                <w:lang w:bidi="ar"/>
              </w:rPr>
              <w:t>根据《建设项目环境影响报告表编制技术指南（污染影响类）（试行）》 中有关</w:t>
            </w:r>
            <w:r>
              <w:rPr>
                <w:rFonts w:hint="eastAsia"/>
                <w:kern w:val="0"/>
                <w:sz w:val="24"/>
                <w:lang w:bidi="ar"/>
              </w:rPr>
              <w:t>土壤</w:t>
            </w:r>
            <w:r>
              <w:rPr>
                <w:kern w:val="0"/>
                <w:sz w:val="24"/>
                <w:lang w:bidi="ar"/>
              </w:rPr>
              <w:t>环境质量现状调查的规定，</w:t>
            </w:r>
            <w:r>
              <w:rPr>
                <w:rFonts w:hint="eastAsia"/>
                <w:kern w:val="0"/>
                <w:sz w:val="24"/>
                <w:lang w:bidi="ar"/>
              </w:rPr>
              <w:t>原则上不开展环境质量现状调查，建设项目存在土壤污染途径的，结合污染源、保护目标分布情况开展现状调查以留作背景值。本项目属于加油加气站项目，存在一定的土壤途径，因此本次评价</w:t>
            </w:r>
            <w:r>
              <w:rPr>
                <w:kern w:val="0"/>
                <w:sz w:val="24"/>
                <w:lang w:bidi="ar"/>
              </w:rPr>
              <w:t>委托达州恒福环境监测服务有限公司于202</w:t>
            </w:r>
            <w:r>
              <w:rPr>
                <w:rFonts w:hint="eastAsia"/>
                <w:kern w:val="0"/>
                <w:sz w:val="24"/>
                <w:lang w:bidi="ar"/>
              </w:rPr>
              <w:t>3</w:t>
            </w:r>
            <w:r>
              <w:rPr>
                <w:kern w:val="0"/>
                <w:sz w:val="24"/>
                <w:lang w:bidi="ar"/>
              </w:rPr>
              <w:t>年</w:t>
            </w:r>
            <w:r>
              <w:rPr>
                <w:rFonts w:hint="eastAsia"/>
                <w:kern w:val="0"/>
                <w:sz w:val="24"/>
                <w:lang w:bidi="ar"/>
              </w:rPr>
              <w:t>7</w:t>
            </w:r>
            <w:r>
              <w:rPr>
                <w:kern w:val="0"/>
                <w:sz w:val="24"/>
                <w:lang w:bidi="ar"/>
              </w:rPr>
              <w:t>月</w:t>
            </w:r>
            <w:r>
              <w:rPr>
                <w:rFonts w:hint="eastAsia"/>
                <w:kern w:val="0"/>
                <w:sz w:val="24"/>
                <w:lang w:bidi="ar"/>
              </w:rPr>
              <w:t>10</w:t>
            </w:r>
            <w:r>
              <w:rPr>
                <w:kern w:val="0"/>
                <w:sz w:val="24"/>
                <w:lang w:bidi="ar"/>
              </w:rPr>
              <w:t>日对项目区</w:t>
            </w:r>
            <w:r>
              <w:rPr>
                <w:rFonts w:hint="eastAsia"/>
                <w:kern w:val="0"/>
                <w:sz w:val="24"/>
                <w:lang w:bidi="ar"/>
              </w:rPr>
              <w:t>土壤</w:t>
            </w:r>
            <w:r>
              <w:rPr>
                <w:kern w:val="0"/>
                <w:sz w:val="24"/>
                <w:lang w:bidi="ar"/>
              </w:rPr>
              <w:t>环境质量进行了现状监测</w:t>
            </w:r>
            <w:r>
              <w:rPr>
                <w:rFonts w:hint="eastAsia"/>
                <w:kern w:val="0"/>
                <w:sz w:val="24"/>
                <w:lang w:bidi="ar"/>
              </w:rPr>
              <w:t>以留作背景值。</w:t>
            </w:r>
          </w:p>
          <w:p>
            <w:pPr>
              <w:spacing w:line="360" w:lineRule="auto"/>
              <w:ind w:firstLine="482" w:firstLineChars="200"/>
              <w:rPr>
                <w:b/>
                <w:bCs/>
                <w:sz w:val="24"/>
              </w:rPr>
            </w:pPr>
            <w:r>
              <w:rPr>
                <w:b/>
                <w:bCs/>
                <w:sz w:val="24"/>
              </w:rPr>
              <w:t>1、监测点设置</w:t>
            </w:r>
          </w:p>
          <w:p>
            <w:pPr>
              <w:spacing w:line="360" w:lineRule="auto"/>
              <w:ind w:firstLine="480" w:firstLineChars="200"/>
              <w:rPr>
                <w:sz w:val="24"/>
              </w:rPr>
            </w:pPr>
            <w:r>
              <w:rPr>
                <w:sz w:val="24"/>
              </w:rPr>
              <w:t>在项目区共设置</w:t>
            </w:r>
            <w:r>
              <w:rPr>
                <w:rFonts w:hint="eastAsia"/>
                <w:sz w:val="24"/>
              </w:rPr>
              <w:t>3</w:t>
            </w:r>
            <w:r>
              <w:rPr>
                <w:sz w:val="24"/>
              </w:rPr>
              <w:t>个土壤监测点位，具体监测点位如下表3-1</w:t>
            </w:r>
            <w:r>
              <w:rPr>
                <w:rFonts w:hint="eastAsia"/>
                <w:sz w:val="24"/>
              </w:rPr>
              <w:t>0</w:t>
            </w:r>
            <w:r>
              <w:rPr>
                <w:sz w:val="24"/>
              </w:rPr>
              <w:t>所示：</w:t>
            </w:r>
          </w:p>
          <w:p>
            <w:pPr>
              <w:spacing w:line="360" w:lineRule="auto"/>
              <w:ind w:firstLine="422" w:firstLineChars="200"/>
              <w:jc w:val="center"/>
              <w:rPr>
                <w:b/>
                <w:bCs/>
                <w:szCs w:val="21"/>
              </w:rPr>
            </w:pPr>
            <w:r>
              <w:rPr>
                <w:b/>
                <w:bCs/>
                <w:szCs w:val="21"/>
              </w:rPr>
              <w:t>表3</w:t>
            </w:r>
            <w:r>
              <w:rPr>
                <w:rFonts w:hint="eastAsia"/>
                <w:b/>
                <w:bCs/>
                <w:szCs w:val="21"/>
              </w:rPr>
              <w:t>-10</w:t>
            </w:r>
            <w:r>
              <w:rPr>
                <w:b/>
                <w:bCs/>
                <w:szCs w:val="21"/>
              </w:rPr>
              <w:t>土壤环境质量现状监测点位</w:t>
            </w:r>
          </w:p>
          <w:tbl>
            <w:tblPr>
              <w:tblStyle w:val="70"/>
              <w:tblW w:w="4999"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Layout w:type="autofit"/>
              <w:tblCellMar>
                <w:top w:w="0" w:type="dxa"/>
                <w:left w:w="108" w:type="dxa"/>
                <w:bottom w:w="0" w:type="dxa"/>
                <w:right w:w="108" w:type="dxa"/>
              </w:tblCellMar>
            </w:tblPr>
            <w:tblGrid>
              <w:gridCol w:w="2538"/>
              <w:gridCol w:w="583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noWrap w:val="0"/>
                  <w:vAlign w:val="center"/>
                </w:tcPr>
                <w:p>
                  <w:pPr>
                    <w:adjustRightInd w:val="0"/>
                    <w:snapToGrid w:val="0"/>
                    <w:spacing w:line="276" w:lineRule="auto"/>
                    <w:jc w:val="center"/>
                    <w:rPr>
                      <w:b/>
                      <w:szCs w:val="21"/>
                    </w:rPr>
                  </w:pPr>
                  <w:r>
                    <w:rPr>
                      <w:b/>
                      <w:szCs w:val="21"/>
                    </w:rPr>
                    <w:t>监测点位编号</w:t>
                  </w:r>
                </w:p>
              </w:tc>
              <w:tc>
                <w:tcPr>
                  <w:tcW w:w="3484" w:type="pct"/>
                  <w:noWrap w:val="0"/>
                  <w:vAlign w:val="center"/>
                </w:tcPr>
                <w:p>
                  <w:pPr>
                    <w:adjustRightInd w:val="0"/>
                    <w:snapToGrid w:val="0"/>
                    <w:spacing w:line="276" w:lineRule="auto"/>
                    <w:jc w:val="center"/>
                    <w:rPr>
                      <w:b/>
                      <w:szCs w:val="21"/>
                    </w:rPr>
                  </w:pPr>
                  <w:r>
                    <w:rPr>
                      <w:b/>
                      <w:szCs w:val="21"/>
                    </w:rPr>
                    <w:t>监测点位置</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noWrap w:val="0"/>
                  <w:vAlign w:val="center"/>
                </w:tcPr>
                <w:p>
                  <w:pPr>
                    <w:widowControl/>
                    <w:spacing w:line="276" w:lineRule="auto"/>
                    <w:jc w:val="center"/>
                    <w:rPr>
                      <w:bCs/>
                      <w:kern w:val="0"/>
                      <w:szCs w:val="21"/>
                    </w:rPr>
                  </w:pPr>
                  <w:r>
                    <w:rPr>
                      <w:bCs/>
                      <w:kern w:val="0"/>
                      <w:szCs w:val="21"/>
                    </w:rPr>
                    <w:t>1#</w:t>
                  </w:r>
                </w:p>
              </w:tc>
              <w:tc>
                <w:tcPr>
                  <w:tcW w:w="3484" w:type="pct"/>
                  <w:noWrap w:val="0"/>
                  <w:vAlign w:val="center"/>
                </w:tcPr>
                <w:p>
                  <w:pPr>
                    <w:widowControl/>
                    <w:spacing w:line="276" w:lineRule="auto"/>
                    <w:jc w:val="center"/>
                    <w:rPr>
                      <w:bCs/>
                      <w:kern w:val="0"/>
                      <w:szCs w:val="21"/>
                    </w:rPr>
                  </w:pPr>
                  <w:r>
                    <w:rPr>
                      <w:rFonts w:hint="eastAsia"/>
                      <w:bCs/>
                      <w:kern w:val="0"/>
                      <w:szCs w:val="21"/>
                    </w:rPr>
                    <w:t>项目拟建油罐区</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noWrap w:val="0"/>
                  <w:vAlign w:val="center"/>
                </w:tcPr>
                <w:p>
                  <w:pPr>
                    <w:widowControl/>
                    <w:spacing w:line="276" w:lineRule="auto"/>
                    <w:jc w:val="center"/>
                    <w:rPr>
                      <w:bCs/>
                      <w:kern w:val="0"/>
                      <w:szCs w:val="21"/>
                    </w:rPr>
                  </w:pPr>
                  <w:r>
                    <w:rPr>
                      <w:bCs/>
                      <w:kern w:val="0"/>
                      <w:szCs w:val="21"/>
                    </w:rPr>
                    <w:t>2#</w:t>
                  </w:r>
                </w:p>
              </w:tc>
              <w:tc>
                <w:tcPr>
                  <w:tcW w:w="3484" w:type="pct"/>
                  <w:noWrap w:val="0"/>
                  <w:vAlign w:val="center"/>
                </w:tcPr>
                <w:p>
                  <w:pPr>
                    <w:widowControl/>
                    <w:spacing w:line="276" w:lineRule="auto"/>
                    <w:jc w:val="center"/>
                    <w:rPr>
                      <w:bCs/>
                      <w:kern w:val="0"/>
                      <w:szCs w:val="21"/>
                    </w:rPr>
                  </w:pPr>
                  <w:r>
                    <w:rPr>
                      <w:rFonts w:hint="eastAsia"/>
                      <w:bCs/>
                      <w:kern w:val="0"/>
                      <w:szCs w:val="21"/>
                    </w:rPr>
                    <w:t>项目拟建站房区</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noWrap w:val="0"/>
                  <w:vAlign w:val="center"/>
                </w:tcPr>
                <w:p>
                  <w:pPr>
                    <w:spacing w:line="300" w:lineRule="exact"/>
                    <w:jc w:val="center"/>
                    <w:rPr>
                      <w:bCs/>
                      <w:kern w:val="0"/>
                      <w:szCs w:val="21"/>
                    </w:rPr>
                  </w:pPr>
                  <w:r>
                    <w:rPr>
                      <w:bCs/>
                    </w:rPr>
                    <w:t>3#</w:t>
                  </w:r>
                </w:p>
              </w:tc>
              <w:tc>
                <w:tcPr>
                  <w:tcW w:w="3484" w:type="pct"/>
                  <w:noWrap w:val="0"/>
                  <w:vAlign w:val="center"/>
                </w:tcPr>
                <w:p>
                  <w:pPr>
                    <w:widowControl/>
                    <w:spacing w:line="276" w:lineRule="auto"/>
                    <w:jc w:val="center"/>
                    <w:rPr>
                      <w:bCs/>
                      <w:kern w:val="0"/>
                      <w:szCs w:val="21"/>
                    </w:rPr>
                  </w:pPr>
                  <w:r>
                    <w:rPr>
                      <w:rFonts w:hint="eastAsia"/>
                      <w:bCs/>
                      <w:kern w:val="0"/>
                      <w:szCs w:val="21"/>
                    </w:rPr>
                    <w:t>项目拟建加油加气区</w:t>
                  </w:r>
                </w:p>
              </w:tc>
            </w:tr>
          </w:tbl>
          <w:p>
            <w:pPr>
              <w:spacing w:line="360" w:lineRule="auto"/>
              <w:ind w:firstLine="482" w:firstLineChars="200"/>
              <w:rPr>
                <w:b/>
                <w:bCs/>
                <w:sz w:val="24"/>
              </w:rPr>
            </w:pPr>
            <w:r>
              <w:rPr>
                <w:b/>
                <w:bCs/>
                <w:sz w:val="24"/>
              </w:rPr>
              <w:t>2、监测项目</w:t>
            </w:r>
          </w:p>
          <w:p>
            <w:pPr>
              <w:spacing w:line="360" w:lineRule="auto"/>
              <w:ind w:firstLine="480" w:firstLineChars="200"/>
              <w:rPr>
                <w:sz w:val="24"/>
              </w:rPr>
            </w:pPr>
            <w:r>
              <w:rPr>
                <w:rFonts w:hint="eastAsia"/>
                <w:sz w:val="24"/>
              </w:rPr>
              <w:t>1#监测点位监测</w:t>
            </w:r>
            <w:r>
              <w:rPr>
                <w:sz w:val="24"/>
              </w:rPr>
              <w:t>《</w:t>
            </w:r>
            <w:r>
              <w:rPr>
                <w:sz w:val="24"/>
              </w:rPr>
              <w:fldChar w:fldCharType="begin"/>
            </w:r>
            <w:r>
              <w:rPr>
                <w:sz w:val="24"/>
              </w:rPr>
              <w:instrText xml:space="preserve"> HYPERLINK "https://www.mee.gov.cn/ywgz/fgbz/bz/bzwb/trhj/201807/W020190626596188930731.pdf" </w:instrText>
            </w:r>
            <w:r>
              <w:rPr>
                <w:sz w:val="24"/>
              </w:rPr>
              <w:fldChar w:fldCharType="separate"/>
            </w:r>
            <w:r>
              <w:rPr>
                <w:sz w:val="24"/>
              </w:rPr>
              <w:t>土壤环境质量 建设用地土壤污染风险管控标准（试行）》(GB36600-2018)</w:t>
            </w:r>
            <w:r>
              <w:rPr>
                <w:sz w:val="24"/>
              </w:rPr>
              <w:fldChar w:fldCharType="end"/>
            </w:r>
            <w:r>
              <w:rPr>
                <w:sz w:val="24"/>
              </w:rPr>
              <w:t>中的45项基本项目</w:t>
            </w:r>
            <w:r>
              <w:rPr>
                <w:rFonts w:hint="eastAsia"/>
                <w:sz w:val="24"/>
              </w:rPr>
              <w:t>以及石油类、石油烃（C</w:t>
            </w:r>
            <w:r>
              <w:rPr>
                <w:sz w:val="24"/>
              </w:rPr>
              <w:t>6~C9</w:t>
            </w:r>
            <w:r>
              <w:rPr>
                <w:rFonts w:hint="eastAsia"/>
                <w:sz w:val="24"/>
              </w:rPr>
              <w:t>）、石油烃（C10</w:t>
            </w:r>
            <w:r>
              <w:rPr>
                <w:sz w:val="24"/>
              </w:rPr>
              <w:t>~C</w:t>
            </w:r>
            <w:r>
              <w:rPr>
                <w:rFonts w:hint="eastAsia"/>
                <w:sz w:val="24"/>
              </w:rPr>
              <w:t>40）；2#及3#点位监测pH、镉、汞、砷、铅、铬、六价铬、铜、镍、锌</w:t>
            </w:r>
            <w:r>
              <w:rPr>
                <w:sz w:val="24"/>
              </w:rPr>
              <w:t>、石油烃（C10-C40）、</w:t>
            </w:r>
            <w:r>
              <w:rPr>
                <w:rFonts w:hint="eastAsia"/>
                <w:sz w:val="24"/>
              </w:rPr>
              <w:t>石油烃（C</w:t>
            </w:r>
            <w:r>
              <w:rPr>
                <w:sz w:val="24"/>
              </w:rPr>
              <w:t>6</w:t>
            </w:r>
            <w:r>
              <w:rPr>
                <w:rFonts w:hint="eastAsia"/>
                <w:sz w:val="24"/>
              </w:rPr>
              <w:t>-</w:t>
            </w:r>
            <w:r>
              <w:rPr>
                <w:sz w:val="24"/>
              </w:rPr>
              <w:t>C9</w:t>
            </w:r>
            <w:r>
              <w:rPr>
                <w:rFonts w:hint="eastAsia"/>
                <w:sz w:val="24"/>
              </w:rPr>
              <w:t>）、石油类，共13项。</w:t>
            </w:r>
          </w:p>
          <w:p>
            <w:pPr>
              <w:pStyle w:val="879"/>
              <w:ind w:firstLine="482"/>
              <w:rPr>
                <w:b/>
                <w:bCs/>
                <w:szCs w:val="24"/>
              </w:rPr>
            </w:pPr>
            <w:r>
              <w:rPr>
                <w:b/>
                <w:bCs/>
                <w:szCs w:val="24"/>
              </w:rPr>
              <w:t>3、监测时间、频率及方法</w:t>
            </w:r>
          </w:p>
          <w:p>
            <w:pPr>
              <w:pStyle w:val="879"/>
              <w:ind w:firstLine="480"/>
              <w:rPr>
                <w:szCs w:val="24"/>
              </w:rPr>
            </w:pPr>
            <w:r>
              <w:rPr>
                <w:szCs w:val="24"/>
              </w:rPr>
              <w:t>达州恒福环境监测服务有限公司于202</w:t>
            </w:r>
            <w:r>
              <w:rPr>
                <w:rFonts w:hint="eastAsia"/>
                <w:szCs w:val="24"/>
              </w:rPr>
              <w:t>3</w:t>
            </w:r>
            <w:r>
              <w:rPr>
                <w:szCs w:val="24"/>
              </w:rPr>
              <w:t>年</w:t>
            </w:r>
            <w:r>
              <w:rPr>
                <w:rFonts w:hint="eastAsia"/>
                <w:szCs w:val="24"/>
              </w:rPr>
              <w:t>7</w:t>
            </w:r>
            <w:r>
              <w:rPr>
                <w:szCs w:val="24"/>
              </w:rPr>
              <w:t>月</w:t>
            </w:r>
            <w:r>
              <w:rPr>
                <w:rFonts w:hint="eastAsia"/>
                <w:szCs w:val="24"/>
              </w:rPr>
              <w:t>11</w:t>
            </w:r>
            <w:r>
              <w:rPr>
                <w:szCs w:val="24"/>
              </w:rPr>
              <w:t>日</w:t>
            </w:r>
            <w:r>
              <w:rPr>
                <w:rFonts w:hint="eastAsia"/>
                <w:szCs w:val="24"/>
              </w:rPr>
              <w:t>在</w:t>
            </w:r>
            <w:r>
              <w:rPr>
                <w:szCs w:val="24"/>
              </w:rPr>
              <w:t>对项目3个监测点分别进行了监测，监测1天，每天监测一次。监测分析方法见表3-1</w:t>
            </w:r>
            <w:r>
              <w:rPr>
                <w:rFonts w:hint="eastAsia"/>
                <w:szCs w:val="24"/>
              </w:rPr>
              <w:t>1</w:t>
            </w:r>
            <w:r>
              <w:rPr>
                <w:szCs w:val="24"/>
              </w:rPr>
              <w:t>。</w:t>
            </w:r>
          </w:p>
          <w:p>
            <w:pPr>
              <w:ind w:firstLine="422" w:firstLineChars="200"/>
              <w:jc w:val="center"/>
              <w:rPr>
                <w:b/>
                <w:bCs/>
                <w:szCs w:val="21"/>
              </w:rPr>
            </w:pPr>
            <w:r>
              <w:rPr>
                <w:b/>
                <w:bCs/>
                <w:szCs w:val="21"/>
              </w:rPr>
              <w:t>表3-1</w:t>
            </w:r>
            <w:r>
              <w:rPr>
                <w:rFonts w:hint="eastAsia"/>
                <w:b/>
                <w:bCs/>
                <w:szCs w:val="21"/>
              </w:rPr>
              <w:t>1</w:t>
            </w:r>
            <w:r>
              <w:rPr>
                <w:b/>
                <w:bCs/>
                <w:szCs w:val="21"/>
              </w:rPr>
              <w:t>土壤环境质量监测分析方法一览表</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43"/>
              <w:gridCol w:w="2051"/>
              <w:gridCol w:w="1586"/>
              <w:gridCol w:w="2043"/>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1572" w:type="dxa"/>
                  <w:noWrap w:val="0"/>
                  <w:vAlign w:val="center"/>
                </w:tcPr>
                <w:p>
                  <w:pPr>
                    <w:pStyle w:val="897"/>
                    <w:snapToGrid w:val="0"/>
                    <w:spacing w:before="0" w:after="0"/>
                    <w:rPr>
                      <w:rFonts w:cs="Times New Roman"/>
                      <w:b/>
                      <w:sz w:val="21"/>
                      <w:szCs w:val="21"/>
                    </w:rPr>
                  </w:pPr>
                  <w:r>
                    <w:rPr>
                      <w:rFonts w:cs="Times New Roman"/>
                      <w:b/>
                      <w:sz w:val="21"/>
                      <w:szCs w:val="21"/>
                    </w:rPr>
                    <w:t>检测因子</w:t>
                  </w:r>
                </w:p>
              </w:tc>
              <w:tc>
                <w:tcPr>
                  <w:tcW w:w="2409" w:type="dxa"/>
                  <w:noWrap w:val="0"/>
                  <w:vAlign w:val="center"/>
                </w:tcPr>
                <w:p>
                  <w:pPr>
                    <w:pStyle w:val="897"/>
                    <w:snapToGrid w:val="0"/>
                    <w:spacing w:before="0" w:after="0"/>
                    <w:rPr>
                      <w:rFonts w:cs="Times New Roman"/>
                      <w:b/>
                      <w:sz w:val="21"/>
                      <w:szCs w:val="21"/>
                    </w:rPr>
                  </w:pPr>
                  <w:r>
                    <w:rPr>
                      <w:rFonts w:cs="Times New Roman"/>
                      <w:b/>
                      <w:sz w:val="21"/>
                      <w:szCs w:val="21"/>
                    </w:rPr>
                    <w:t>检测方法</w:t>
                  </w:r>
                </w:p>
              </w:tc>
              <w:tc>
                <w:tcPr>
                  <w:tcW w:w="1701" w:type="dxa"/>
                  <w:noWrap w:val="0"/>
                  <w:vAlign w:val="center"/>
                </w:tcPr>
                <w:p>
                  <w:pPr>
                    <w:pStyle w:val="897"/>
                    <w:snapToGrid w:val="0"/>
                    <w:spacing w:before="0" w:after="0"/>
                    <w:rPr>
                      <w:rFonts w:cs="Times New Roman"/>
                      <w:b/>
                      <w:sz w:val="21"/>
                      <w:szCs w:val="21"/>
                    </w:rPr>
                  </w:pPr>
                  <w:r>
                    <w:rPr>
                      <w:rFonts w:cs="Times New Roman"/>
                      <w:b/>
                      <w:sz w:val="21"/>
                      <w:szCs w:val="21"/>
                    </w:rPr>
                    <w:t>方法来源</w:t>
                  </w:r>
                </w:p>
              </w:tc>
              <w:tc>
                <w:tcPr>
                  <w:tcW w:w="2127" w:type="dxa"/>
                  <w:noWrap w:val="0"/>
                  <w:vAlign w:val="center"/>
                </w:tcPr>
                <w:p>
                  <w:pPr>
                    <w:pStyle w:val="897"/>
                    <w:snapToGrid w:val="0"/>
                    <w:spacing w:before="0" w:after="0"/>
                    <w:rPr>
                      <w:rFonts w:cs="Times New Roman"/>
                      <w:b/>
                      <w:sz w:val="21"/>
                      <w:szCs w:val="21"/>
                    </w:rPr>
                  </w:pPr>
                  <w:r>
                    <w:rPr>
                      <w:rFonts w:cs="Times New Roman"/>
                      <w:b/>
                      <w:sz w:val="21"/>
                      <w:szCs w:val="21"/>
                    </w:rPr>
                    <w:t>使用仪器及编号</w:t>
                  </w:r>
                </w:p>
              </w:tc>
              <w:tc>
                <w:tcPr>
                  <w:tcW w:w="1286" w:type="dxa"/>
                  <w:noWrap w:val="0"/>
                  <w:vAlign w:val="center"/>
                </w:tcPr>
                <w:p>
                  <w:pPr>
                    <w:pStyle w:val="897"/>
                    <w:snapToGrid w:val="0"/>
                    <w:spacing w:before="0" w:after="0"/>
                    <w:rPr>
                      <w:rFonts w:cs="Times New Roman"/>
                      <w:b/>
                      <w:sz w:val="21"/>
                      <w:szCs w:val="21"/>
                    </w:rPr>
                  </w:pPr>
                  <w:r>
                    <w:rPr>
                      <w:rFonts w:cs="Times New Roman"/>
                      <w:b/>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pStyle w:val="897"/>
                    <w:snapToGrid w:val="0"/>
                    <w:spacing w:before="0" w:after="0"/>
                    <w:rPr>
                      <w:rFonts w:cs="Times New Roman"/>
                      <w:sz w:val="21"/>
                      <w:szCs w:val="21"/>
                    </w:rPr>
                  </w:pPr>
                  <w:r>
                    <w:rPr>
                      <w:rFonts w:cs="Times New Roman"/>
                      <w:sz w:val="21"/>
                      <w:szCs w:val="21"/>
                    </w:rPr>
                    <w:t>pH（无量纲）</w:t>
                  </w:r>
                </w:p>
              </w:tc>
              <w:tc>
                <w:tcPr>
                  <w:tcW w:w="2409" w:type="dxa"/>
                  <w:noWrap w:val="0"/>
                  <w:vAlign w:val="center"/>
                </w:tcPr>
                <w:p>
                  <w:pPr>
                    <w:pStyle w:val="897"/>
                    <w:snapToGrid w:val="0"/>
                    <w:spacing w:before="0" w:after="0"/>
                    <w:rPr>
                      <w:rFonts w:cs="Times New Roman"/>
                      <w:sz w:val="21"/>
                      <w:szCs w:val="21"/>
                    </w:rPr>
                  </w:pPr>
                  <w:r>
                    <w:rPr>
                      <w:rFonts w:cs="Times New Roman"/>
                      <w:kern w:val="0"/>
                      <w:sz w:val="21"/>
                      <w:szCs w:val="21"/>
                    </w:rPr>
                    <w:t>土壤 pH值的测定 电位法</w:t>
                  </w:r>
                </w:p>
              </w:tc>
              <w:tc>
                <w:tcPr>
                  <w:tcW w:w="1701" w:type="dxa"/>
                  <w:noWrap w:val="0"/>
                  <w:vAlign w:val="center"/>
                </w:tcPr>
                <w:p>
                  <w:pPr>
                    <w:pStyle w:val="897"/>
                    <w:snapToGrid w:val="0"/>
                    <w:spacing w:before="0" w:after="0"/>
                    <w:rPr>
                      <w:rFonts w:cs="Times New Roman"/>
                      <w:iCs/>
                      <w:sz w:val="21"/>
                      <w:szCs w:val="21"/>
                    </w:rPr>
                  </w:pPr>
                  <w:r>
                    <w:rPr>
                      <w:rFonts w:cs="Times New Roman"/>
                      <w:kern w:val="0"/>
                      <w:sz w:val="21"/>
                      <w:szCs w:val="21"/>
                    </w:rPr>
                    <w:t>HJ 962-2018</w:t>
                  </w:r>
                </w:p>
              </w:tc>
              <w:tc>
                <w:tcPr>
                  <w:tcW w:w="2127" w:type="dxa"/>
                  <w:noWrap w:val="0"/>
                  <w:vAlign w:val="center"/>
                </w:tcPr>
                <w:p>
                  <w:pPr>
                    <w:pStyle w:val="897"/>
                    <w:snapToGrid w:val="0"/>
                    <w:spacing w:before="0" w:after="0"/>
                    <w:rPr>
                      <w:rFonts w:cs="Times New Roman"/>
                      <w:spacing w:val="-6"/>
                      <w:kern w:val="0"/>
                      <w:sz w:val="21"/>
                      <w:szCs w:val="21"/>
                    </w:rPr>
                  </w:pPr>
                  <w:r>
                    <w:rPr>
                      <w:rFonts w:cs="Times New Roman"/>
                      <w:spacing w:val="-6"/>
                      <w:kern w:val="0"/>
                      <w:sz w:val="21"/>
                      <w:szCs w:val="21"/>
                    </w:rPr>
                    <w:t>PHS-3E型pH酸度计</w:t>
                  </w:r>
                </w:p>
                <w:p>
                  <w:pPr>
                    <w:widowControl/>
                    <w:snapToGrid w:val="0"/>
                    <w:jc w:val="center"/>
                    <w:rPr>
                      <w:iCs/>
                      <w:szCs w:val="21"/>
                    </w:rPr>
                  </w:pPr>
                  <w:r>
                    <w:rPr>
                      <w:kern w:val="0"/>
                      <w:szCs w:val="21"/>
                    </w:rPr>
                    <w:t>（HFJ-021）</w:t>
                  </w:r>
                </w:p>
              </w:tc>
              <w:tc>
                <w:tcPr>
                  <w:tcW w:w="1286" w:type="dxa"/>
                  <w:noWrap w:val="0"/>
                  <w:vAlign w:val="center"/>
                </w:tcPr>
                <w:p>
                  <w:pPr>
                    <w:widowControl/>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铜</w:t>
                  </w:r>
                </w:p>
              </w:tc>
              <w:tc>
                <w:tcPr>
                  <w:tcW w:w="2409" w:type="dxa"/>
                  <w:vMerge w:val="restart"/>
                  <w:noWrap w:val="0"/>
                  <w:vAlign w:val="center"/>
                </w:tcPr>
                <w:p>
                  <w:pPr>
                    <w:pStyle w:val="897"/>
                    <w:snapToGrid w:val="0"/>
                    <w:spacing w:before="0" w:after="0"/>
                    <w:rPr>
                      <w:rFonts w:cs="Times New Roman"/>
                      <w:sz w:val="21"/>
                      <w:szCs w:val="21"/>
                    </w:rPr>
                  </w:pPr>
                  <w:r>
                    <w:rPr>
                      <w:rFonts w:cs="Times New Roman"/>
                      <w:sz w:val="21"/>
                      <w:szCs w:val="21"/>
                    </w:rPr>
                    <w:t>土壤和沉积物 铜、锌、铅、镍、铬的测定 火焰原子吸收分光光度法</w:t>
                  </w:r>
                </w:p>
              </w:tc>
              <w:tc>
                <w:tcPr>
                  <w:tcW w:w="1701" w:type="dxa"/>
                  <w:vMerge w:val="restart"/>
                  <w:noWrap w:val="0"/>
                  <w:vAlign w:val="center"/>
                </w:tcPr>
                <w:p>
                  <w:pPr>
                    <w:pStyle w:val="897"/>
                    <w:snapToGrid w:val="0"/>
                    <w:spacing w:before="0" w:after="0"/>
                    <w:rPr>
                      <w:rFonts w:cs="Times New Roman"/>
                      <w:iCs/>
                      <w:sz w:val="21"/>
                      <w:szCs w:val="21"/>
                    </w:rPr>
                  </w:pPr>
                  <w:r>
                    <w:rPr>
                      <w:rFonts w:cs="Times New Roman"/>
                      <w:iCs/>
                      <w:sz w:val="21"/>
                      <w:szCs w:val="21"/>
                    </w:rPr>
                    <w:t>HJ 491-2019</w:t>
                  </w:r>
                </w:p>
              </w:tc>
              <w:tc>
                <w:tcPr>
                  <w:tcW w:w="2127" w:type="dxa"/>
                  <w:vMerge w:val="restart"/>
                  <w:noWrap w:val="0"/>
                  <w:vAlign w:val="center"/>
                </w:tcPr>
                <w:p>
                  <w:pPr>
                    <w:widowControl/>
                    <w:snapToGrid w:val="0"/>
                    <w:jc w:val="center"/>
                    <w:rPr>
                      <w:iCs/>
                      <w:szCs w:val="21"/>
                    </w:rPr>
                  </w:pPr>
                  <w:r>
                    <w:rPr>
                      <w:iCs/>
                      <w:szCs w:val="21"/>
                    </w:rPr>
                    <w:t>AA6820型原子吸收分光光度计</w:t>
                  </w:r>
                </w:p>
                <w:p>
                  <w:pPr>
                    <w:widowControl/>
                    <w:snapToGrid w:val="0"/>
                    <w:jc w:val="center"/>
                    <w:rPr>
                      <w:iCs/>
                      <w:szCs w:val="21"/>
                    </w:rPr>
                  </w:pPr>
                  <w:r>
                    <w:rPr>
                      <w:kern w:val="0"/>
                      <w:szCs w:val="21"/>
                    </w:rPr>
                    <w:t>（HFJ-001）</w:t>
                  </w:r>
                </w:p>
              </w:tc>
              <w:tc>
                <w:tcPr>
                  <w:tcW w:w="1286" w:type="dxa"/>
                  <w:noWrap w:val="0"/>
                  <w:vAlign w:val="center"/>
                </w:tcPr>
                <w:p>
                  <w:pPr>
                    <w:widowControl/>
                    <w:snapToGrid w:val="0"/>
                    <w:jc w:val="center"/>
                    <w:rPr>
                      <w:kern w:val="0"/>
                      <w:szCs w:val="21"/>
                    </w:rPr>
                  </w:pPr>
                  <w:r>
                    <w:rPr>
                      <w:kern w:val="0"/>
                      <w:szCs w:val="21"/>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锌</w:t>
                  </w:r>
                </w:p>
              </w:tc>
              <w:tc>
                <w:tcPr>
                  <w:tcW w:w="2409" w:type="dxa"/>
                  <w:vMerge w:val="continue"/>
                  <w:noWrap w:val="0"/>
                  <w:vAlign w:val="center"/>
                </w:tcPr>
                <w:p>
                  <w:pPr>
                    <w:pStyle w:val="897"/>
                    <w:snapToGrid w:val="0"/>
                    <w:spacing w:before="0" w:after="0"/>
                    <w:rPr>
                      <w:rFonts w:cs="Times New Roman"/>
                      <w:sz w:val="21"/>
                      <w:szCs w:val="21"/>
                    </w:rPr>
                  </w:pPr>
                </w:p>
              </w:tc>
              <w:tc>
                <w:tcPr>
                  <w:tcW w:w="1701" w:type="dxa"/>
                  <w:vMerge w:val="continue"/>
                  <w:noWrap w:val="0"/>
                  <w:vAlign w:val="center"/>
                </w:tcPr>
                <w:p>
                  <w:pPr>
                    <w:pStyle w:val="897"/>
                    <w:snapToGrid w:val="0"/>
                    <w:spacing w:before="0" w:after="0"/>
                    <w:rPr>
                      <w:rFonts w:cs="Times New Roman"/>
                      <w:iCs/>
                      <w:sz w:val="21"/>
                      <w:szCs w:val="21"/>
                    </w:rPr>
                  </w:pPr>
                </w:p>
              </w:tc>
              <w:tc>
                <w:tcPr>
                  <w:tcW w:w="2127" w:type="dxa"/>
                  <w:vMerge w:val="continue"/>
                  <w:noWrap w:val="0"/>
                  <w:vAlign w:val="center"/>
                </w:tcPr>
                <w:p>
                  <w:pPr>
                    <w:widowControl/>
                    <w:snapToGrid w:val="0"/>
                    <w:jc w:val="center"/>
                    <w:rPr>
                      <w:iCs/>
                      <w:szCs w:val="21"/>
                    </w:rPr>
                  </w:pPr>
                </w:p>
              </w:tc>
              <w:tc>
                <w:tcPr>
                  <w:tcW w:w="1286" w:type="dxa"/>
                  <w:noWrap w:val="0"/>
                  <w:vAlign w:val="center"/>
                </w:tcPr>
                <w:p>
                  <w:pPr>
                    <w:widowControl/>
                    <w:snapToGrid w:val="0"/>
                    <w:jc w:val="center"/>
                    <w:rPr>
                      <w:kern w:val="0"/>
                      <w:szCs w:val="21"/>
                    </w:rPr>
                  </w:pPr>
                  <w:r>
                    <w:rPr>
                      <w:kern w:val="0"/>
                      <w:szCs w:val="21"/>
                    </w:rPr>
                    <w:t>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铅</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widowControl/>
                    <w:snapToGrid w:val="0"/>
                    <w:ind w:left="315" w:hanging="315"/>
                    <w:jc w:val="center"/>
                    <w:rPr>
                      <w:kern w:val="0"/>
                      <w:szCs w:val="21"/>
                    </w:rPr>
                  </w:pPr>
                </w:p>
              </w:tc>
              <w:tc>
                <w:tcPr>
                  <w:tcW w:w="1286" w:type="dxa"/>
                  <w:noWrap w:val="0"/>
                  <w:vAlign w:val="center"/>
                </w:tcPr>
                <w:p>
                  <w:pPr>
                    <w:widowControl/>
                    <w:snapToGrid w:val="0"/>
                    <w:jc w:val="center"/>
                    <w:rPr>
                      <w:kern w:val="0"/>
                      <w:szCs w:val="21"/>
                    </w:rPr>
                  </w:pPr>
                  <w:r>
                    <w:rPr>
                      <w:kern w:val="0"/>
                      <w:szCs w:val="21"/>
                    </w:rPr>
                    <w:t>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镍</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widowControl/>
                    <w:snapToGrid w:val="0"/>
                    <w:ind w:left="315" w:hanging="315"/>
                    <w:jc w:val="center"/>
                    <w:rPr>
                      <w:kern w:val="0"/>
                      <w:szCs w:val="21"/>
                    </w:rPr>
                  </w:pPr>
                </w:p>
              </w:tc>
              <w:tc>
                <w:tcPr>
                  <w:tcW w:w="1286" w:type="dxa"/>
                  <w:noWrap w:val="0"/>
                  <w:vAlign w:val="center"/>
                </w:tcPr>
                <w:p>
                  <w:pPr>
                    <w:widowControl/>
                    <w:snapToGrid w:val="0"/>
                    <w:jc w:val="center"/>
                    <w:rPr>
                      <w:kern w:val="0"/>
                      <w:szCs w:val="21"/>
                    </w:rPr>
                  </w:pPr>
                  <w:r>
                    <w:rPr>
                      <w:kern w:val="0"/>
                      <w:szCs w:val="21"/>
                    </w:rPr>
                    <w:t>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铬</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widowControl/>
                    <w:snapToGrid w:val="0"/>
                    <w:ind w:left="315" w:hanging="315"/>
                    <w:jc w:val="center"/>
                    <w:rPr>
                      <w:kern w:val="0"/>
                      <w:szCs w:val="21"/>
                    </w:rPr>
                  </w:pPr>
                </w:p>
              </w:tc>
              <w:tc>
                <w:tcPr>
                  <w:tcW w:w="1286" w:type="dxa"/>
                  <w:noWrap w:val="0"/>
                  <w:vAlign w:val="center"/>
                </w:tcPr>
                <w:p>
                  <w:pPr>
                    <w:widowControl/>
                    <w:snapToGrid w:val="0"/>
                    <w:jc w:val="center"/>
                    <w:rPr>
                      <w:kern w:val="0"/>
                      <w:szCs w:val="21"/>
                    </w:rPr>
                  </w:pPr>
                  <w:r>
                    <w:rPr>
                      <w:kern w:val="0"/>
                      <w:szCs w:val="21"/>
                    </w:rPr>
                    <w:t>4mg/kg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六价铬</w:t>
                  </w:r>
                </w:p>
              </w:tc>
              <w:tc>
                <w:tcPr>
                  <w:tcW w:w="2409" w:type="dxa"/>
                  <w:noWrap w:val="0"/>
                  <w:vAlign w:val="center"/>
                </w:tcPr>
                <w:p>
                  <w:pPr>
                    <w:jc w:val="center"/>
                    <w:rPr>
                      <w:szCs w:val="21"/>
                    </w:rPr>
                  </w:pPr>
                  <w:r>
                    <w:rPr>
                      <w:szCs w:val="21"/>
                    </w:rPr>
                    <w:t>土壤和沉积物 六价铬的测定 碱溶液提取-火焰原子吸收分光光度法</w:t>
                  </w:r>
                </w:p>
              </w:tc>
              <w:tc>
                <w:tcPr>
                  <w:tcW w:w="1701" w:type="dxa"/>
                  <w:noWrap w:val="0"/>
                  <w:vAlign w:val="center"/>
                </w:tcPr>
                <w:p>
                  <w:pPr>
                    <w:pStyle w:val="897"/>
                    <w:snapToGrid w:val="0"/>
                    <w:spacing w:before="0" w:after="0"/>
                    <w:ind w:left="315" w:hanging="315"/>
                    <w:rPr>
                      <w:rFonts w:cs="Times New Roman"/>
                      <w:kern w:val="0"/>
                      <w:sz w:val="21"/>
                      <w:szCs w:val="21"/>
                    </w:rPr>
                  </w:pPr>
                  <w:r>
                    <w:rPr>
                      <w:rFonts w:cs="Times New Roman"/>
                      <w:kern w:val="0"/>
                      <w:sz w:val="21"/>
                      <w:szCs w:val="21"/>
                    </w:rPr>
                    <w:t>HJ 1082-2019</w:t>
                  </w:r>
                </w:p>
              </w:tc>
              <w:tc>
                <w:tcPr>
                  <w:tcW w:w="2127" w:type="dxa"/>
                  <w:vMerge w:val="continue"/>
                  <w:noWrap w:val="0"/>
                  <w:vAlign w:val="center"/>
                </w:tcPr>
                <w:p>
                  <w:pPr>
                    <w:widowControl/>
                    <w:snapToGrid w:val="0"/>
                    <w:jc w:val="center"/>
                    <w:rPr>
                      <w:kern w:val="0"/>
                      <w:szCs w:val="21"/>
                    </w:rPr>
                  </w:pPr>
                </w:p>
              </w:tc>
              <w:tc>
                <w:tcPr>
                  <w:tcW w:w="1286" w:type="dxa"/>
                  <w:noWrap w:val="0"/>
                  <w:vAlign w:val="center"/>
                </w:tcPr>
                <w:p>
                  <w:pPr>
                    <w:pStyle w:val="897"/>
                    <w:snapToGrid w:val="0"/>
                    <w:spacing w:before="0" w:after="0"/>
                    <w:rPr>
                      <w:rFonts w:cs="Times New Roman"/>
                      <w:kern w:val="0"/>
                      <w:sz w:val="21"/>
                      <w:szCs w:val="21"/>
                    </w:rPr>
                  </w:pPr>
                  <w:r>
                    <w:rPr>
                      <w:rFonts w:cs="Times New Roman"/>
                      <w:kern w:val="0"/>
                      <w:sz w:val="21"/>
                      <w:szCs w:val="21"/>
                    </w:rPr>
                    <w:t>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镉</w:t>
                  </w:r>
                </w:p>
              </w:tc>
              <w:tc>
                <w:tcPr>
                  <w:tcW w:w="2409" w:type="dxa"/>
                  <w:noWrap w:val="0"/>
                  <w:vAlign w:val="center"/>
                </w:tcPr>
                <w:p>
                  <w:pPr>
                    <w:autoSpaceDE w:val="0"/>
                    <w:autoSpaceDN w:val="0"/>
                    <w:adjustRightInd w:val="0"/>
                    <w:jc w:val="center"/>
                    <w:textAlignment w:val="center"/>
                    <w:rPr>
                      <w:szCs w:val="21"/>
                    </w:rPr>
                  </w:pPr>
                  <w:r>
                    <w:rPr>
                      <w:szCs w:val="21"/>
                    </w:rPr>
                    <w:t>土壤质量 铅、镉的测定 石墨炉原子吸收分光光度法</w:t>
                  </w:r>
                </w:p>
              </w:tc>
              <w:tc>
                <w:tcPr>
                  <w:tcW w:w="1701" w:type="dxa"/>
                  <w:noWrap w:val="0"/>
                  <w:vAlign w:val="center"/>
                </w:tcPr>
                <w:p>
                  <w:pPr>
                    <w:autoSpaceDE w:val="0"/>
                    <w:autoSpaceDN w:val="0"/>
                    <w:adjustRightInd w:val="0"/>
                    <w:jc w:val="center"/>
                    <w:textAlignment w:val="center"/>
                    <w:rPr>
                      <w:iCs/>
                      <w:szCs w:val="21"/>
                    </w:rPr>
                  </w:pPr>
                  <w:r>
                    <w:rPr>
                      <w:iCs/>
                      <w:szCs w:val="21"/>
                    </w:rPr>
                    <w:t>GB/T 17141-1997</w:t>
                  </w:r>
                </w:p>
              </w:tc>
              <w:tc>
                <w:tcPr>
                  <w:tcW w:w="2127" w:type="dxa"/>
                  <w:noWrap w:val="0"/>
                  <w:vAlign w:val="center"/>
                </w:tcPr>
                <w:p>
                  <w:pPr>
                    <w:jc w:val="center"/>
                    <w:rPr>
                      <w:szCs w:val="21"/>
                    </w:rPr>
                  </w:pPr>
                  <w:r>
                    <w:rPr>
                      <w:szCs w:val="21"/>
                    </w:rPr>
                    <w:t>PE600G型石墨炉原子吸收分光</w:t>
                  </w:r>
                </w:p>
                <w:p>
                  <w:pPr>
                    <w:jc w:val="center"/>
                    <w:rPr>
                      <w:szCs w:val="21"/>
                    </w:rPr>
                  </w:pPr>
                  <w:r>
                    <w:rPr>
                      <w:szCs w:val="21"/>
                    </w:rPr>
                    <w:t>光度计</w:t>
                  </w:r>
                </w:p>
                <w:p>
                  <w:pPr>
                    <w:tabs>
                      <w:tab w:val="left" w:pos="0"/>
                    </w:tabs>
                    <w:autoSpaceDN w:val="0"/>
                    <w:ind w:right="-90" w:rightChars="-43"/>
                    <w:jc w:val="center"/>
                    <w:textAlignment w:val="center"/>
                    <w:rPr>
                      <w:iCs/>
                      <w:szCs w:val="21"/>
                    </w:rPr>
                  </w:pPr>
                  <w:r>
                    <w:rPr>
                      <w:szCs w:val="21"/>
                    </w:rPr>
                    <w:t>（HFJ-047）</w:t>
                  </w:r>
                </w:p>
              </w:tc>
              <w:tc>
                <w:tcPr>
                  <w:tcW w:w="1286" w:type="dxa"/>
                  <w:noWrap w:val="0"/>
                  <w:vAlign w:val="center"/>
                </w:tcPr>
                <w:p>
                  <w:pPr>
                    <w:autoSpaceDE w:val="0"/>
                    <w:autoSpaceDN w:val="0"/>
                    <w:adjustRightInd w:val="0"/>
                    <w:jc w:val="center"/>
                    <w:textAlignment w:val="center"/>
                    <w:rPr>
                      <w:iCs/>
                      <w:szCs w:val="21"/>
                    </w:rPr>
                  </w:pPr>
                  <w:r>
                    <w:rPr>
                      <w:iCs/>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砷</w:t>
                  </w:r>
                </w:p>
              </w:tc>
              <w:tc>
                <w:tcPr>
                  <w:tcW w:w="2409"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土壤和沉积物 汞、砷、硒、铋、锑的测定 微波消解/原子荧光法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680-2013</w:t>
                  </w:r>
                </w:p>
              </w:tc>
              <w:tc>
                <w:tcPr>
                  <w:tcW w:w="2127" w:type="dxa"/>
                  <w:vMerge w:val="restart"/>
                  <w:noWrap w:val="0"/>
                  <w:vAlign w:val="center"/>
                </w:tcPr>
                <w:p>
                  <w:pPr>
                    <w:jc w:val="center"/>
                    <w:rPr>
                      <w:snapToGrid w:val="0"/>
                      <w:kern w:val="0"/>
                      <w:szCs w:val="21"/>
                    </w:rPr>
                  </w:pPr>
                  <w:r>
                    <w:rPr>
                      <w:snapToGrid w:val="0"/>
                      <w:kern w:val="0"/>
                      <w:szCs w:val="21"/>
                    </w:rPr>
                    <w:t>AFS-8500型原子</w:t>
                  </w:r>
                </w:p>
                <w:p>
                  <w:pPr>
                    <w:jc w:val="center"/>
                    <w:rPr>
                      <w:snapToGrid w:val="0"/>
                      <w:kern w:val="0"/>
                      <w:szCs w:val="21"/>
                    </w:rPr>
                  </w:pPr>
                  <w:r>
                    <w:rPr>
                      <w:snapToGrid w:val="0"/>
                      <w:kern w:val="0"/>
                      <w:szCs w:val="21"/>
                    </w:rPr>
                    <w:t>荧光光度计</w:t>
                  </w:r>
                </w:p>
                <w:p>
                  <w:pPr>
                    <w:jc w:val="center"/>
                    <w:rPr>
                      <w:szCs w:val="21"/>
                    </w:rPr>
                  </w:pPr>
                  <w:r>
                    <w:rPr>
                      <w:snapToGrid w:val="0"/>
                      <w:kern w:val="0"/>
                      <w:szCs w:val="21"/>
                    </w:rPr>
                    <w:t>（</w:t>
                  </w:r>
                  <w:r>
                    <w:rPr>
                      <w:szCs w:val="21"/>
                    </w:rPr>
                    <w:t>HFJ-095）</w:t>
                  </w:r>
                </w:p>
              </w:tc>
              <w:tc>
                <w:tcPr>
                  <w:tcW w:w="1286" w:type="dxa"/>
                  <w:noWrap w:val="0"/>
                  <w:vAlign w:val="center"/>
                </w:tcPr>
                <w:p>
                  <w:pPr>
                    <w:pStyle w:val="897"/>
                    <w:snapToGrid w:val="0"/>
                    <w:spacing w:before="0" w:after="0"/>
                    <w:rPr>
                      <w:rFonts w:cs="Times New Roman"/>
                      <w:kern w:val="0"/>
                      <w:sz w:val="21"/>
                      <w:szCs w:val="21"/>
                    </w:rPr>
                  </w:pPr>
                  <w:r>
                    <w:rPr>
                      <w:rFonts w:cs="Times New Roman"/>
                      <w:iCs/>
                      <w:sz w:val="21"/>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汞</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pStyle w:val="897"/>
                    <w:snapToGrid w:val="0"/>
                    <w:spacing w:before="0" w:after="0"/>
                    <w:rPr>
                      <w:rFonts w:cs="Times New Roman"/>
                      <w:kern w:val="0"/>
                      <w:sz w:val="21"/>
                      <w:szCs w:val="21"/>
                    </w:rPr>
                  </w:pPr>
                  <w:r>
                    <w:rPr>
                      <w:rFonts w:cs="Times New Roman"/>
                      <w:kern w:val="0"/>
                      <w:sz w:val="21"/>
                      <w:szCs w:val="21"/>
                    </w:rPr>
                    <w:t>0.002mg/kg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pStyle w:val="897"/>
                    <w:snapToGrid w:val="0"/>
                    <w:spacing w:before="0" w:after="0"/>
                    <w:rPr>
                      <w:rFonts w:cs="Times New Roman"/>
                      <w:sz w:val="21"/>
                      <w:szCs w:val="21"/>
                    </w:rPr>
                  </w:pPr>
                  <w:r>
                    <w:rPr>
                      <w:rFonts w:cs="Times New Roman"/>
                      <w:sz w:val="21"/>
                      <w:szCs w:val="21"/>
                    </w:rPr>
                    <w:t>四氯化碳</w:t>
                  </w:r>
                </w:p>
              </w:tc>
              <w:tc>
                <w:tcPr>
                  <w:tcW w:w="2409"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土壤和沉积物 挥发性有机物的测定 顶空/气相色谱法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741-2015</w:t>
                  </w:r>
                </w:p>
              </w:tc>
              <w:tc>
                <w:tcPr>
                  <w:tcW w:w="2127"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Agilent 6890N型气相色谱仪</w:t>
                  </w:r>
                </w:p>
                <w:p>
                  <w:pPr>
                    <w:pStyle w:val="897"/>
                    <w:snapToGrid w:val="0"/>
                    <w:spacing w:before="0" w:after="0"/>
                    <w:rPr>
                      <w:rFonts w:cs="Times New Roman"/>
                      <w:kern w:val="0"/>
                      <w:sz w:val="21"/>
                      <w:szCs w:val="21"/>
                    </w:rPr>
                  </w:pPr>
                  <w:r>
                    <w:rPr>
                      <w:rFonts w:cs="Times New Roman"/>
                      <w:kern w:val="0"/>
                      <w:sz w:val="21"/>
                      <w:szCs w:val="21"/>
                    </w:rPr>
                    <w:t>(HFJ-056</w:t>
                  </w:r>
                  <w:r>
                    <w:rPr>
                      <w:rFonts w:cs="Times New Roman"/>
                      <w:sz w:val="21"/>
                      <w:szCs w:val="21"/>
                    </w:rPr>
                    <w:t>)</w:t>
                  </w:r>
                </w:p>
              </w:tc>
              <w:tc>
                <w:tcPr>
                  <w:tcW w:w="1286" w:type="dxa"/>
                  <w:noWrap w:val="0"/>
                  <w:vAlign w:val="center"/>
                </w:tcPr>
                <w:p>
                  <w:pPr>
                    <w:pStyle w:val="897"/>
                    <w:snapToGrid w:val="0"/>
                    <w:spacing w:before="0" w:after="0"/>
                    <w:rPr>
                      <w:rFonts w:cs="Times New Roman"/>
                      <w:kern w:val="0"/>
                      <w:sz w:val="21"/>
                      <w:szCs w:val="21"/>
                    </w:rPr>
                  </w:pPr>
                  <w:r>
                    <w:rPr>
                      <w:rFonts w:cs="Times New Roman"/>
                      <w:kern w:val="0"/>
                      <w:sz w:val="21"/>
                      <w:szCs w:val="21"/>
                    </w:rPr>
                    <w:t>0.03mg/kg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氯仿</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widowControl/>
                    <w:snapToGrid w:val="0"/>
                    <w:ind w:left="315" w:hanging="315"/>
                    <w:jc w:val="center"/>
                    <w:rPr>
                      <w:kern w:val="0"/>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1,1-二氯乙烷</w:t>
                  </w:r>
                </w:p>
              </w:tc>
              <w:tc>
                <w:tcPr>
                  <w:tcW w:w="2409"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土壤和沉积物 挥发性有机物的测定 顶空/气相色谱法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741-2015</w:t>
                  </w:r>
                </w:p>
              </w:tc>
              <w:tc>
                <w:tcPr>
                  <w:tcW w:w="2127"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Agilent 6890N型气相色谱仪</w:t>
                  </w:r>
                </w:p>
                <w:p>
                  <w:pPr>
                    <w:pStyle w:val="897"/>
                    <w:snapToGrid w:val="0"/>
                    <w:spacing w:before="0" w:after="0"/>
                    <w:rPr>
                      <w:rFonts w:cs="Times New Roman"/>
                      <w:kern w:val="0"/>
                      <w:sz w:val="21"/>
                      <w:szCs w:val="21"/>
                    </w:rPr>
                  </w:pPr>
                  <w:r>
                    <w:rPr>
                      <w:rFonts w:cs="Times New Roman"/>
                      <w:kern w:val="0"/>
                      <w:sz w:val="21"/>
                      <w:szCs w:val="21"/>
                    </w:rPr>
                    <w:t>(HFJ-056</w:t>
                  </w:r>
                  <w:r>
                    <w:rPr>
                      <w:rFonts w:cs="Times New Roman"/>
                      <w:sz w:val="21"/>
                      <w:szCs w:val="21"/>
                    </w:rPr>
                    <w:t>)</w:t>
                  </w: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4"/>
                      <w:szCs w:val="21"/>
                    </w:rPr>
                  </w:pPr>
                  <w:r>
                    <w:rPr>
                      <w:spacing w:val="-4"/>
                      <w:szCs w:val="21"/>
                    </w:rPr>
                    <w:t>1,2-二氯乙烷，苯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1,1-二氯乙烯</w:t>
                  </w:r>
                </w:p>
              </w:tc>
              <w:tc>
                <w:tcPr>
                  <w:tcW w:w="2409" w:type="dxa"/>
                  <w:vMerge w:val="restart"/>
                  <w:noWrap w:val="0"/>
                  <w:vAlign w:val="center"/>
                </w:tcPr>
                <w:p>
                  <w:pPr>
                    <w:pStyle w:val="897"/>
                    <w:snapToGrid w:val="0"/>
                    <w:spacing w:before="0" w:after="0"/>
                    <w:rPr>
                      <w:rFonts w:cs="Times New Roman"/>
                      <w:sz w:val="21"/>
                      <w:szCs w:val="21"/>
                    </w:rPr>
                  </w:pPr>
                  <w:r>
                    <w:rPr>
                      <w:rFonts w:cs="Times New Roman"/>
                      <w:kern w:val="0"/>
                      <w:sz w:val="21"/>
                      <w:szCs w:val="21"/>
                    </w:rPr>
                    <w:t>土壤和沉积物 挥发性有机物的测定 顶空/气相色谱法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741-2015</w:t>
                  </w:r>
                </w:p>
              </w:tc>
              <w:tc>
                <w:tcPr>
                  <w:tcW w:w="2127"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Agilent 6890N型气相色谱仪</w:t>
                  </w:r>
                </w:p>
                <w:p>
                  <w:pPr>
                    <w:pStyle w:val="897"/>
                    <w:snapToGrid w:val="0"/>
                    <w:spacing w:before="0" w:after="0"/>
                    <w:rPr>
                      <w:rFonts w:cs="Times New Roman"/>
                      <w:sz w:val="21"/>
                      <w:szCs w:val="21"/>
                    </w:rPr>
                  </w:pPr>
                  <w:r>
                    <w:rPr>
                      <w:rFonts w:cs="Times New Roman"/>
                      <w:kern w:val="0"/>
                      <w:sz w:val="21"/>
                      <w:szCs w:val="21"/>
                    </w:rPr>
                    <w:t>(HFJ-056</w:t>
                  </w:r>
                  <w:r>
                    <w:rPr>
                      <w:rFonts w:cs="Times New Roman"/>
                      <w:sz w:val="21"/>
                      <w:szCs w:val="21"/>
                    </w:rPr>
                    <w:t>)</w:t>
                  </w:r>
                </w:p>
              </w:tc>
              <w:tc>
                <w:tcPr>
                  <w:tcW w:w="1286" w:type="dxa"/>
                  <w:noWrap w:val="0"/>
                  <w:vAlign w:val="center"/>
                </w:tcPr>
                <w:p>
                  <w:pPr>
                    <w:jc w:val="center"/>
                    <w:rPr>
                      <w:szCs w:val="21"/>
                    </w:rPr>
                  </w:pPr>
                  <w:r>
                    <w:rPr>
                      <w:kern w:val="0"/>
                      <w:szCs w:val="21"/>
                    </w:rPr>
                    <w:t>0.01mg/kg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8"/>
                      <w:szCs w:val="21"/>
                    </w:rPr>
                  </w:pPr>
                  <w:r>
                    <w:rPr>
                      <w:spacing w:val="-8"/>
                      <w:szCs w:val="21"/>
                    </w:rPr>
                    <w:t>顺-1,2-二氯乙烯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8"/>
                      <w:szCs w:val="21"/>
                    </w:rPr>
                  </w:pPr>
                  <w:r>
                    <w:rPr>
                      <w:spacing w:val="-8"/>
                      <w:szCs w:val="21"/>
                    </w:rPr>
                    <w:t>反-1,2-二氯乙烯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8"/>
                      <w:szCs w:val="21"/>
                    </w:rPr>
                  </w:pPr>
                  <w:r>
                    <w:rPr>
                      <w:szCs w:val="21"/>
                    </w:rPr>
                    <w:t>二氯甲烷</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1,2-二氯丙烷</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4"/>
                      <w:szCs w:val="21"/>
                    </w:rPr>
                  </w:pPr>
                  <w:r>
                    <w:rPr>
                      <w:spacing w:val="-4"/>
                      <w:szCs w:val="21"/>
                    </w:rPr>
                    <w:t>1,1,1,2-四氯乙烷</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4"/>
                      <w:szCs w:val="21"/>
                    </w:rPr>
                  </w:pPr>
                  <w:r>
                    <w:rPr>
                      <w:spacing w:val="-4"/>
                      <w:szCs w:val="21"/>
                    </w:rPr>
                    <w:t>1,1,2,2-四氯乙烷</w:t>
                  </w:r>
                </w:p>
              </w:tc>
              <w:tc>
                <w:tcPr>
                  <w:tcW w:w="2409" w:type="dxa"/>
                  <w:vMerge w:val="restart"/>
                  <w:noWrap w:val="0"/>
                  <w:vAlign w:val="center"/>
                </w:tcPr>
                <w:p>
                  <w:pPr>
                    <w:pStyle w:val="897"/>
                    <w:snapToGrid w:val="0"/>
                    <w:spacing w:before="0" w:after="0"/>
                    <w:rPr>
                      <w:rFonts w:cs="Times New Roman"/>
                      <w:sz w:val="21"/>
                      <w:szCs w:val="21"/>
                    </w:rPr>
                  </w:pPr>
                  <w:r>
                    <w:rPr>
                      <w:rFonts w:cs="Times New Roman"/>
                      <w:kern w:val="0"/>
                      <w:sz w:val="21"/>
                      <w:szCs w:val="21"/>
                    </w:rPr>
                    <w:t>土壤和沉积物 挥发性有机物的测定 顶空/气相色谱法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741-2015</w:t>
                  </w:r>
                </w:p>
              </w:tc>
              <w:tc>
                <w:tcPr>
                  <w:tcW w:w="2127"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Agilent 6890N型气相色谱仪</w:t>
                  </w:r>
                </w:p>
                <w:p>
                  <w:pPr>
                    <w:pStyle w:val="897"/>
                    <w:snapToGrid w:val="0"/>
                    <w:spacing w:before="0" w:after="0"/>
                    <w:rPr>
                      <w:rFonts w:cs="Times New Roman"/>
                      <w:sz w:val="21"/>
                      <w:szCs w:val="21"/>
                    </w:rPr>
                  </w:pPr>
                  <w:r>
                    <w:rPr>
                      <w:rFonts w:cs="Times New Roman"/>
                      <w:kern w:val="0"/>
                      <w:sz w:val="21"/>
                      <w:szCs w:val="21"/>
                    </w:rPr>
                    <w:t>(HFJ-056</w:t>
                  </w:r>
                  <w:r>
                    <w:rPr>
                      <w:rFonts w:cs="Times New Roman"/>
                      <w:sz w:val="21"/>
                      <w:szCs w:val="21"/>
                    </w:rPr>
                    <w:t>)</w:t>
                  </w: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四氯乙烯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1,1,1-三氯乙烷</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kern w:val="0"/>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1,1,2-三氯乙烷</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kern w:val="0"/>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三氯乙烯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1,2,3-三氯丙烷</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kern w:val="0"/>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氯苯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0.005mg/kg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1,2-二氯苯</w:t>
                  </w:r>
                </w:p>
              </w:tc>
              <w:tc>
                <w:tcPr>
                  <w:tcW w:w="2409" w:type="dxa"/>
                  <w:vMerge w:val="continue"/>
                  <w:noWrap w:val="0"/>
                  <w:vAlign w:val="center"/>
                </w:tcPr>
                <w:p>
                  <w:pPr>
                    <w:pStyle w:val="897"/>
                    <w:snapToGrid w:val="0"/>
                    <w:spacing w:before="0" w:after="0"/>
                    <w:rPr>
                      <w:rFonts w:cs="Times New Roman"/>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1,4-二氯苯</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kern w:val="0"/>
                      <w:sz w:val="21"/>
                      <w:szCs w:val="21"/>
                    </w:rPr>
                  </w:pPr>
                </w:p>
              </w:tc>
              <w:tc>
                <w:tcPr>
                  <w:tcW w:w="1286" w:type="dxa"/>
                  <w:noWrap w:val="0"/>
                  <w:vAlign w:val="center"/>
                </w:tcPr>
                <w:p>
                  <w:pPr>
                    <w:jc w:val="center"/>
                    <w:rPr>
                      <w:szCs w:val="21"/>
                    </w:rPr>
                  </w:pPr>
                  <w:r>
                    <w:rPr>
                      <w:kern w:val="0"/>
                      <w:szCs w:val="21"/>
                    </w:rPr>
                    <w:t>0.008mg/kg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乙苯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甲苯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间，对二甲苯</w:t>
                  </w:r>
                </w:p>
              </w:tc>
              <w:tc>
                <w:tcPr>
                  <w:tcW w:w="2409" w:type="dxa"/>
                  <w:vMerge w:val="continue"/>
                  <w:noWrap w:val="0"/>
                  <w:vAlign w:val="center"/>
                </w:tcPr>
                <w:p>
                  <w:pPr>
                    <w:pStyle w:val="897"/>
                    <w:snapToGrid w:val="0"/>
                    <w:spacing w:before="0" w:after="0"/>
                    <w:rPr>
                      <w:rFonts w:cs="Times New Roman"/>
                      <w:kern w:val="0"/>
                      <w:sz w:val="21"/>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pStyle w:val="897"/>
                    <w:snapToGrid w:val="0"/>
                    <w:spacing w:before="0" w:after="0"/>
                    <w:rPr>
                      <w:rFonts w:cs="Times New Roman"/>
                      <w:kern w:val="0"/>
                      <w:sz w:val="21"/>
                      <w:szCs w:val="21"/>
                    </w:rPr>
                  </w:pPr>
                </w:p>
              </w:tc>
              <w:tc>
                <w:tcPr>
                  <w:tcW w:w="1286" w:type="dxa"/>
                  <w:noWrap w:val="0"/>
                  <w:vAlign w:val="center"/>
                </w:tcPr>
                <w:p>
                  <w:pPr>
                    <w:jc w:val="center"/>
                    <w:rPr>
                      <w:szCs w:val="21"/>
                    </w:rPr>
                  </w:pPr>
                  <w:r>
                    <w:rPr>
                      <w:kern w:val="0"/>
                      <w:szCs w:val="21"/>
                    </w:rPr>
                    <w:t>0.009mg/kg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pacing w:val="-8"/>
                      <w:szCs w:val="21"/>
                    </w:rPr>
                  </w:pPr>
                  <w:r>
                    <w:rPr>
                      <w:spacing w:val="-8"/>
                      <w:szCs w:val="21"/>
                    </w:rPr>
                    <w:t>邻二甲苯，苯乙烯</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苯并[a]芘</w:t>
                  </w:r>
                </w:p>
              </w:tc>
              <w:tc>
                <w:tcPr>
                  <w:tcW w:w="2409" w:type="dxa"/>
                  <w:vMerge w:val="restart"/>
                  <w:noWrap w:val="0"/>
                  <w:vAlign w:val="center"/>
                </w:tcPr>
                <w:p>
                  <w:pPr>
                    <w:jc w:val="center"/>
                    <w:rPr>
                      <w:szCs w:val="21"/>
                    </w:rPr>
                  </w:pPr>
                  <w:r>
                    <w:rPr>
                      <w:kern w:val="0"/>
                      <w:szCs w:val="21"/>
                    </w:rPr>
                    <w:t>土壤和沉积物 半挥发性有机物的测定 气相色谱-质谱法</w:t>
                  </w:r>
                </w:p>
              </w:tc>
              <w:tc>
                <w:tcPr>
                  <w:tcW w:w="1701" w:type="dxa"/>
                  <w:vMerge w:val="restart"/>
                  <w:noWrap w:val="0"/>
                  <w:vAlign w:val="center"/>
                </w:tcPr>
                <w:p>
                  <w:pPr>
                    <w:pStyle w:val="897"/>
                    <w:snapToGrid w:val="0"/>
                    <w:spacing w:before="0" w:after="0"/>
                    <w:rPr>
                      <w:rFonts w:cs="Times New Roman"/>
                      <w:kern w:val="0"/>
                      <w:sz w:val="21"/>
                      <w:szCs w:val="21"/>
                    </w:rPr>
                  </w:pPr>
                  <w:r>
                    <w:rPr>
                      <w:rFonts w:cs="Times New Roman"/>
                      <w:kern w:val="0"/>
                      <w:sz w:val="21"/>
                      <w:szCs w:val="21"/>
                    </w:rPr>
                    <w:t>HJ 834-2017</w:t>
                  </w:r>
                </w:p>
              </w:tc>
              <w:tc>
                <w:tcPr>
                  <w:tcW w:w="2127" w:type="dxa"/>
                  <w:vMerge w:val="restart"/>
                  <w:noWrap w:val="0"/>
                  <w:vAlign w:val="center"/>
                </w:tcPr>
                <w:p>
                  <w:pPr>
                    <w:jc w:val="center"/>
                    <w:rPr>
                      <w:szCs w:val="21"/>
                    </w:rPr>
                  </w:pPr>
                  <w:r>
                    <w:rPr>
                      <w:szCs w:val="21"/>
                    </w:rPr>
                    <w:t>GC-MS 3200型气相色谱质谱联用仪</w:t>
                  </w:r>
                </w:p>
                <w:p>
                  <w:pPr>
                    <w:jc w:val="center"/>
                    <w:rPr>
                      <w:szCs w:val="21"/>
                    </w:rPr>
                  </w:pPr>
                  <w:r>
                    <w:rPr>
                      <w:szCs w:val="21"/>
                    </w:rPr>
                    <w:t>(HFJ-097)</w:t>
                  </w:r>
                </w:p>
              </w:tc>
              <w:tc>
                <w:tcPr>
                  <w:tcW w:w="1286" w:type="dxa"/>
                  <w:noWrap w:val="0"/>
                  <w:vAlign w:val="center"/>
                </w:tcPr>
                <w:p>
                  <w:pPr>
                    <w:jc w:val="center"/>
                    <w:rPr>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苯并[b]荧蒽</w:t>
                  </w:r>
                </w:p>
              </w:tc>
              <w:tc>
                <w:tcPr>
                  <w:tcW w:w="2409" w:type="dxa"/>
                  <w:vMerge w:val="continue"/>
                  <w:noWrap w:val="0"/>
                  <w:vAlign w:val="center"/>
                </w:tcPr>
                <w:p>
                  <w:pPr>
                    <w:jc w:val="center"/>
                    <w:rPr>
                      <w:kern w:val="0"/>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jc w:val="center"/>
                    <w:rPr>
                      <w:szCs w:val="21"/>
                    </w:rPr>
                  </w:pPr>
                </w:p>
              </w:tc>
              <w:tc>
                <w:tcPr>
                  <w:tcW w:w="1286" w:type="dxa"/>
                  <w:noWrap w:val="0"/>
                  <w:vAlign w:val="center"/>
                </w:tcPr>
                <w:p>
                  <w:pPr>
                    <w:jc w:val="center"/>
                    <w:rPr>
                      <w:kern w:val="0"/>
                      <w:szCs w:val="21"/>
                    </w:rPr>
                  </w:pPr>
                  <w:r>
                    <w:rPr>
                      <w:kern w:val="0"/>
                      <w:szCs w:val="21"/>
                    </w:rPr>
                    <w:t>0.2mg/kg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苯并[k]荧蒽</w:t>
                  </w:r>
                </w:p>
              </w:tc>
              <w:tc>
                <w:tcPr>
                  <w:tcW w:w="2409" w:type="dxa"/>
                  <w:vMerge w:val="continue"/>
                  <w:noWrap w:val="0"/>
                  <w:vAlign w:val="center"/>
                </w:tcPr>
                <w:p>
                  <w:pPr>
                    <w:jc w:val="center"/>
                    <w:rPr>
                      <w:kern w:val="0"/>
                      <w:szCs w:val="21"/>
                    </w:rPr>
                  </w:pPr>
                </w:p>
              </w:tc>
              <w:tc>
                <w:tcPr>
                  <w:tcW w:w="1701" w:type="dxa"/>
                  <w:vMerge w:val="continue"/>
                  <w:noWrap w:val="0"/>
                  <w:vAlign w:val="center"/>
                </w:tcPr>
                <w:p>
                  <w:pPr>
                    <w:pStyle w:val="897"/>
                    <w:snapToGrid w:val="0"/>
                    <w:spacing w:before="0" w:after="0"/>
                    <w:rPr>
                      <w:rFonts w:cs="Times New Roman"/>
                      <w:kern w:val="0"/>
                      <w:sz w:val="21"/>
                      <w:szCs w:val="21"/>
                    </w:rPr>
                  </w:pPr>
                </w:p>
              </w:tc>
              <w:tc>
                <w:tcPr>
                  <w:tcW w:w="2127" w:type="dxa"/>
                  <w:vMerge w:val="continue"/>
                  <w:noWrap w:val="0"/>
                  <w:vAlign w:val="center"/>
                </w:tcPr>
                <w:p>
                  <w:pPr>
                    <w:jc w:val="center"/>
                    <w:rPr>
                      <w:szCs w:val="21"/>
                    </w:rPr>
                  </w:pPr>
                </w:p>
              </w:tc>
              <w:tc>
                <w:tcPr>
                  <w:tcW w:w="1286" w:type="dxa"/>
                  <w:noWrap w:val="0"/>
                  <w:vAlign w:val="center"/>
                </w:tcPr>
                <w:p>
                  <w:pPr>
                    <w:jc w:val="center"/>
                    <w:rPr>
                      <w:kern w:val="0"/>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䓛</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二苯并[a,h]蒽</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茚并[1,2,3-cd]芘</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萘</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苯并[a]蒽</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0.1mg/kg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jc w:val="center"/>
                    <w:rPr>
                      <w:szCs w:val="21"/>
                    </w:rPr>
                  </w:pPr>
                  <w:r>
                    <w:rPr>
                      <w:szCs w:val="21"/>
                    </w:rPr>
                    <w:t>石油烃</w:t>
                  </w:r>
                  <w:r>
                    <w:rPr>
                      <w:kern w:val="0"/>
                      <w:szCs w:val="21"/>
                    </w:rPr>
                    <w:t>（C</w:t>
                  </w:r>
                  <w:r>
                    <w:rPr>
                      <w:kern w:val="0"/>
                      <w:szCs w:val="21"/>
                      <w:vertAlign w:val="subscript"/>
                    </w:rPr>
                    <w:t>10</w:t>
                  </w:r>
                  <w:r>
                    <w:rPr>
                      <w:kern w:val="0"/>
                      <w:szCs w:val="21"/>
                    </w:rPr>
                    <w:t>-C</w:t>
                  </w:r>
                  <w:r>
                    <w:rPr>
                      <w:kern w:val="0"/>
                      <w:szCs w:val="21"/>
                      <w:vertAlign w:val="subscript"/>
                    </w:rPr>
                    <w:t>40</w:t>
                  </w:r>
                  <w:r>
                    <w:rPr>
                      <w:kern w:val="0"/>
                      <w:szCs w:val="21"/>
                    </w:rPr>
                    <w:t>）</w:t>
                  </w:r>
                </w:p>
              </w:tc>
              <w:tc>
                <w:tcPr>
                  <w:tcW w:w="2409" w:type="dxa"/>
                  <w:noWrap w:val="0"/>
                  <w:vAlign w:val="center"/>
                </w:tcPr>
                <w:p>
                  <w:pPr>
                    <w:pStyle w:val="897"/>
                    <w:spacing w:before="0" w:after="0"/>
                    <w:rPr>
                      <w:rFonts w:cs="Times New Roman"/>
                      <w:kern w:val="0"/>
                      <w:sz w:val="21"/>
                      <w:szCs w:val="21"/>
                    </w:rPr>
                  </w:pPr>
                  <w:r>
                    <w:rPr>
                      <w:rFonts w:cs="Times New Roman"/>
                      <w:kern w:val="0"/>
                      <w:sz w:val="21"/>
                      <w:szCs w:val="21"/>
                    </w:rPr>
                    <w:t>土壤和沉积物 石油烃（C</w:t>
                  </w:r>
                  <w:r>
                    <w:rPr>
                      <w:rFonts w:cs="Times New Roman"/>
                      <w:kern w:val="0"/>
                      <w:sz w:val="21"/>
                      <w:szCs w:val="21"/>
                      <w:vertAlign w:val="subscript"/>
                    </w:rPr>
                    <w:t>10</w:t>
                  </w:r>
                  <w:r>
                    <w:rPr>
                      <w:rFonts w:cs="Times New Roman"/>
                      <w:kern w:val="0"/>
                      <w:sz w:val="21"/>
                      <w:szCs w:val="21"/>
                    </w:rPr>
                    <w:t>-C</w:t>
                  </w:r>
                  <w:r>
                    <w:rPr>
                      <w:rFonts w:cs="Times New Roman"/>
                      <w:kern w:val="0"/>
                      <w:sz w:val="21"/>
                      <w:szCs w:val="21"/>
                      <w:vertAlign w:val="subscript"/>
                    </w:rPr>
                    <w:t>40</w:t>
                  </w:r>
                  <w:r>
                    <w:rPr>
                      <w:rFonts w:cs="Times New Roman"/>
                      <w:kern w:val="0"/>
                      <w:sz w:val="21"/>
                      <w:szCs w:val="21"/>
                    </w:rPr>
                    <w:t>）的测定 气相色谱法</w:t>
                  </w:r>
                </w:p>
              </w:tc>
              <w:tc>
                <w:tcPr>
                  <w:tcW w:w="1701" w:type="dxa"/>
                  <w:noWrap w:val="0"/>
                  <w:vAlign w:val="center"/>
                </w:tcPr>
                <w:p>
                  <w:pPr>
                    <w:pStyle w:val="897"/>
                    <w:spacing w:before="0" w:after="0"/>
                    <w:rPr>
                      <w:rFonts w:cs="Times New Roman"/>
                      <w:kern w:val="0"/>
                      <w:sz w:val="21"/>
                      <w:szCs w:val="21"/>
                    </w:rPr>
                  </w:pPr>
                  <w:r>
                    <w:rPr>
                      <w:rFonts w:cs="Times New Roman"/>
                      <w:kern w:val="0"/>
                      <w:sz w:val="21"/>
                      <w:szCs w:val="21"/>
                    </w:rPr>
                    <w:t>HJ 1021-2019</w:t>
                  </w:r>
                </w:p>
              </w:tc>
              <w:tc>
                <w:tcPr>
                  <w:tcW w:w="2127" w:type="dxa"/>
                  <w:noWrap w:val="0"/>
                  <w:vAlign w:val="center"/>
                </w:tcPr>
                <w:p>
                  <w:pPr>
                    <w:jc w:val="center"/>
                    <w:rPr>
                      <w:szCs w:val="21"/>
                    </w:rPr>
                  </w:pPr>
                  <w:r>
                    <w:rPr>
                      <w:szCs w:val="21"/>
                    </w:rPr>
                    <w:t>Agilent 6890N型</w:t>
                  </w:r>
                </w:p>
                <w:p>
                  <w:pPr>
                    <w:jc w:val="center"/>
                    <w:rPr>
                      <w:szCs w:val="21"/>
                    </w:rPr>
                  </w:pPr>
                  <w:r>
                    <w:rPr>
                      <w:szCs w:val="21"/>
                    </w:rPr>
                    <w:t>气相色谱仪</w:t>
                  </w:r>
                </w:p>
                <w:p>
                  <w:pPr>
                    <w:jc w:val="center"/>
                    <w:rPr>
                      <w:szCs w:val="21"/>
                    </w:rPr>
                  </w:pPr>
                  <w:r>
                    <w:rPr>
                      <w:szCs w:val="21"/>
                    </w:rPr>
                    <w:t>（HFJ-056）</w:t>
                  </w:r>
                </w:p>
              </w:tc>
              <w:tc>
                <w:tcPr>
                  <w:tcW w:w="1286" w:type="dxa"/>
                  <w:noWrap w:val="0"/>
                  <w:vAlign w:val="center"/>
                </w:tcPr>
                <w:p>
                  <w:pPr>
                    <w:jc w:val="center"/>
                    <w:rPr>
                      <w:kern w:val="0"/>
                      <w:szCs w:val="21"/>
                    </w:rPr>
                  </w:pPr>
                  <w:r>
                    <w:rPr>
                      <w:kern w:val="0"/>
                      <w:szCs w:val="21"/>
                    </w:rPr>
                    <w:t>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jc w:val="center"/>
                    <w:rPr>
                      <w:szCs w:val="21"/>
                    </w:rPr>
                  </w:pPr>
                  <w:r>
                    <w:rPr>
                      <w:spacing w:val="-6"/>
                      <w:szCs w:val="21"/>
                    </w:rPr>
                    <w:t>石油烃（C</w:t>
                  </w:r>
                  <w:r>
                    <w:rPr>
                      <w:spacing w:val="-6"/>
                      <w:szCs w:val="21"/>
                      <w:vertAlign w:val="subscript"/>
                    </w:rPr>
                    <w:t>6</w:t>
                  </w:r>
                  <w:r>
                    <w:rPr>
                      <w:spacing w:val="-6"/>
                      <w:szCs w:val="21"/>
                    </w:rPr>
                    <w:t>-C</w:t>
                  </w:r>
                  <w:r>
                    <w:rPr>
                      <w:spacing w:val="-6"/>
                      <w:szCs w:val="21"/>
                      <w:vertAlign w:val="subscript"/>
                    </w:rPr>
                    <w:t>9</w:t>
                  </w:r>
                  <w:r>
                    <w:rPr>
                      <w:spacing w:val="-6"/>
                      <w:szCs w:val="21"/>
                    </w:rPr>
                    <w:t>）*</w:t>
                  </w:r>
                </w:p>
              </w:tc>
              <w:tc>
                <w:tcPr>
                  <w:tcW w:w="2409" w:type="dxa"/>
                  <w:noWrap w:val="0"/>
                  <w:vAlign w:val="center"/>
                </w:tcPr>
                <w:p>
                  <w:pPr>
                    <w:jc w:val="center"/>
                    <w:rPr>
                      <w:kern w:val="0"/>
                      <w:szCs w:val="21"/>
                    </w:rPr>
                  </w:pPr>
                  <w:r>
                    <w:rPr>
                      <w:szCs w:val="21"/>
                    </w:rPr>
                    <w:t>土壤和沉积物 石油烃（C</w:t>
                  </w:r>
                  <w:r>
                    <w:rPr>
                      <w:szCs w:val="21"/>
                      <w:vertAlign w:val="subscript"/>
                    </w:rPr>
                    <w:t>6</w:t>
                  </w:r>
                  <w:r>
                    <w:rPr>
                      <w:szCs w:val="21"/>
                    </w:rPr>
                    <w:t>-C</w:t>
                  </w:r>
                  <w:r>
                    <w:rPr>
                      <w:szCs w:val="21"/>
                      <w:vertAlign w:val="subscript"/>
                    </w:rPr>
                    <w:t>9</w:t>
                  </w:r>
                  <w:r>
                    <w:rPr>
                      <w:szCs w:val="21"/>
                    </w:rPr>
                    <w:t>）的测定 吹扫捕集/气相色谱法</w:t>
                  </w:r>
                </w:p>
              </w:tc>
              <w:tc>
                <w:tcPr>
                  <w:tcW w:w="1701" w:type="dxa"/>
                  <w:noWrap w:val="0"/>
                  <w:vAlign w:val="center"/>
                </w:tcPr>
                <w:p>
                  <w:pPr>
                    <w:jc w:val="center"/>
                    <w:rPr>
                      <w:kern w:val="0"/>
                      <w:szCs w:val="21"/>
                    </w:rPr>
                  </w:pPr>
                  <w:r>
                    <w:rPr>
                      <w:szCs w:val="21"/>
                    </w:rPr>
                    <w:t>HJ 1020-2019</w:t>
                  </w:r>
                </w:p>
              </w:tc>
              <w:tc>
                <w:tcPr>
                  <w:tcW w:w="2127" w:type="dxa"/>
                  <w:noWrap w:val="0"/>
                  <w:vAlign w:val="center"/>
                </w:tcPr>
                <w:p>
                  <w:pPr>
                    <w:jc w:val="center"/>
                    <w:rPr>
                      <w:szCs w:val="21"/>
                    </w:rPr>
                  </w:pPr>
                  <w:r>
                    <w:rPr>
                      <w:szCs w:val="21"/>
                    </w:rPr>
                    <w:t>Intuvo9000气相</w:t>
                  </w:r>
                </w:p>
                <w:p>
                  <w:pPr>
                    <w:jc w:val="center"/>
                    <w:rPr>
                      <w:szCs w:val="21"/>
                    </w:rPr>
                  </w:pPr>
                  <w:r>
                    <w:rPr>
                      <w:szCs w:val="21"/>
                    </w:rPr>
                    <w:t xml:space="preserve">色谱仪 </w:t>
                  </w:r>
                </w:p>
                <w:p>
                  <w:pPr>
                    <w:jc w:val="center"/>
                    <w:rPr>
                      <w:szCs w:val="21"/>
                    </w:rPr>
                  </w:pPr>
                  <w:r>
                    <w:rPr>
                      <w:szCs w:val="21"/>
                    </w:rPr>
                    <w:t>（CHYC/01-3024）</w:t>
                  </w:r>
                </w:p>
              </w:tc>
              <w:tc>
                <w:tcPr>
                  <w:tcW w:w="1286" w:type="dxa"/>
                  <w:noWrap w:val="0"/>
                  <w:vAlign w:val="center"/>
                </w:tcPr>
                <w:p>
                  <w:pPr>
                    <w:jc w:val="center"/>
                    <w:rPr>
                      <w:kern w:val="0"/>
                      <w:szCs w:val="21"/>
                    </w:rPr>
                  </w:pPr>
                  <w:r>
                    <w:rPr>
                      <w:szCs w:val="21"/>
                    </w:rPr>
                    <w:t>0.04mg/kg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jc w:val="center"/>
                    <w:rPr>
                      <w:spacing w:val="-6"/>
                      <w:szCs w:val="21"/>
                    </w:rPr>
                  </w:pPr>
                  <w:r>
                    <w:rPr>
                      <w:spacing w:val="-6"/>
                      <w:szCs w:val="21"/>
                    </w:rPr>
                    <w:t>石油类*</w:t>
                  </w:r>
                </w:p>
              </w:tc>
              <w:tc>
                <w:tcPr>
                  <w:tcW w:w="2409" w:type="dxa"/>
                  <w:noWrap w:val="0"/>
                  <w:vAlign w:val="center"/>
                </w:tcPr>
                <w:p>
                  <w:pPr>
                    <w:jc w:val="center"/>
                    <w:rPr>
                      <w:kern w:val="0"/>
                      <w:szCs w:val="21"/>
                    </w:rPr>
                  </w:pPr>
                  <w:r>
                    <w:rPr>
                      <w:szCs w:val="21"/>
                    </w:rPr>
                    <w:t>土壤 石油类的测定 红外分光光度法</w:t>
                  </w:r>
                </w:p>
              </w:tc>
              <w:tc>
                <w:tcPr>
                  <w:tcW w:w="1701" w:type="dxa"/>
                  <w:noWrap w:val="0"/>
                  <w:vAlign w:val="center"/>
                </w:tcPr>
                <w:p>
                  <w:pPr>
                    <w:jc w:val="center"/>
                    <w:rPr>
                      <w:kern w:val="0"/>
                      <w:szCs w:val="21"/>
                    </w:rPr>
                  </w:pPr>
                  <w:r>
                    <w:rPr>
                      <w:szCs w:val="21"/>
                    </w:rPr>
                    <w:t>HJ 1051-2019</w:t>
                  </w:r>
                </w:p>
              </w:tc>
              <w:tc>
                <w:tcPr>
                  <w:tcW w:w="2127" w:type="dxa"/>
                  <w:noWrap w:val="0"/>
                  <w:vAlign w:val="center"/>
                </w:tcPr>
                <w:p>
                  <w:pPr>
                    <w:jc w:val="center"/>
                    <w:rPr>
                      <w:szCs w:val="21"/>
                    </w:rPr>
                  </w:pPr>
                  <w:r>
                    <w:rPr>
                      <w:szCs w:val="21"/>
                    </w:rPr>
                    <w:t>JLBG-125u红外分光测油仪</w:t>
                  </w:r>
                </w:p>
                <w:p>
                  <w:pPr>
                    <w:jc w:val="center"/>
                    <w:rPr>
                      <w:szCs w:val="21"/>
                    </w:rPr>
                  </w:pPr>
                  <w:r>
                    <w:rPr>
                      <w:szCs w:val="21"/>
                    </w:rPr>
                    <w:t>（CHYC/01-1025）</w:t>
                  </w:r>
                </w:p>
              </w:tc>
              <w:tc>
                <w:tcPr>
                  <w:tcW w:w="1286" w:type="dxa"/>
                  <w:noWrap w:val="0"/>
                  <w:vAlign w:val="center"/>
                </w:tcPr>
                <w:p>
                  <w:pPr>
                    <w:jc w:val="center"/>
                    <w:rPr>
                      <w:kern w:val="0"/>
                      <w:szCs w:val="21"/>
                    </w:rPr>
                  </w:pPr>
                  <w:r>
                    <w:rPr>
                      <w:kern w:val="0"/>
                      <w:szCs w:val="21"/>
                      <w:lang w:bidi="ar"/>
                    </w:rPr>
                    <w:t>4mg/kg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氯甲烷*</w:t>
                  </w:r>
                </w:p>
              </w:tc>
              <w:tc>
                <w:tcPr>
                  <w:tcW w:w="2409" w:type="dxa"/>
                  <w:noWrap w:val="0"/>
                  <w:vAlign w:val="center"/>
                </w:tcPr>
                <w:p>
                  <w:pPr>
                    <w:pStyle w:val="897"/>
                    <w:snapToGrid w:val="0"/>
                    <w:spacing w:before="0" w:after="0"/>
                    <w:rPr>
                      <w:rFonts w:cs="Times New Roman"/>
                      <w:kern w:val="0"/>
                      <w:sz w:val="21"/>
                      <w:szCs w:val="21"/>
                    </w:rPr>
                  </w:pPr>
                  <w:r>
                    <w:rPr>
                      <w:rFonts w:cs="Times New Roman"/>
                      <w:kern w:val="0"/>
                      <w:sz w:val="21"/>
                      <w:szCs w:val="21"/>
                    </w:rPr>
                    <w:t>土壤和沉积物 挥发性有机物的测定 吹扫捕集/气相色谱-质谱法</w:t>
                  </w:r>
                </w:p>
              </w:tc>
              <w:tc>
                <w:tcPr>
                  <w:tcW w:w="1701" w:type="dxa"/>
                  <w:noWrap w:val="0"/>
                  <w:vAlign w:val="center"/>
                </w:tcPr>
                <w:p>
                  <w:pPr>
                    <w:pStyle w:val="897"/>
                    <w:snapToGrid w:val="0"/>
                    <w:spacing w:before="0" w:after="0"/>
                    <w:rPr>
                      <w:rFonts w:cs="Times New Roman"/>
                      <w:kern w:val="0"/>
                      <w:sz w:val="21"/>
                      <w:szCs w:val="21"/>
                    </w:rPr>
                  </w:pPr>
                  <w:r>
                    <w:rPr>
                      <w:rFonts w:cs="Times New Roman"/>
                      <w:kern w:val="0"/>
                      <w:sz w:val="21"/>
                      <w:szCs w:val="21"/>
                    </w:rPr>
                    <w:t>HJ 605-2011</w:t>
                  </w:r>
                </w:p>
              </w:tc>
              <w:tc>
                <w:tcPr>
                  <w:tcW w:w="2127" w:type="dxa"/>
                  <w:noWrap w:val="0"/>
                  <w:vAlign w:val="center"/>
                </w:tcPr>
                <w:p>
                  <w:pPr>
                    <w:jc w:val="center"/>
                    <w:rPr>
                      <w:szCs w:val="21"/>
                    </w:rPr>
                  </w:pPr>
                  <w:r>
                    <w:rPr>
                      <w:szCs w:val="21"/>
                    </w:rPr>
                    <w:t>Intuvo9000+5977B气相色谱质谱联用仪</w:t>
                  </w:r>
                </w:p>
                <w:p>
                  <w:pPr>
                    <w:jc w:val="center"/>
                    <w:rPr>
                      <w:szCs w:val="21"/>
                    </w:rPr>
                  </w:pPr>
                  <w:r>
                    <w:rPr>
                      <w:szCs w:val="21"/>
                    </w:rPr>
                    <w:t>(CHYC/01-3023)</w:t>
                  </w:r>
                </w:p>
              </w:tc>
              <w:tc>
                <w:tcPr>
                  <w:tcW w:w="1286" w:type="dxa"/>
                  <w:noWrap w:val="0"/>
                  <w:vAlign w:val="center"/>
                </w:tcPr>
                <w:p>
                  <w:pPr>
                    <w:jc w:val="center"/>
                    <w:rPr>
                      <w:kern w:val="0"/>
                      <w:szCs w:val="21"/>
                    </w:rPr>
                  </w:pPr>
                  <w:r>
                    <w:rPr>
                      <w:kern w:val="0"/>
                      <w:szCs w:val="21"/>
                    </w:rPr>
                    <w:t>0.0010mg/kg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硝基苯*</w:t>
                  </w:r>
                </w:p>
              </w:tc>
              <w:tc>
                <w:tcPr>
                  <w:tcW w:w="2409" w:type="dxa"/>
                  <w:vMerge w:val="restart"/>
                  <w:noWrap w:val="0"/>
                  <w:vAlign w:val="center"/>
                </w:tcPr>
                <w:p>
                  <w:pPr>
                    <w:jc w:val="center"/>
                    <w:rPr>
                      <w:szCs w:val="21"/>
                    </w:rPr>
                  </w:pPr>
                  <w:r>
                    <w:rPr>
                      <w:szCs w:val="21"/>
                    </w:rPr>
                    <w:t>土壤和沉积物 半挥发性有机物的测定 气相色谱-质谱法</w:t>
                  </w:r>
                </w:p>
              </w:tc>
              <w:tc>
                <w:tcPr>
                  <w:tcW w:w="1701" w:type="dxa"/>
                  <w:vMerge w:val="restart"/>
                  <w:noWrap w:val="0"/>
                  <w:vAlign w:val="center"/>
                </w:tcPr>
                <w:p>
                  <w:pPr>
                    <w:pStyle w:val="897"/>
                    <w:snapToGrid w:val="0"/>
                    <w:spacing w:before="0" w:after="0"/>
                    <w:ind w:left="315" w:hanging="315"/>
                    <w:rPr>
                      <w:rFonts w:cs="Times New Roman"/>
                      <w:kern w:val="0"/>
                      <w:sz w:val="21"/>
                      <w:szCs w:val="21"/>
                    </w:rPr>
                  </w:pPr>
                  <w:r>
                    <w:rPr>
                      <w:rFonts w:cs="Times New Roman"/>
                      <w:kern w:val="0"/>
                      <w:sz w:val="21"/>
                      <w:szCs w:val="21"/>
                    </w:rPr>
                    <w:t>HJ 834-2017</w:t>
                  </w:r>
                </w:p>
              </w:tc>
              <w:tc>
                <w:tcPr>
                  <w:tcW w:w="2127" w:type="dxa"/>
                  <w:vMerge w:val="restart"/>
                  <w:noWrap w:val="0"/>
                  <w:vAlign w:val="center"/>
                </w:tcPr>
                <w:p>
                  <w:pPr>
                    <w:jc w:val="center"/>
                    <w:rPr>
                      <w:szCs w:val="21"/>
                    </w:rPr>
                  </w:pPr>
                  <w:r>
                    <w:rPr>
                      <w:szCs w:val="21"/>
                    </w:rPr>
                    <w:t>7890B+5977B气相色谱质谱联用仪(CHYC/01-3001)</w:t>
                  </w:r>
                </w:p>
              </w:tc>
              <w:tc>
                <w:tcPr>
                  <w:tcW w:w="1286" w:type="dxa"/>
                  <w:noWrap w:val="0"/>
                  <w:vAlign w:val="center"/>
                </w:tcPr>
                <w:p>
                  <w:pPr>
                    <w:jc w:val="center"/>
                    <w:rPr>
                      <w:szCs w:val="21"/>
                    </w:rPr>
                  </w:pPr>
                  <w:r>
                    <w:rPr>
                      <w:kern w:val="0"/>
                      <w:szCs w:val="21"/>
                    </w:rPr>
                    <w:t>0.09mg/kg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2-氯酚*</w:t>
                  </w:r>
                </w:p>
              </w:tc>
              <w:tc>
                <w:tcPr>
                  <w:tcW w:w="2409" w:type="dxa"/>
                  <w:vMerge w:val="continue"/>
                  <w:noWrap w:val="0"/>
                  <w:vAlign w:val="center"/>
                </w:tcPr>
                <w:p>
                  <w:pPr>
                    <w:jc w:val="center"/>
                    <w:rPr>
                      <w:szCs w:val="21"/>
                    </w:rPr>
                  </w:pPr>
                </w:p>
              </w:tc>
              <w:tc>
                <w:tcPr>
                  <w:tcW w:w="1701" w:type="dxa"/>
                  <w:vMerge w:val="continue"/>
                  <w:noWrap w:val="0"/>
                  <w:vAlign w:val="center"/>
                </w:tcPr>
                <w:p>
                  <w:pPr>
                    <w:pStyle w:val="897"/>
                    <w:snapToGrid w:val="0"/>
                    <w:spacing w:before="0" w:after="0"/>
                    <w:ind w:left="315" w:hanging="315"/>
                    <w:rPr>
                      <w:rFonts w:cs="Times New Roman"/>
                      <w:kern w:val="0"/>
                      <w:sz w:val="21"/>
                      <w:szCs w:val="21"/>
                    </w:rPr>
                  </w:pPr>
                </w:p>
              </w:tc>
              <w:tc>
                <w:tcPr>
                  <w:tcW w:w="2127" w:type="dxa"/>
                  <w:vMerge w:val="continue"/>
                  <w:noWrap w:val="0"/>
                  <w:vAlign w:val="center"/>
                </w:tcPr>
                <w:p>
                  <w:pPr>
                    <w:pStyle w:val="59"/>
                    <w:spacing w:line="240" w:lineRule="auto"/>
                    <w:ind w:leftChars="0" w:firstLine="0" w:firstLineChars="0"/>
                    <w:jc w:val="center"/>
                    <w:rPr>
                      <w:sz w:val="21"/>
                      <w:szCs w:val="21"/>
                    </w:rPr>
                  </w:pPr>
                </w:p>
              </w:tc>
              <w:tc>
                <w:tcPr>
                  <w:tcW w:w="1286" w:type="dxa"/>
                  <w:noWrap w:val="0"/>
                  <w:vAlign w:val="center"/>
                </w:tcPr>
                <w:p>
                  <w:pPr>
                    <w:jc w:val="center"/>
                    <w:rPr>
                      <w:szCs w:val="21"/>
                    </w:rPr>
                  </w:pPr>
                  <w:r>
                    <w:rPr>
                      <w:kern w:val="0"/>
                      <w:szCs w:val="21"/>
                    </w:rPr>
                    <w:t>0.06mg/kg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72" w:type="dxa"/>
                  <w:noWrap w:val="0"/>
                  <w:vAlign w:val="center"/>
                </w:tcPr>
                <w:p>
                  <w:pPr>
                    <w:autoSpaceDE w:val="0"/>
                    <w:autoSpaceDN w:val="0"/>
                    <w:adjustRightInd w:val="0"/>
                    <w:jc w:val="center"/>
                    <w:rPr>
                      <w:szCs w:val="21"/>
                    </w:rPr>
                  </w:pPr>
                  <w:r>
                    <w:rPr>
                      <w:szCs w:val="21"/>
                    </w:rPr>
                    <w:t>苯胺*</w:t>
                  </w:r>
                </w:p>
              </w:tc>
              <w:tc>
                <w:tcPr>
                  <w:tcW w:w="2409" w:type="dxa"/>
                  <w:noWrap w:val="0"/>
                  <w:vAlign w:val="center"/>
                </w:tcPr>
                <w:p>
                  <w:pPr>
                    <w:widowControl/>
                    <w:autoSpaceDE w:val="0"/>
                    <w:jc w:val="center"/>
                    <w:textAlignment w:val="center"/>
                    <w:rPr>
                      <w:szCs w:val="21"/>
                    </w:rPr>
                  </w:pPr>
                  <w:r>
                    <w:rPr>
                      <w:szCs w:val="21"/>
                    </w:rPr>
                    <w:t>土壤和沉积物 13种苯胺类和2种联苯胺类化合物的测定 液相色谱-三重四极杆质谱法</w:t>
                  </w:r>
                </w:p>
              </w:tc>
              <w:tc>
                <w:tcPr>
                  <w:tcW w:w="1701" w:type="dxa"/>
                  <w:noWrap w:val="0"/>
                  <w:vAlign w:val="center"/>
                </w:tcPr>
                <w:p>
                  <w:pPr>
                    <w:widowControl/>
                    <w:autoSpaceDE w:val="0"/>
                    <w:jc w:val="center"/>
                    <w:textAlignment w:val="center"/>
                    <w:rPr>
                      <w:szCs w:val="21"/>
                    </w:rPr>
                  </w:pPr>
                  <w:r>
                    <w:rPr>
                      <w:szCs w:val="21"/>
                    </w:rPr>
                    <w:t>HJ 1210-2021</w:t>
                  </w:r>
                </w:p>
              </w:tc>
              <w:tc>
                <w:tcPr>
                  <w:tcW w:w="2127" w:type="dxa"/>
                  <w:noWrap w:val="0"/>
                  <w:vAlign w:val="center"/>
                </w:tcPr>
                <w:p>
                  <w:pPr>
                    <w:widowControl/>
                    <w:autoSpaceDE w:val="0"/>
                    <w:jc w:val="center"/>
                    <w:textAlignment w:val="center"/>
                    <w:rPr>
                      <w:szCs w:val="21"/>
                    </w:rPr>
                  </w:pPr>
                  <w:r>
                    <w:rPr>
                      <w:szCs w:val="21"/>
                    </w:rPr>
                    <w:t>1290 infinity Ⅱ+Ultivo液相色谱三重四极杆质谱联用仪（CHYC/01-3025）</w:t>
                  </w:r>
                </w:p>
              </w:tc>
              <w:tc>
                <w:tcPr>
                  <w:tcW w:w="1286" w:type="dxa"/>
                  <w:noWrap w:val="0"/>
                  <w:vAlign w:val="center"/>
                </w:tcPr>
                <w:p>
                  <w:pPr>
                    <w:widowControl/>
                    <w:autoSpaceDE w:val="0"/>
                    <w:jc w:val="center"/>
                    <w:textAlignment w:val="center"/>
                    <w:rPr>
                      <w:szCs w:val="21"/>
                    </w:rPr>
                  </w:pPr>
                  <w:r>
                    <w:rPr>
                      <w:szCs w:val="21"/>
                    </w:rPr>
                    <w:t>0.002mg/kg</w:t>
                  </w:r>
                </w:p>
              </w:tc>
            </w:tr>
          </w:tbl>
          <w:p>
            <w:pPr>
              <w:pStyle w:val="879"/>
              <w:ind w:firstLine="482"/>
              <w:rPr>
                <w:b/>
                <w:bCs/>
                <w:szCs w:val="24"/>
              </w:rPr>
            </w:pPr>
            <w:r>
              <w:rPr>
                <w:b/>
                <w:bCs/>
                <w:szCs w:val="24"/>
              </w:rPr>
              <w:t>4、监测结果</w:t>
            </w:r>
          </w:p>
          <w:p>
            <w:pPr>
              <w:kinsoku w:val="0"/>
              <w:overflowPunct w:val="0"/>
              <w:autoSpaceDE w:val="0"/>
              <w:autoSpaceDN w:val="0"/>
              <w:adjustRightInd w:val="0"/>
              <w:snapToGrid w:val="0"/>
              <w:spacing w:line="360" w:lineRule="auto"/>
              <w:ind w:firstLine="480" w:firstLineChars="200"/>
              <w:rPr>
                <w:sz w:val="24"/>
              </w:rPr>
            </w:pPr>
            <w:r>
              <w:rPr>
                <w:sz w:val="24"/>
              </w:rPr>
              <w:t>项目土壤现状监测结果见表3-1</w:t>
            </w:r>
            <w:r>
              <w:rPr>
                <w:rFonts w:hint="eastAsia"/>
                <w:sz w:val="24"/>
              </w:rPr>
              <w:t>2</w:t>
            </w:r>
            <w:r>
              <w:rPr>
                <w:sz w:val="24"/>
              </w:rPr>
              <w:t>。</w:t>
            </w:r>
          </w:p>
          <w:p>
            <w:pPr>
              <w:ind w:firstLine="422" w:firstLineChars="200"/>
              <w:jc w:val="center"/>
              <w:rPr>
                <w:rFonts w:hint="eastAsia"/>
                <w:b/>
                <w:bCs/>
                <w:szCs w:val="21"/>
              </w:rPr>
            </w:pPr>
            <w:r>
              <w:rPr>
                <w:b/>
                <w:bCs/>
                <w:szCs w:val="21"/>
              </w:rPr>
              <w:t>表3-1</w:t>
            </w:r>
            <w:r>
              <w:rPr>
                <w:rFonts w:hint="eastAsia"/>
                <w:b/>
                <w:bCs/>
                <w:szCs w:val="21"/>
              </w:rPr>
              <w:t>2</w:t>
            </w:r>
            <w:r>
              <w:rPr>
                <w:b/>
                <w:bCs/>
                <w:szCs w:val="21"/>
              </w:rPr>
              <w:t xml:space="preserve"> 项目</w:t>
            </w:r>
            <w:r>
              <w:rPr>
                <w:rFonts w:hint="eastAsia"/>
                <w:b/>
                <w:bCs/>
                <w:szCs w:val="21"/>
              </w:rPr>
              <w:t>2#、3#点位</w:t>
            </w:r>
            <w:r>
              <w:rPr>
                <w:b/>
                <w:bCs/>
                <w:szCs w:val="21"/>
              </w:rPr>
              <w:t>土壤环境质量现状监测结果表（单位：mg/kg）</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960"/>
              <w:gridCol w:w="1728"/>
              <w:gridCol w:w="1728"/>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399" w:type="dxa"/>
                  <w:vMerge w:val="restart"/>
                  <w:noWrap w:val="0"/>
                  <w:vAlign w:val="center"/>
                </w:tcPr>
                <w:p>
                  <w:pPr>
                    <w:jc w:val="center"/>
                    <w:rPr>
                      <w:b/>
                      <w:szCs w:val="21"/>
                      <w:lang w:bidi="ar"/>
                    </w:rPr>
                  </w:pPr>
                  <w:r>
                    <w:rPr>
                      <w:b/>
                      <w:szCs w:val="21"/>
                      <w:lang w:bidi="ar"/>
                    </w:rPr>
                    <w:t>采样日期</w:t>
                  </w:r>
                </w:p>
              </w:tc>
              <w:tc>
                <w:tcPr>
                  <w:tcW w:w="1960" w:type="dxa"/>
                  <w:vMerge w:val="restart"/>
                  <w:noWrap w:val="0"/>
                  <w:vAlign w:val="center"/>
                </w:tcPr>
                <w:p>
                  <w:pPr>
                    <w:jc w:val="center"/>
                    <w:rPr>
                      <w:b/>
                      <w:szCs w:val="21"/>
                      <w:lang w:bidi="ar"/>
                    </w:rPr>
                  </w:pPr>
                  <w:r>
                    <w:rPr>
                      <w:b/>
                      <w:szCs w:val="21"/>
                      <w:lang w:bidi="ar"/>
                    </w:rPr>
                    <w:t>检测</w:t>
                  </w:r>
                  <w:r>
                    <w:rPr>
                      <w:rFonts w:hint="eastAsia"/>
                      <w:b/>
                      <w:szCs w:val="21"/>
                      <w:lang w:bidi="ar"/>
                    </w:rPr>
                    <w:t>因子</w:t>
                  </w:r>
                </w:p>
              </w:tc>
              <w:tc>
                <w:tcPr>
                  <w:tcW w:w="3456" w:type="dxa"/>
                  <w:gridSpan w:val="2"/>
                  <w:noWrap w:val="0"/>
                  <w:vAlign w:val="center"/>
                </w:tcPr>
                <w:p>
                  <w:pPr>
                    <w:jc w:val="center"/>
                    <w:rPr>
                      <w:b/>
                      <w:szCs w:val="21"/>
                      <w:lang w:bidi="ar"/>
                    </w:rPr>
                  </w:pPr>
                  <w:r>
                    <w:rPr>
                      <w:b/>
                      <w:szCs w:val="21"/>
                      <w:lang w:bidi="ar"/>
                    </w:rPr>
                    <w:t>检测</w:t>
                  </w:r>
                  <w:r>
                    <w:rPr>
                      <w:rFonts w:hint="eastAsia"/>
                      <w:b/>
                      <w:szCs w:val="21"/>
                      <w:lang w:bidi="ar"/>
                    </w:rPr>
                    <w:t>点位</w:t>
                  </w:r>
                  <w:r>
                    <w:rPr>
                      <w:b/>
                      <w:szCs w:val="21"/>
                      <w:lang w:bidi="ar"/>
                    </w:rPr>
                    <w:t>及检测结果</w:t>
                  </w:r>
                </w:p>
              </w:tc>
              <w:tc>
                <w:tcPr>
                  <w:tcW w:w="1563" w:type="dxa"/>
                  <w:vMerge w:val="restart"/>
                  <w:noWrap w:val="0"/>
                  <w:vAlign w:val="center"/>
                </w:tcPr>
                <w:p>
                  <w:pPr>
                    <w:jc w:val="center"/>
                    <w:rPr>
                      <w:bCs/>
                      <w:szCs w:val="21"/>
                      <w:lang w:bidi="ar"/>
                    </w:rPr>
                  </w:pPr>
                  <w:r>
                    <w:rPr>
                      <w:b/>
                      <w:szCs w:val="21"/>
                    </w:rPr>
                    <w:t>第二类用地筛选值标准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399" w:type="dxa"/>
                  <w:vMerge w:val="continue"/>
                  <w:noWrap w:val="0"/>
                  <w:vAlign w:val="center"/>
                </w:tcPr>
                <w:p>
                  <w:pPr>
                    <w:jc w:val="center"/>
                    <w:rPr>
                      <w:b/>
                      <w:szCs w:val="21"/>
                      <w:lang w:bidi="ar"/>
                    </w:rPr>
                  </w:pPr>
                </w:p>
              </w:tc>
              <w:tc>
                <w:tcPr>
                  <w:tcW w:w="1960" w:type="dxa"/>
                  <w:vMerge w:val="continue"/>
                  <w:noWrap w:val="0"/>
                  <w:vAlign w:val="center"/>
                </w:tcPr>
                <w:p>
                  <w:pPr>
                    <w:jc w:val="center"/>
                    <w:rPr>
                      <w:b/>
                      <w:szCs w:val="21"/>
                      <w:lang w:bidi="ar"/>
                    </w:rPr>
                  </w:pPr>
                </w:p>
              </w:tc>
              <w:tc>
                <w:tcPr>
                  <w:tcW w:w="1728" w:type="dxa"/>
                  <w:noWrap w:val="0"/>
                  <w:vAlign w:val="center"/>
                </w:tcPr>
                <w:p>
                  <w:pPr>
                    <w:jc w:val="center"/>
                    <w:rPr>
                      <w:b/>
                      <w:szCs w:val="21"/>
                      <w:lang w:bidi="ar"/>
                    </w:rPr>
                  </w:pPr>
                  <w:r>
                    <w:rPr>
                      <w:rFonts w:hint="eastAsia"/>
                      <w:b/>
                      <w:szCs w:val="21"/>
                      <w:lang w:bidi="ar"/>
                    </w:rPr>
                    <w:t>T2，项目拟建站房区</w:t>
                  </w:r>
                </w:p>
              </w:tc>
              <w:tc>
                <w:tcPr>
                  <w:tcW w:w="1728" w:type="dxa"/>
                  <w:noWrap w:val="0"/>
                  <w:vAlign w:val="center"/>
                </w:tcPr>
                <w:p>
                  <w:pPr>
                    <w:jc w:val="center"/>
                    <w:rPr>
                      <w:b/>
                      <w:szCs w:val="21"/>
                      <w:lang w:bidi="ar"/>
                    </w:rPr>
                  </w:pPr>
                  <w:r>
                    <w:rPr>
                      <w:rFonts w:hint="eastAsia"/>
                      <w:b/>
                      <w:szCs w:val="21"/>
                      <w:lang w:bidi="ar"/>
                    </w:rPr>
                    <w:t>T3，项目拟建加油加气区</w:t>
                  </w:r>
                </w:p>
              </w:tc>
              <w:tc>
                <w:tcPr>
                  <w:tcW w:w="1563" w:type="dxa"/>
                  <w:vMerge w:val="continue"/>
                  <w:noWrap w:val="0"/>
                  <w:vAlign w:val="center"/>
                </w:tcPr>
                <w:p>
                  <w:pPr>
                    <w:jc w:val="center"/>
                    <w:rPr>
                      <w:rFonts w:hint="eastAsia"/>
                      <w:bCs/>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restart"/>
                  <w:noWrap w:val="0"/>
                  <w:vAlign w:val="center"/>
                </w:tcPr>
                <w:p>
                  <w:pPr>
                    <w:jc w:val="center"/>
                    <w:rPr>
                      <w:bCs/>
                      <w:szCs w:val="21"/>
                      <w:lang w:bidi="ar"/>
                    </w:rPr>
                  </w:pPr>
                  <w:r>
                    <w:rPr>
                      <w:rFonts w:hint="eastAsia"/>
                      <w:bCs/>
                      <w:szCs w:val="21"/>
                      <w:lang w:bidi="ar"/>
                    </w:rPr>
                    <w:t>2023.07.11</w:t>
                  </w:r>
                </w:p>
              </w:tc>
              <w:tc>
                <w:tcPr>
                  <w:tcW w:w="1960" w:type="dxa"/>
                  <w:noWrap w:val="0"/>
                  <w:vAlign w:val="center"/>
                </w:tcPr>
                <w:p>
                  <w:pPr>
                    <w:jc w:val="center"/>
                    <w:rPr>
                      <w:bCs/>
                      <w:szCs w:val="21"/>
                      <w:lang w:bidi="ar"/>
                    </w:rPr>
                  </w:pPr>
                  <w:r>
                    <w:rPr>
                      <w:rFonts w:hint="eastAsia"/>
                      <w:bCs/>
                      <w:szCs w:val="21"/>
                      <w:lang w:bidi="ar"/>
                    </w:rPr>
                    <w:t>pH（无量纲）</w:t>
                  </w:r>
                </w:p>
              </w:tc>
              <w:tc>
                <w:tcPr>
                  <w:tcW w:w="1728" w:type="dxa"/>
                  <w:noWrap w:val="0"/>
                  <w:vAlign w:val="center"/>
                </w:tcPr>
                <w:p>
                  <w:pPr>
                    <w:jc w:val="center"/>
                    <w:rPr>
                      <w:bCs/>
                      <w:szCs w:val="21"/>
                      <w:lang w:bidi="ar"/>
                    </w:rPr>
                  </w:pPr>
                  <w:r>
                    <w:rPr>
                      <w:rFonts w:hint="eastAsia"/>
                      <w:bCs/>
                      <w:szCs w:val="21"/>
                      <w:lang w:bidi="ar"/>
                    </w:rPr>
                    <w:t>7.24</w:t>
                  </w:r>
                </w:p>
              </w:tc>
              <w:tc>
                <w:tcPr>
                  <w:tcW w:w="1728" w:type="dxa"/>
                  <w:noWrap w:val="0"/>
                  <w:vAlign w:val="center"/>
                </w:tcPr>
                <w:p>
                  <w:pPr>
                    <w:jc w:val="center"/>
                    <w:rPr>
                      <w:bCs/>
                      <w:szCs w:val="21"/>
                      <w:lang w:bidi="ar"/>
                    </w:rPr>
                  </w:pPr>
                  <w:r>
                    <w:rPr>
                      <w:rFonts w:hint="eastAsia"/>
                      <w:bCs/>
                      <w:szCs w:val="21"/>
                      <w:lang w:bidi="ar"/>
                    </w:rPr>
                    <w:t>7.21</w:t>
                  </w:r>
                </w:p>
              </w:tc>
              <w:tc>
                <w:tcPr>
                  <w:tcW w:w="1563" w:type="dxa"/>
                  <w:noWrap w:val="0"/>
                  <w:vAlign w:val="center"/>
                </w:tcPr>
                <w:p>
                  <w:pPr>
                    <w:jc w:val="center"/>
                    <w:rPr>
                      <w:rFonts w:hint="eastAsia"/>
                      <w:bCs/>
                      <w:szCs w:val="21"/>
                      <w:lang w:bidi="ar"/>
                    </w:rPr>
                  </w:pPr>
                  <w:r>
                    <w:rPr>
                      <w:rFonts w:hint="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bCs/>
                      <w:szCs w:val="21"/>
                      <w:lang w:bidi="ar"/>
                    </w:rPr>
                  </w:pPr>
                  <w:r>
                    <w:rPr>
                      <w:rFonts w:hint="eastAsia"/>
                      <w:bCs/>
                      <w:szCs w:val="21"/>
                      <w:lang w:bidi="ar"/>
                    </w:rPr>
                    <w:t>镉</w:t>
                  </w:r>
                </w:p>
              </w:tc>
              <w:tc>
                <w:tcPr>
                  <w:tcW w:w="1728" w:type="dxa"/>
                  <w:noWrap w:val="0"/>
                  <w:vAlign w:val="center"/>
                </w:tcPr>
                <w:p>
                  <w:pPr>
                    <w:jc w:val="center"/>
                    <w:rPr>
                      <w:bCs/>
                      <w:szCs w:val="21"/>
                      <w:lang w:bidi="ar"/>
                    </w:rPr>
                  </w:pPr>
                  <w:r>
                    <w:rPr>
                      <w:rFonts w:hint="eastAsia"/>
                      <w:bCs/>
                      <w:szCs w:val="21"/>
                      <w:lang w:bidi="ar"/>
                    </w:rPr>
                    <w:t>0.32</w:t>
                  </w:r>
                </w:p>
              </w:tc>
              <w:tc>
                <w:tcPr>
                  <w:tcW w:w="1728" w:type="dxa"/>
                  <w:noWrap w:val="0"/>
                  <w:vAlign w:val="center"/>
                </w:tcPr>
                <w:p>
                  <w:pPr>
                    <w:jc w:val="center"/>
                    <w:rPr>
                      <w:bCs/>
                      <w:szCs w:val="21"/>
                      <w:lang w:bidi="ar"/>
                    </w:rPr>
                  </w:pPr>
                  <w:r>
                    <w:rPr>
                      <w:rFonts w:hint="eastAsia"/>
                      <w:bCs/>
                      <w:szCs w:val="21"/>
                      <w:lang w:bidi="ar"/>
                    </w:rPr>
                    <w:t>0.42</w:t>
                  </w:r>
                </w:p>
              </w:tc>
              <w:tc>
                <w:tcPr>
                  <w:tcW w:w="1563" w:type="dxa"/>
                  <w:noWrap w:val="0"/>
                  <w:vAlign w:val="center"/>
                </w:tcPr>
                <w:p>
                  <w:pPr>
                    <w:jc w:val="center"/>
                    <w:rPr>
                      <w:rFonts w:hint="eastAsia"/>
                      <w:bCs/>
                      <w:szCs w:val="21"/>
                      <w:lang w:bidi="ar"/>
                    </w:rPr>
                  </w:pPr>
                  <w:r>
                    <w:rPr>
                      <w:rFonts w:hint="eastAsia"/>
                      <w:bCs/>
                      <w:szCs w:val="21"/>
                      <w:lang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bCs/>
                      <w:szCs w:val="21"/>
                      <w:lang w:bidi="ar"/>
                    </w:rPr>
                  </w:pPr>
                  <w:r>
                    <w:rPr>
                      <w:rFonts w:hint="eastAsia"/>
                      <w:bCs/>
                      <w:szCs w:val="21"/>
                      <w:lang w:bidi="ar"/>
                    </w:rPr>
                    <w:t>汞</w:t>
                  </w:r>
                </w:p>
              </w:tc>
              <w:tc>
                <w:tcPr>
                  <w:tcW w:w="1728" w:type="dxa"/>
                  <w:noWrap w:val="0"/>
                  <w:vAlign w:val="center"/>
                </w:tcPr>
                <w:p>
                  <w:pPr>
                    <w:jc w:val="center"/>
                    <w:rPr>
                      <w:bCs/>
                      <w:szCs w:val="21"/>
                      <w:lang w:bidi="ar"/>
                    </w:rPr>
                  </w:pPr>
                  <w:r>
                    <w:rPr>
                      <w:rFonts w:hint="eastAsia"/>
                      <w:bCs/>
                      <w:szCs w:val="21"/>
                      <w:lang w:bidi="ar"/>
                    </w:rPr>
                    <w:t>0.255</w:t>
                  </w:r>
                </w:p>
              </w:tc>
              <w:tc>
                <w:tcPr>
                  <w:tcW w:w="1728" w:type="dxa"/>
                  <w:noWrap w:val="0"/>
                  <w:vAlign w:val="center"/>
                </w:tcPr>
                <w:p>
                  <w:pPr>
                    <w:jc w:val="center"/>
                    <w:rPr>
                      <w:bCs/>
                      <w:szCs w:val="21"/>
                      <w:lang w:bidi="ar"/>
                    </w:rPr>
                  </w:pPr>
                  <w:r>
                    <w:rPr>
                      <w:rFonts w:hint="eastAsia"/>
                      <w:bCs/>
                      <w:szCs w:val="21"/>
                      <w:lang w:bidi="ar"/>
                    </w:rPr>
                    <w:t>0.264</w:t>
                  </w:r>
                </w:p>
              </w:tc>
              <w:tc>
                <w:tcPr>
                  <w:tcW w:w="1563" w:type="dxa"/>
                  <w:noWrap w:val="0"/>
                  <w:vAlign w:val="center"/>
                </w:tcPr>
                <w:p>
                  <w:pPr>
                    <w:jc w:val="center"/>
                    <w:rPr>
                      <w:rFonts w:hint="eastAsia"/>
                      <w:bCs/>
                      <w:szCs w:val="21"/>
                      <w:lang w:bidi="ar"/>
                    </w:rPr>
                  </w:pPr>
                  <w:r>
                    <w:rPr>
                      <w:rFonts w:hint="eastAsia"/>
                      <w:bCs/>
                      <w:szCs w:val="21"/>
                      <w:lang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bCs/>
                      <w:szCs w:val="21"/>
                      <w:lang w:bidi="ar"/>
                    </w:rPr>
                  </w:pPr>
                  <w:r>
                    <w:rPr>
                      <w:rFonts w:hint="eastAsia"/>
                      <w:bCs/>
                      <w:szCs w:val="21"/>
                      <w:lang w:bidi="ar"/>
                    </w:rPr>
                    <w:t>砷</w:t>
                  </w:r>
                </w:p>
              </w:tc>
              <w:tc>
                <w:tcPr>
                  <w:tcW w:w="1728" w:type="dxa"/>
                  <w:noWrap w:val="0"/>
                  <w:vAlign w:val="center"/>
                </w:tcPr>
                <w:p>
                  <w:pPr>
                    <w:jc w:val="center"/>
                    <w:rPr>
                      <w:bCs/>
                      <w:szCs w:val="21"/>
                      <w:lang w:bidi="ar"/>
                    </w:rPr>
                  </w:pPr>
                  <w:r>
                    <w:rPr>
                      <w:rFonts w:hint="eastAsia"/>
                      <w:bCs/>
                      <w:szCs w:val="21"/>
                      <w:lang w:bidi="ar"/>
                    </w:rPr>
                    <w:t>0.52</w:t>
                  </w:r>
                </w:p>
              </w:tc>
              <w:tc>
                <w:tcPr>
                  <w:tcW w:w="1728" w:type="dxa"/>
                  <w:noWrap w:val="0"/>
                  <w:vAlign w:val="center"/>
                </w:tcPr>
                <w:p>
                  <w:pPr>
                    <w:jc w:val="center"/>
                    <w:rPr>
                      <w:bCs/>
                      <w:szCs w:val="21"/>
                      <w:lang w:bidi="ar"/>
                    </w:rPr>
                  </w:pPr>
                  <w:r>
                    <w:rPr>
                      <w:rFonts w:hint="eastAsia"/>
                      <w:bCs/>
                      <w:szCs w:val="21"/>
                      <w:lang w:bidi="ar"/>
                    </w:rPr>
                    <w:t>0.50</w:t>
                  </w:r>
                </w:p>
              </w:tc>
              <w:tc>
                <w:tcPr>
                  <w:tcW w:w="1563" w:type="dxa"/>
                  <w:noWrap w:val="0"/>
                  <w:vAlign w:val="center"/>
                </w:tcPr>
                <w:p>
                  <w:pPr>
                    <w:jc w:val="center"/>
                    <w:rPr>
                      <w:rFonts w:hint="eastAsia"/>
                      <w:bCs/>
                      <w:szCs w:val="21"/>
                      <w:lang w:bidi="ar"/>
                    </w:rPr>
                  </w:pPr>
                  <w:r>
                    <w:rPr>
                      <w:rFonts w:hint="eastAsia"/>
                      <w:bCs/>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铅</w:t>
                  </w:r>
                </w:p>
              </w:tc>
              <w:tc>
                <w:tcPr>
                  <w:tcW w:w="1728" w:type="dxa"/>
                  <w:noWrap w:val="0"/>
                  <w:vAlign w:val="center"/>
                </w:tcPr>
                <w:p>
                  <w:pPr>
                    <w:jc w:val="center"/>
                    <w:rPr>
                      <w:bCs/>
                      <w:szCs w:val="21"/>
                      <w:lang w:bidi="ar"/>
                    </w:rPr>
                  </w:pPr>
                  <w:r>
                    <w:rPr>
                      <w:rFonts w:hint="eastAsia"/>
                      <w:bCs/>
                      <w:szCs w:val="21"/>
                      <w:lang w:bidi="ar"/>
                    </w:rPr>
                    <w:t>39</w:t>
                  </w:r>
                </w:p>
              </w:tc>
              <w:tc>
                <w:tcPr>
                  <w:tcW w:w="1728" w:type="dxa"/>
                  <w:noWrap w:val="0"/>
                  <w:vAlign w:val="center"/>
                </w:tcPr>
                <w:p>
                  <w:pPr>
                    <w:jc w:val="center"/>
                    <w:rPr>
                      <w:rFonts w:hint="eastAsia"/>
                      <w:bCs/>
                      <w:szCs w:val="21"/>
                      <w:lang w:bidi="ar"/>
                    </w:rPr>
                  </w:pPr>
                  <w:r>
                    <w:rPr>
                      <w:rFonts w:hint="eastAsia"/>
                      <w:bCs/>
                      <w:szCs w:val="21"/>
                      <w:lang w:bidi="ar"/>
                    </w:rPr>
                    <w:t>38</w:t>
                  </w:r>
                </w:p>
              </w:tc>
              <w:tc>
                <w:tcPr>
                  <w:tcW w:w="1563" w:type="dxa"/>
                  <w:noWrap w:val="0"/>
                  <w:vAlign w:val="center"/>
                </w:tcPr>
                <w:p>
                  <w:pPr>
                    <w:jc w:val="center"/>
                    <w:rPr>
                      <w:rFonts w:hint="eastAsia"/>
                      <w:bCs/>
                      <w:szCs w:val="21"/>
                      <w:lang w:bidi="ar"/>
                    </w:rPr>
                  </w:pPr>
                  <w:r>
                    <w:rPr>
                      <w:rFonts w:hint="eastAsia"/>
                      <w:bCs/>
                      <w:szCs w:val="21"/>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六价铬</w:t>
                  </w:r>
                </w:p>
              </w:tc>
              <w:tc>
                <w:tcPr>
                  <w:tcW w:w="1728" w:type="dxa"/>
                  <w:noWrap w:val="0"/>
                  <w:vAlign w:val="center"/>
                </w:tcPr>
                <w:p>
                  <w:pPr>
                    <w:jc w:val="center"/>
                    <w:rPr>
                      <w:bCs/>
                      <w:szCs w:val="21"/>
                      <w:lang w:bidi="ar"/>
                    </w:rPr>
                  </w:pPr>
                  <w:r>
                    <w:rPr>
                      <w:bCs/>
                      <w:szCs w:val="21"/>
                      <w:lang w:bidi="ar"/>
                    </w:rPr>
                    <w:t>ND</w:t>
                  </w:r>
                </w:p>
              </w:tc>
              <w:tc>
                <w:tcPr>
                  <w:tcW w:w="1728" w:type="dxa"/>
                  <w:noWrap w:val="0"/>
                  <w:vAlign w:val="center"/>
                </w:tcPr>
                <w:p>
                  <w:pPr>
                    <w:jc w:val="center"/>
                    <w:rPr>
                      <w:rFonts w:hint="eastAsia"/>
                      <w:bCs/>
                      <w:szCs w:val="21"/>
                      <w:lang w:bidi="ar"/>
                    </w:rPr>
                  </w:pPr>
                  <w:r>
                    <w:rPr>
                      <w:bCs/>
                      <w:szCs w:val="21"/>
                      <w:lang w:bidi="ar"/>
                    </w:rPr>
                    <w:t>ND</w:t>
                  </w:r>
                </w:p>
              </w:tc>
              <w:tc>
                <w:tcPr>
                  <w:tcW w:w="1563" w:type="dxa"/>
                  <w:noWrap w:val="0"/>
                  <w:vAlign w:val="center"/>
                </w:tcPr>
                <w:p>
                  <w:pPr>
                    <w:jc w:val="center"/>
                    <w:rPr>
                      <w:bCs/>
                      <w:szCs w:val="21"/>
                      <w:lang w:bidi="ar"/>
                    </w:rPr>
                  </w:pPr>
                  <w:r>
                    <w:rPr>
                      <w:rFonts w:hint="eastAsia"/>
                      <w:bCs/>
                      <w:szCs w:val="21"/>
                      <w:lang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铜</w:t>
                  </w:r>
                </w:p>
              </w:tc>
              <w:tc>
                <w:tcPr>
                  <w:tcW w:w="1728" w:type="dxa"/>
                  <w:noWrap w:val="0"/>
                  <w:vAlign w:val="center"/>
                </w:tcPr>
                <w:p>
                  <w:pPr>
                    <w:jc w:val="center"/>
                    <w:rPr>
                      <w:bCs/>
                      <w:szCs w:val="21"/>
                      <w:lang w:bidi="ar"/>
                    </w:rPr>
                  </w:pPr>
                  <w:r>
                    <w:rPr>
                      <w:rFonts w:hint="eastAsia"/>
                      <w:bCs/>
                      <w:szCs w:val="21"/>
                      <w:lang w:bidi="ar"/>
                    </w:rPr>
                    <w:t>35</w:t>
                  </w:r>
                </w:p>
              </w:tc>
              <w:tc>
                <w:tcPr>
                  <w:tcW w:w="1728" w:type="dxa"/>
                  <w:noWrap w:val="0"/>
                  <w:vAlign w:val="center"/>
                </w:tcPr>
                <w:p>
                  <w:pPr>
                    <w:jc w:val="center"/>
                    <w:rPr>
                      <w:rFonts w:hint="eastAsia"/>
                      <w:bCs/>
                      <w:szCs w:val="21"/>
                      <w:lang w:bidi="ar"/>
                    </w:rPr>
                  </w:pPr>
                  <w:r>
                    <w:rPr>
                      <w:rFonts w:hint="eastAsia"/>
                      <w:bCs/>
                      <w:szCs w:val="21"/>
                      <w:lang w:bidi="ar"/>
                    </w:rPr>
                    <w:t>45</w:t>
                  </w:r>
                </w:p>
              </w:tc>
              <w:tc>
                <w:tcPr>
                  <w:tcW w:w="1563" w:type="dxa"/>
                  <w:noWrap w:val="0"/>
                  <w:vAlign w:val="center"/>
                </w:tcPr>
                <w:p>
                  <w:pPr>
                    <w:jc w:val="center"/>
                    <w:rPr>
                      <w:rFonts w:hint="eastAsia"/>
                      <w:bCs/>
                      <w:szCs w:val="21"/>
                      <w:lang w:bidi="ar"/>
                    </w:rPr>
                  </w:pPr>
                  <w:r>
                    <w:rPr>
                      <w:rFonts w:hint="eastAsia"/>
                      <w:bCs/>
                      <w:szCs w:val="21"/>
                      <w:lang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镍</w:t>
                  </w:r>
                </w:p>
              </w:tc>
              <w:tc>
                <w:tcPr>
                  <w:tcW w:w="1728" w:type="dxa"/>
                  <w:noWrap w:val="0"/>
                  <w:vAlign w:val="center"/>
                </w:tcPr>
                <w:p>
                  <w:pPr>
                    <w:jc w:val="center"/>
                    <w:rPr>
                      <w:bCs/>
                      <w:szCs w:val="21"/>
                      <w:lang w:bidi="ar"/>
                    </w:rPr>
                  </w:pPr>
                  <w:r>
                    <w:rPr>
                      <w:rFonts w:hint="eastAsia"/>
                      <w:bCs/>
                      <w:szCs w:val="21"/>
                      <w:lang w:bidi="ar"/>
                    </w:rPr>
                    <w:t>31</w:t>
                  </w:r>
                </w:p>
              </w:tc>
              <w:tc>
                <w:tcPr>
                  <w:tcW w:w="1728" w:type="dxa"/>
                  <w:noWrap w:val="0"/>
                  <w:vAlign w:val="center"/>
                </w:tcPr>
                <w:p>
                  <w:pPr>
                    <w:jc w:val="center"/>
                    <w:rPr>
                      <w:rFonts w:hint="eastAsia"/>
                      <w:bCs/>
                      <w:szCs w:val="21"/>
                      <w:lang w:bidi="ar"/>
                    </w:rPr>
                  </w:pPr>
                  <w:r>
                    <w:rPr>
                      <w:rFonts w:hint="eastAsia"/>
                      <w:bCs/>
                      <w:szCs w:val="21"/>
                      <w:lang w:bidi="ar"/>
                    </w:rPr>
                    <w:t>38</w:t>
                  </w:r>
                </w:p>
              </w:tc>
              <w:tc>
                <w:tcPr>
                  <w:tcW w:w="1563" w:type="dxa"/>
                  <w:noWrap w:val="0"/>
                  <w:vAlign w:val="center"/>
                </w:tcPr>
                <w:p>
                  <w:pPr>
                    <w:jc w:val="center"/>
                    <w:rPr>
                      <w:rFonts w:hint="eastAsia"/>
                      <w:bCs/>
                      <w:szCs w:val="21"/>
                      <w:lang w:bidi="ar"/>
                    </w:rPr>
                  </w:pPr>
                  <w:r>
                    <w:rPr>
                      <w:rFonts w:hint="eastAsia"/>
                      <w:bCs/>
                      <w:szCs w:val="21"/>
                      <w:lang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锌</w:t>
                  </w:r>
                </w:p>
              </w:tc>
              <w:tc>
                <w:tcPr>
                  <w:tcW w:w="1728" w:type="dxa"/>
                  <w:noWrap w:val="0"/>
                  <w:vAlign w:val="center"/>
                </w:tcPr>
                <w:p>
                  <w:pPr>
                    <w:jc w:val="center"/>
                    <w:rPr>
                      <w:bCs/>
                      <w:szCs w:val="21"/>
                      <w:lang w:bidi="ar"/>
                    </w:rPr>
                  </w:pPr>
                  <w:r>
                    <w:rPr>
                      <w:rFonts w:hint="eastAsia"/>
                      <w:bCs/>
                      <w:szCs w:val="21"/>
                      <w:lang w:bidi="ar"/>
                    </w:rPr>
                    <w:t>81</w:t>
                  </w:r>
                </w:p>
              </w:tc>
              <w:tc>
                <w:tcPr>
                  <w:tcW w:w="1728" w:type="dxa"/>
                  <w:noWrap w:val="0"/>
                  <w:vAlign w:val="center"/>
                </w:tcPr>
                <w:p>
                  <w:pPr>
                    <w:jc w:val="center"/>
                    <w:rPr>
                      <w:rFonts w:hint="eastAsia"/>
                      <w:bCs/>
                      <w:szCs w:val="21"/>
                      <w:lang w:bidi="ar"/>
                    </w:rPr>
                  </w:pPr>
                  <w:r>
                    <w:rPr>
                      <w:rFonts w:hint="eastAsia"/>
                      <w:bCs/>
                      <w:szCs w:val="21"/>
                      <w:lang w:bidi="ar"/>
                    </w:rPr>
                    <w:t>90</w:t>
                  </w:r>
                </w:p>
              </w:tc>
              <w:tc>
                <w:tcPr>
                  <w:tcW w:w="1563" w:type="dxa"/>
                  <w:noWrap w:val="0"/>
                  <w:vAlign w:val="center"/>
                </w:tcPr>
                <w:p>
                  <w:pPr>
                    <w:jc w:val="center"/>
                    <w:rPr>
                      <w:rFonts w:hint="eastAsia"/>
                      <w:bCs/>
                      <w:szCs w:val="21"/>
                      <w:lang w:bidi="ar"/>
                    </w:rPr>
                  </w:pPr>
                  <w:r>
                    <w:rPr>
                      <w:rFonts w:hint="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bCs/>
                      <w:szCs w:val="21"/>
                      <w:lang w:bidi="ar"/>
                    </w:rPr>
                    <w:t>石油烃（C10-C40）</w:t>
                  </w:r>
                </w:p>
              </w:tc>
              <w:tc>
                <w:tcPr>
                  <w:tcW w:w="1728" w:type="dxa"/>
                  <w:noWrap w:val="0"/>
                  <w:vAlign w:val="center"/>
                </w:tcPr>
                <w:p>
                  <w:pPr>
                    <w:jc w:val="center"/>
                    <w:rPr>
                      <w:bCs/>
                      <w:szCs w:val="21"/>
                      <w:lang w:bidi="ar"/>
                    </w:rPr>
                  </w:pPr>
                  <w:r>
                    <w:rPr>
                      <w:bCs/>
                      <w:szCs w:val="21"/>
                      <w:lang w:bidi="ar"/>
                    </w:rPr>
                    <w:t>ND</w:t>
                  </w:r>
                </w:p>
              </w:tc>
              <w:tc>
                <w:tcPr>
                  <w:tcW w:w="1728" w:type="dxa"/>
                  <w:noWrap w:val="0"/>
                  <w:vAlign w:val="center"/>
                </w:tcPr>
                <w:p>
                  <w:pPr>
                    <w:jc w:val="center"/>
                    <w:rPr>
                      <w:rFonts w:hint="eastAsia"/>
                      <w:bCs/>
                      <w:szCs w:val="21"/>
                      <w:lang w:bidi="ar"/>
                    </w:rPr>
                  </w:pPr>
                  <w:r>
                    <w:rPr>
                      <w:bCs/>
                      <w:szCs w:val="21"/>
                      <w:lang w:bidi="ar"/>
                    </w:rPr>
                    <w:t>ND</w:t>
                  </w:r>
                </w:p>
              </w:tc>
              <w:tc>
                <w:tcPr>
                  <w:tcW w:w="1563" w:type="dxa"/>
                  <w:noWrap w:val="0"/>
                  <w:vAlign w:val="center"/>
                </w:tcPr>
                <w:p>
                  <w:pPr>
                    <w:jc w:val="center"/>
                    <w:rPr>
                      <w:bCs/>
                      <w:szCs w:val="21"/>
                      <w:lang w:bidi="ar"/>
                    </w:rPr>
                  </w:pPr>
                  <w:r>
                    <w:rPr>
                      <w:rFonts w:hint="eastAsia"/>
                      <w:bCs/>
                      <w:szCs w:val="21"/>
                      <w:lang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bCs/>
                      <w:szCs w:val="21"/>
                      <w:lang w:bidi="ar"/>
                    </w:rPr>
                  </w:pPr>
                  <w:r>
                    <w:rPr>
                      <w:rFonts w:hint="eastAsia"/>
                      <w:bCs/>
                      <w:szCs w:val="21"/>
                      <w:lang w:bidi="ar"/>
                    </w:rPr>
                    <w:t>石油烃（C</w:t>
                  </w:r>
                  <w:r>
                    <w:rPr>
                      <w:bCs/>
                      <w:szCs w:val="21"/>
                      <w:lang w:bidi="ar"/>
                    </w:rPr>
                    <w:t>6</w:t>
                  </w:r>
                  <w:r>
                    <w:rPr>
                      <w:rFonts w:hint="eastAsia"/>
                      <w:bCs/>
                      <w:szCs w:val="21"/>
                      <w:lang w:bidi="ar"/>
                    </w:rPr>
                    <w:t>-</w:t>
                  </w:r>
                  <w:r>
                    <w:rPr>
                      <w:bCs/>
                      <w:szCs w:val="21"/>
                      <w:lang w:bidi="ar"/>
                    </w:rPr>
                    <w:t>C9</w:t>
                  </w:r>
                  <w:r>
                    <w:rPr>
                      <w:rFonts w:hint="eastAsia"/>
                      <w:bCs/>
                      <w:szCs w:val="21"/>
                      <w:lang w:bidi="ar"/>
                    </w:rPr>
                    <w:t>）*</w:t>
                  </w:r>
                </w:p>
              </w:tc>
              <w:tc>
                <w:tcPr>
                  <w:tcW w:w="1728" w:type="dxa"/>
                  <w:noWrap w:val="0"/>
                  <w:vAlign w:val="center"/>
                </w:tcPr>
                <w:p>
                  <w:pPr>
                    <w:jc w:val="center"/>
                    <w:rPr>
                      <w:bCs/>
                      <w:szCs w:val="21"/>
                      <w:lang w:bidi="ar"/>
                    </w:rPr>
                  </w:pPr>
                  <w:r>
                    <w:rPr>
                      <w:bCs/>
                      <w:szCs w:val="21"/>
                      <w:lang w:bidi="ar"/>
                    </w:rPr>
                    <w:t>ND</w:t>
                  </w:r>
                </w:p>
              </w:tc>
              <w:tc>
                <w:tcPr>
                  <w:tcW w:w="1728" w:type="dxa"/>
                  <w:noWrap w:val="0"/>
                  <w:vAlign w:val="center"/>
                </w:tcPr>
                <w:p>
                  <w:pPr>
                    <w:jc w:val="center"/>
                    <w:rPr>
                      <w:rFonts w:hint="eastAsia"/>
                      <w:bCs/>
                      <w:szCs w:val="21"/>
                      <w:lang w:bidi="ar"/>
                    </w:rPr>
                  </w:pPr>
                  <w:r>
                    <w:rPr>
                      <w:bCs/>
                      <w:szCs w:val="21"/>
                      <w:lang w:bidi="ar"/>
                    </w:rPr>
                    <w:t>ND</w:t>
                  </w:r>
                </w:p>
              </w:tc>
              <w:tc>
                <w:tcPr>
                  <w:tcW w:w="1563" w:type="dxa"/>
                  <w:noWrap w:val="0"/>
                  <w:vAlign w:val="center"/>
                </w:tcPr>
                <w:p>
                  <w:pPr>
                    <w:jc w:val="center"/>
                    <w:rPr>
                      <w:bCs/>
                      <w:szCs w:val="21"/>
                      <w:lang w:bidi="ar"/>
                    </w:rPr>
                  </w:pPr>
                  <w:r>
                    <w:rPr>
                      <w:rFonts w:hint="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99" w:type="dxa"/>
                  <w:vMerge w:val="continue"/>
                  <w:noWrap w:val="0"/>
                  <w:vAlign w:val="center"/>
                </w:tcPr>
                <w:p>
                  <w:pPr>
                    <w:jc w:val="center"/>
                    <w:rPr>
                      <w:bCs/>
                      <w:szCs w:val="21"/>
                      <w:lang w:bidi="ar"/>
                    </w:rPr>
                  </w:pPr>
                </w:p>
              </w:tc>
              <w:tc>
                <w:tcPr>
                  <w:tcW w:w="1960" w:type="dxa"/>
                  <w:noWrap w:val="0"/>
                  <w:vAlign w:val="center"/>
                </w:tcPr>
                <w:p>
                  <w:pPr>
                    <w:jc w:val="center"/>
                    <w:rPr>
                      <w:rFonts w:hint="eastAsia"/>
                      <w:bCs/>
                      <w:szCs w:val="21"/>
                      <w:lang w:bidi="ar"/>
                    </w:rPr>
                  </w:pPr>
                  <w:r>
                    <w:rPr>
                      <w:rFonts w:hint="eastAsia"/>
                      <w:bCs/>
                      <w:szCs w:val="21"/>
                      <w:lang w:bidi="ar"/>
                    </w:rPr>
                    <w:t>石油类*</w:t>
                  </w:r>
                </w:p>
              </w:tc>
              <w:tc>
                <w:tcPr>
                  <w:tcW w:w="1728" w:type="dxa"/>
                  <w:noWrap w:val="0"/>
                  <w:vAlign w:val="center"/>
                </w:tcPr>
                <w:p>
                  <w:pPr>
                    <w:jc w:val="center"/>
                    <w:rPr>
                      <w:bCs/>
                      <w:szCs w:val="21"/>
                      <w:lang w:bidi="ar"/>
                    </w:rPr>
                  </w:pPr>
                  <w:r>
                    <w:rPr>
                      <w:bCs/>
                      <w:szCs w:val="21"/>
                      <w:lang w:bidi="ar"/>
                    </w:rPr>
                    <w:t>ND</w:t>
                  </w:r>
                </w:p>
              </w:tc>
              <w:tc>
                <w:tcPr>
                  <w:tcW w:w="1728" w:type="dxa"/>
                  <w:noWrap w:val="0"/>
                  <w:vAlign w:val="center"/>
                </w:tcPr>
                <w:p>
                  <w:pPr>
                    <w:jc w:val="center"/>
                    <w:rPr>
                      <w:rFonts w:hint="eastAsia"/>
                      <w:bCs/>
                      <w:szCs w:val="21"/>
                      <w:lang w:bidi="ar"/>
                    </w:rPr>
                  </w:pPr>
                  <w:r>
                    <w:rPr>
                      <w:bCs/>
                      <w:szCs w:val="21"/>
                      <w:lang w:bidi="ar"/>
                    </w:rPr>
                    <w:t>ND</w:t>
                  </w:r>
                </w:p>
              </w:tc>
              <w:tc>
                <w:tcPr>
                  <w:tcW w:w="1563" w:type="dxa"/>
                  <w:noWrap w:val="0"/>
                  <w:vAlign w:val="center"/>
                </w:tcPr>
                <w:p>
                  <w:pPr>
                    <w:jc w:val="center"/>
                    <w:rPr>
                      <w:bCs/>
                      <w:szCs w:val="21"/>
                      <w:lang w:bidi="ar"/>
                    </w:rPr>
                  </w:pPr>
                  <w:r>
                    <w:rPr>
                      <w:rFonts w:hint="eastAsia"/>
                      <w:bCs/>
                      <w:szCs w:val="21"/>
                      <w:lang w:bidi="ar"/>
                    </w:rPr>
                    <w:t>/</w:t>
                  </w:r>
                </w:p>
              </w:tc>
            </w:tr>
          </w:tbl>
          <w:p>
            <w:pPr>
              <w:ind w:firstLine="422" w:firstLineChars="200"/>
              <w:jc w:val="center"/>
              <w:rPr>
                <w:rFonts w:hint="eastAsia"/>
                <w:b/>
                <w:bCs/>
                <w:szCs w:val="21"/>
              </w:rPr>
            </w:pPr>
            <w:r>
              <w:rPr>
                <w:b/>
                <w:bCs/>
                <w:szCs w:val="21"/>
              </w:rPr>
              <w:t>表3-1</w:t>
            </w:r>
            <w:r>
              <w:rPr>
                <w:rFonts w:hint="eastAsia"/>
                <w:b/>
                <w:bCs/>
                <w:szCs w:val="21"/>
              </w:rPr>
              <w:t>3</w:t>
            </w:r>
            <w:r>
              <w:rPr>
                <w:b/>
                <w:bCs/>
                <w:szCs w:val="21"/>
              </w:rPr>
              <w:t xml:space="preserve"> 项目</w:t>
            </w:r>
            <w:r>
              <w:rPr>
                <w:rFonts w:hint="eastAsia"/>
                <w:b/>
                <w:bCs/>
                <w:szCs w:val="21"/>
              </w:rPr>
              <w:t>1#点位</w:t>
            </w:r>
            <w:r>
              <w:rPr>
                <w:b/>
                <w:bCs/>
                <w:szCs w:val="21"/>
              </w:rPr>
              <w:t>土壤环境质量现状监测结果表（单位：mg/kg）</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652"/>
              <w:gridCol w:w="1995"/>
              <w:gridCol w:w="1706"/>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19" w:type="dxa"/>
                  <w:noWrap w:val="0"/>
                  <w:vAlign w:val="center"/>
                </w:tcPr>
                <w:p>
                  <w:pPr>
                    <w:jc w:val="center"/>
                    <w:rPr>
                      <w:b/>
                      <w:bCs/>
                      <w:szCs w:val="21"/>
                    </w:rPr>
                  </w:pPr>
                  <w:r>
                    <w:rPr>
                      <w:rFonts w:hint="eastAsia"/>
                      <w:b/>
                      <w:bCs/>
                      <w:szCs w:val="21"/>
                    </w:rPr>
                    <w:t>采样日期</w:t>
                  </w:r>
                </w:p>
              </w:tc>
              <w:tc>
                <w:tcPr>
                  <w:tcW w:w="1655" w:type="dxa"/>
                  <w:noWrap w:val="0"/>
                  <w:vAlign w:val="center"/>
                </w:tcPr>
                <w:p>
                  <w:pPr>
                    <w:jc w:val="center"/>
                    <w:rPr>
                      <w:b/>
                      <w:bCs/>
                      <w:szCs w:val="21"/>
                    </w:rPr>
                  </w:pPr>
                  <w:r>
                    <w:rPr>
                      <w:b/>
                      <w:bCs/>
                      <w:szCs w:val="21"/>
                    </w:rPr>
                    <w:t>检测点编号及位置</w:t>
                  </w:r>
                </w:p>
              </w:tc>
              <w:tc>
                <w:tcPr>
                  <w:tcW w:w="1997" w:type="dxa"/>
                  <w:noWrap w:val="0"/>
                  <w:vAlign w:val="center"/>
                </w:tcPr>
                <w:p>
                  <w:pPr>
                    <w:jc w:val="center"/>
                    <w:rPr>
                      <w:b/>
                      <w:bCs/>
                      <w:szCs w:val="21"/>
                    </w:rPr>
                  </w:pPr>
                  <w:r>
                    <w:rPr>
                      <w:b/>
                      <w:bCs/>
                      <w:szCs w:val="21"/>
                    </w:rPr>
                    <w:t>检测因子</w:t>
                  </w:r>
                </w:p>
              </w:tc>
              <w:tc>
                <w:tcPr>
                  <w:tcW w:w="1709" w:type="dxa"/>
                  <w:noWrap w:val="0"/>
                  <w:vAlign w:val="center"/>
                </w:tcPr>
                <w:p>
                  <w:pPr>
                    <w:jc w:val="center"/>
                    <w:rPr>
                      <w:rFonts w:hint="eastAsia"/>
                      <w:b/>
                      <w:bCs/>
                      <w:szCs w:val="21"/>
                    </w:rPr>
                  </w:pPr>
                  <w:r>
                    <w:rPr>
                      <w:rFonts w:hint="eastAsia"/>
                      <w:b/>
                      <w:bCs/>
                      <w:szCs w:val="21"/>
                    </w:rPr>
                    <w:t>检测结果</w:t>
                  </w:r>
                </w:p>
              </w:tc>
              <w:tc>
                <w:tcPr>
                  <w:tcW w:w="1608" w:type="dxa"/>
                  <w:noWrap w:val="0"/>
                  <w:vAlign w:val="center"/>
                </w:tcPr>
                <w:p>
                  <w:pPr>
                    <w:jc w:val="center"/>
                    <w:rPr>
                      <w:rFonts w:hint="eastAsia"/>
                      <w:b/>
                      <w:bCs/>
                      <w:szCs w:val="21"/>
                    </w:rPr>
                  </w:pPr>
                  <w:r>
                    <w:rPr>
                      <w:b/>
                      <w:szCs w:val="21"/>
                    </w:rPr>
                    <w:t>第二类用地筛选值标准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restart"/>
                  <w:noWrap w:val="0"/>
                  <w:vAlign w:val="center"/>
                </w:tcPr>
                <w:p>
                  <w:pPr>
                    <w:widowControl/>
                    <w:jc w:val="center"/>
                    <w:textAlignment w:val="center"/>
                    <w:rPr>
                      <w:szCs w:val="21"/>
                    </w:rPr>
                  </w:pPr>
                  <w:r>
                    <w:rPr>
                      <w:rFonts w:hint="eastAsia"/>
                      <w:szCs w:val="21"/>
                    </w:rPr>
                    <w:t>2023.07.11</w:t>
                  </w:r>
                </w:p>
              </w:tc>
              <w:tc>
                <w:tcPr>
                  <w:tcW w:w="1655" w:type="dxa"/>
                  <w:vMerge w:val="restart"/>
                  <w:noWrap w:val="0"/>
                  <w:vAlign w:val="center"/>
                </w:tcPr>
                <w:p>
                  <w:pPr>
                    <w:widowControl/>
                    <w:jc w:val="center"/>
                    <w:textAlignment w:val="center"/>
                    <w:rPr>
                      <w:szCs w:val="21"/>
                    </w:rPr>
                  </w:pPr>
                  <w:r>
                    <w:rPr>
                      <w:rFonts w:hint="eastAsia"/>
                      <w:szCs w:val="21"/>
                    </w:rPr>
                    <w:t>T1，</w:t>
                  </w:r>
                  <w:r>
                    <w:rPr>
                      <w:rFonts w:hint="eastAsia"/>
                      <w:bCs/>
                      <w:szCs w:val="21"/>
                    </w:rPr>
                    <w:t>项目拟建油罐区</w:t>
                  </w:r>
                </w:p>
              </w:tc>
              <w:tc>
                <w:tcPr>
                  <w:tcW w:w="1997" w:type="dxa"/>
                  <w:noWrap w:val="0"/>
                  <w:vAlign w:val="center"/>
                </w:tcPr>
                <w:p>
                  <w:pPr>
                    <w:widowControl/>
                    <w:jc w:val="center"/>
                    <w:textAlignment w:val="center"/>
                    <w:rPr>
                      <w:szCs w:val="21"/>
                    </w:rPr>
                  </w:pPr>
                  <w:r>
                    <w:rPr>
                      <w:kern w:val="0"/>
                    </w:rPr>
                    <w:t>砷</w:t>
                  </w:r>
                </w:p>
              </w:tc>
              <w:tc>
                <w:tcPr>
                  <w:tcW w:w="1709" w:type="dxa"/>
                  <w:noWrap w:val="0"/>
                  <w:vAlign w:val="center"/>
                </w:tcPr>
                <w:p>
                  <w:pPr>
                    <w:widowControl/>
                    <w:jc w:val="center"/>
                    <w:textAlignment w:val="top"/>
                    <w:rPr>
                      <w:szCs w:val="21"/>
                    </w:rPr>
                  </w:pPr>
                  <w:r>
                    <w:rPr>
                      <w:rFonts w:hint="eastAsia"/>
                    </w:rPr>
                    <w:t>0.51</w:t>
                  </w:r>
                </w:p>
              </w:tc>
              <w:tc>
                <w:tcPr>
                  <w:tcW w:w="1608" w:type="dxa"/>
                  <w:noWrap w:val="0"/>
                  <w:vAlign w:val="center"/>
                </w:tcPr>
                <w:p>
                  <w:pPr>
                    <w:widowControl/>
                    <w:jc w:val="center"/>
                    <w:textAlignment w:val="top"/>
                    <w:rPr>
                      <w:kern w:val="0"/>
                      <w:szCs w:val="21"/>
                      <w:lang w:bidi="ar"/>
                    </w:rPr>
                  </w:pPr>
                  <w:r>
                    <w:rPr>
                      <w:rFonts w:hint="eastAsia"/>
                      <w:kern w:val="0"/>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jc w:val="center"/>
                    <w:textAlignment w:val="center"/>
                    <w:rPr>
                      <w:szCs w:val="21"/>
                    </w:rPr>
                  </w:pPr>
                  <w:r>
                    <w:rPr>
                      <w:kern w:val="0"/>
                    </w:rPr>
                    <w:t>镉</w:t>
                  </w:r>
                </w:p>
              </w:tc>
              <w:tc>
                <w:tcPr>
                  <w:tcW w:w="1709" w:type="dxa"/>
                  <w:noWrap w:val="0"/>
                  <w:vAlign w:val="center"/>
                </w:tcPr>
                <w:p>
                  <w:pPr>
                    <w:widowControl/>
                    <w:jc w:val="center"/>
                    <w:textAlignment w:val="top"/>
                    <w:rPr>
                      <w:szCs w:val="21"/>
                    </w:rPr>
                  </w:pPr>
                  <w:r>
                    <w:rPr>
                      <w:rFonts w:hint="eastAsia"/>
                    </w:rPr>
                    <w:t>0.31</w:t>
                  </w:r>
                </w:p>
              </w:tc>
              <w:tc>
                <w:tcPr>
                  <w:tcW w:w="1608" w:type="dxa"/>
                  <w:noWrap w:val="0"/>
                  <w:vAlign w:val="center"/>
                </w:tcPr>
                <w:p>
                  <w:pPr>
                    <w:widowControl/>
                    <w:jc w:val="center"/>
                    <w:textAlignment w:val="top"/>
                    <w:rPr>
                      <w:kern w:val="0"/>
                      <w:szCs w:val="21"/>
                      <w:lang w:bidi="ar"/>
                    </w:rPr>
                  </w:pPr>
                  <w:r>
                    <w:rPr>
                      <w:rFonts w:hint="eastAsia"/>
                      <w:kern w:val="0"/>
                      <w:szCs w:val="21"/>
                      <w:lang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jc w:val="center"/>
                    <w:textAlignment w:val="center"/>
                    <w:rPr>
                      <w:szCs w:val="21"/>
                    </w:rPr>
                  </w:pPr>
                  <w:r>
                    <w:rPr>
                      <w:rFonts w:hint="eastAsia"/>
                      <w:kern w:val="0"/>
                      <w:szCs w:val="21"/>
                      <w:lang w:bidi="ar"/>
                    </w:rPr>
                    <w:t>六价铬</w:t>
                  </w:r>
                </w:p>
              </w:tc>
              <w:tc>
                <w:tcPr>
                  <w:tcW w:w="1709" w:type="dxa"/>
                  <w:noWrap w:val="0"/>
                  <w:vAlign w:val="center"/>
                </w:tcPr>
                <w:p>
                  <w:pPr>
                    <w:widowControl/>
                    <w:jc w:val="center"/>
                    <w:textAlignment w:val="top"/>
                    <w:rPr>
                      <w:szCs w:val="21"/>
                    </w:rPr>
                  </w:pPr>
                  <w:r>
                    <w:rPr>
                      <w:rFonts w:hint="eastAsia"/>
                      <w:kern w:val="0"/>
                      <w:szCs w:val="21"/>
                      <w:lang w:bidi="ar"/>
                    </w:rPr>
                    <w:t>ND</w:t>
                  </w:r>
                </w:p>
              </w:tc>
              <w:tc>
                <w:tcPr>
                  <w:tcW w:w="1608" w:type="dxa"/>
                  <w:noWrap w:val="0"/>
                  <w:vAlign w:val="center"/>
                </w:tcPr>
                <w:p>
                  <w:pPr>
                    <w:widowControl/>
                    <w:jc w:val="center"/>
                    <w:textAlignment w:val="top"/>
                    <w:rPr>
                      <w:kern w:val="0"/>
                      <w:szCs w:val="21"/>
                      <w:lang w:bidi="ar"/>
                    </w:rPr>
                  </w:pPr>
                  <w:r>
                    <w:rPr>
                      <w:rFonts w:hint="eastAsia"/>
                      <w:kern w:val="0"/>
                      <w:szCs w:val="21"/>
                      <w:lang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jc w:val="center"/>
                    <w:textAlignment w:val="center"/>
                    <w:rPr>
                      <w:szCs w:val="21"/>
                    </w:rPr>
                  </w:pPr>
                  <w:r>
                    <w:rPr>
                      <w:kern w:val="0"/>
                    </w:rPr>
                    <w:t>铜</w:t>
                  </w:r>
                </w:p>
              </w:tc>
              <w:tc>
                <w:tcPr>
                  <w:tcW w:w="1709" w:type="dxa"/>
                  <w:noWrap w:val="0"/>
                  <w:vAlign w:val="center"/>
                </w:tcPr>
                <w:p>
                  <w:pPr>
                    <w:widowControl/>
                    <w:jc w:val="center"/>
                    <w:textAlignment w:val="top"/>
                    <w:rPr>
                      <w:szCs w:val="21"/>
                    </w:rPr>
                  </w:pPr>
                  <w:r>
                    <w:rPr>
                      <w:rFonts w:hint="eastAsia"/>
                    </w:rPr>
                    <w:t>37</w:t>
                  </w:r>
                </w:p>
              </w:tc>
              <w:tc>
                <w:tcPr>
                  <w:tcW w:w="1608" w:type="dxa"/>
                  <w:noWrap w:val="0"/>
                  <w:vAlign w:val="center"/>
                </w:tcPr>
                <w:p>
                  <w:pPr>
                    <w:widowControl/>
                    <w:jc w:val="center"/>
                    <w:textAlignment w:val="top"/>
                    <w:rPr>
                      <w:kern w:val="0"/>
                      <w:szCs w:val="21"/>
                      <w:lang w:bidi="ar"/>
                    </w:rPr>
                  </w:pPr>
                  <w:r>
                    <w:rPr>
                      <w:rFonts w:hint="eastAsia"/>
                      <w:kern w:val="0"/>
                      <w:szCs w:val="21"/>
                      <w:lang w:bidi="ar"/>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jc w:val="center"/>
                    <w:textAlignment w:val="center"/>
                    <w:rPr>
                      <w:szCs w:val="21"/>
                    </w:rPr>
                  </w:pPr>
                  <w:r>
                    <w:rPr>
                      <w:kern w:val="0"/>
                      <w:szCs w:val="21"/>
                      <w:lang w:bidi="ar"/>
                    </w:rPr>
                    <w:t>铅</w:t>
                  </w:r>
                </w:p>
              </w:tc>
              <w:tc>
                <w:tcPr>
                  <w:tcW w:w="1709" w:type="dxa"/>
                  <w:noWrap w:val="0"/>
                  <w:vAlign w:val="center"/>
                </w:tcPr>
                <w:p>
                  <w:pPr>
                    <w:widowControl/>
                    <w:jc w:val="center"/>
                    <w:textAlignment w:val="top"/>
                    <w:rPr>
                      <w:szCs w:val="21"/>
                    </w:rPr>
                  </w:pPr>
                  <w:r>
                    <w:rPr>
                      <w:rFonts w:hint="eastAsia"/>
                      <w:szCs w:val="21"/>
                    </w:rPr>
                    <w:t>32</w:t>
                  </w:r>
                </w:p>
              </w:tc>
              <w:tc>
                <w:tcPr>
                  <w:tcW w:w="1608" w:type="dxa"/>
                  <w:noWrap w:val="0"/>
                  <w:vAlign w:val="center"/>
                </w:tcPr>
                <w:p>
                  <w:pPr>
                    <w:widowControl/>
                    <w:jc w:val="center"/>
                    <w:textAlignment w:val="top"/>
                    <w:rPr>
                      <w:kern w:val="0"/>
                      <w:szCs w:val="21"/>
                      <w:lang w:bidi="ar"/>
                    </w:rPr>
                  </w:pPr>
                  <w:r>
                    <w:rPr>
                      <w:rFonts w:hint="eastAsia"/>
                      <w:kern w:val="0"/>
                      <w:szCs w:val="21"/>
                      <w:lang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ind w:left="-105" w:leftChars="-50" w:right="-105" w:rightChars="-50"/>
                    <w:jc w:val="center"/>
                    <w:textAlignment w:val="center"/>
                    <w:rPr>
                      <w:szCs w:val="21"/>
                    </w:rPr>
                  </w:pPr>
                  <w:r>
                    <w:rPr>
                      <w:kern w:val="0"/>
                      <w:szCs w:val="21"/>
                      <w:lang w:bidi="ar"/>
                    </w:rPr>
                    <w:t>汞</w:t>
                  </w:r>
                </w:p>
              </w:tc>
              <w:tc>
                <w:tcPr>
                  <w:tcW w:w="1709" w:type="dxa"/>
                  <w:noWrap w:val="0"/>
                  <w:vAlign w:val="center"/>
                </w:tcPr>
                <w:p>
                  <w:pPr>
                    <w:widowControl/>
                    <w:jc w:val="center"/>
                    <w:textAlignment w:val="top"/>
                    <w:rPr>
                      <w:szCs w:val="21"/>
                    </w:rPr>
                  </w:pPr>
                  <w:r>
                    <w:rPr>
                      <w:rFonts w:hint="eastAsia"/>
                      <w:kern w:val="0"/>
                      <w:szCs w:val="21"/>
                      <w:lang w:bidi="ar"/>
                    </w:rPr>
                    <w:t>0.259</w:t>
                  </w:r>
                </w:p>
              </w:tc>
              <w:tc>
                <w:tcPr>
                  <w:tcW w:w="1608" w:type="dxa"/>
                  <w:noWrap w:val="0"/>
                  <w:vAlign w:val="center"/>
                </w:tcPr>
                <w:p>
                  <w:pPr>
                    <w:widowControl/>
                    <w:jc w:val="center"/>
                    <w:textAlignment w:val="top"/>
                    <w:rPr>
                      <w:kern w:val="0"/>
                      <w:szCs w:val="21"/>
                      <w:lang w:bidi="ar"/>
                    </w:rPr>
                  </w:pPr>
                  <w:r>
                    <w:rPr>
                      <w:rFonts w:hint="eastAsia"/>
                      <w:kern w:val="0"/>
                      <w:szCs w:val="21"/>
                      <w:lang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widowControl/>
                    <w:jc w:val="center"/>
                    <w:textAlignment w:val="center"/>
                    <w:rPr>
                      <w:szCs w:val="21"/>
                    </w:rPr>
                  </w:pPr>
                  <w:r>
                    <w:rPr>
                      <w:kern w:val="0"/>
                      <w:szCs w:val="21"/>
                      <w:lang w:bidi="ar"/>
                    </w:rPr>
                    <w:t>镍</w:t>
                  </w:r>
                </w:p>
              </w:tc>
              <w:tc>
                <w:tcPr>
                  <w:tcW w:w="1709" w:type="dxa"/>
                  <w:noWrap w:val="0"/>
                  <w:vAlign w:val="center"/>
                </w:tcPr>
                <w:p>
                  <w:pPr>
                    <w:jc w:val="center"/>
                    <w:rPr>
                      <w:szCs w:val="21"/>
                    </w:rPr>
                  </w:pPr>
                  <w:r>
                    <w:rPr>
                      <w:rFonts w:hint="eastAsia"/>
                      <w:szCs w:val="21"/>
                    </w:rPr>
                    <w:t>34</w:t>
                  </w:r>
                </w:p>
              </w:tc>
              <w:tc>
                <w:tcPr>
                  <w:tcW w:w="1608" w:type="dxa"/>
                  <w:noWrap w:val="0"/>
                  <w:vAlign w:val="center"/>
                </w:tcPr>
                <w:p>
                  <w:pPr>
                    <w:jc w:val="center"/>
                    <w:rPr>
                      <w:kern w:val="0"/>
                      <w:szCs w:val="21"/>
                      <w:lang w:bidi="ar"/>
                    </w:rPr>
                  </w:pPr>
                  <w:r>
                    <w:rPr>
                      <w:rFonts w:hint="eastAsia"/>
                      <w:kern w:val="0"/>
                      <w:szCs w:val="21"/>
                      <w:lang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autoSpaceDE w:val="0"/>
                    <w:autoSpaceDN w:val="0"/>
                    <w:jc w:val="center"/>
                    <w:rPr>
                      <w:szCs w:val="21"/>
                    </w:rPr>
                  </w:pPr>
                  <w:r>
                    <w:rPr>
                      <w:kern w:val="0"/>
                      <w:szCs w:val="21"/>
                      <w:lang w:bidi="ar"/>
                    </w:rPr>
                    <w:t>四氯化碳</w:t>
                  </w:r>
                </w:p>
              </w:tc>
              <w:tc>
                <w:tcPr>
                  <w:tcW w:w="1709" w:type="dxa"/>
                  <w:noWrap w:val="0"/>
                  <w:vAlign w:val="center"/>
                </w:tcPr>
                <w:p>
                  <w:pPr>
                    <w:widowControl/>
                    <w:jc w:val="center"/>
                    <w:textAlignment w:val="center"/>
                    <w:rPr>
                      <w:szCs w:val="21"/>
                    </w:rPr>
                  </w:pPr>
                  <w:r>
                    <w:rPr>
                      <w:kern w:val="0"/>
                      <w:szCs w:val="21"/>
                      <w:lang w:bidi="ar"/>
                    </w:rPr>
                    <w:t>ND</w:t>
                  </w:r>
                </w:p>
              </w:tc>
              <w:tc>
                <w:tcPr>
                  <w:tcW w:w="1608" w:type="dxa"/>
                  <w:noWrap w:val="0"/>
                  <w:vAlign w:val="center"/>
                </w:tcPr>
                <w:p>
                  <w:pPr>
                    <w:widowControl/>
                    <w:jc w:val="center"/>
                    <w:textAlignment w:val="center"/>
                    <w:rPr>
                      <w:kern w:val="0"/>
                      <w:szCs w:val="21"/>
                      <w:lang w:bidi="ar"/>
                    </w:rPr>
                  </w:pPr>
                  <w:r>
                    <w:rPr>
                      <w:rFonts w:hint="eastAsia"/>
                      <w:kern w:val="0"/>
                      <w:szCs w:val="21"/>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autoSpaceDE w:val="0"/>
                    <w:autoSpaceDN w:val="0"/>
                    <w:jc w:val="center"/>
                    <w:rPr>
                      <w:rFonts w:hint="eastAsia"/>
                      <w:szCs w:val="21"/>
                    </w:rPr>
                  </w:pPr>
                  <w:r>
                    <w:rPr>
                      <w:kern w:val="0"/>
                      <w:szCs w:val="21"/>
                      <w:lang w:bidi="ar"/>
                    </w:rPr>
                    <w:t>氯仿</w:t>
                  </w:r>
                </w:p>
              </w:tc>
              <w:tc>
                <w:tcPr>
                  <w:tcW w:w="1709" w:type="dxa"/>
                  <w:noWrap w:val="0"/>
                  <w:vAlign w:val="center"/>
                </w:tcPr>
                <w:p>
                  <w:pPr>
                    <w:widowControl/>
                    <w:jc w:val="center"/>
                    <w:textAlignment w:val="center"/>
                    <w:rPr>
                      <w:kern w:val="0"/>
                      <w:szCs w:val="21"/>
                      <w:lang w:bidi="ar"/>
                    </w:rPr>
                  </w:pPr>
                  <w:r>
                    <w:rPr>
                      <w:kern w:val="0"/>
                      <w:szCs w:val="21"/>
                      <w:lang w:bidi="ar"/>
                    </w:rPr>
                    <w:t>ND</w:t>
                  </w:r>
                </w:p>
              </w:tc>
              <w:tc>
                <w:tcPr>
                  <w:tcW w:w="1608" w:type="dxa"/>
                  <w:noWrap w:val="0"/>
                  <w:vAlign w:val="center"/>
                </w:tcPr>
                <w:p>
                  <w:pPr>
                    <w:widowControl/>
                    <w:jc w:val="center"/>
                    <w:textAlignment w:val="center"/>
                    <w:rPr>
                      <w:kern w:val="0"/>
                      <w:szCs w:val="21"/>
                      <w:lang w:bidi="ar"/>
                    </w:rPr>
                  </w:pPr>
                  <w:r>
                    <w:rPr>
                      <w:rFonts w:hint="eastAsia"/>
                      <w:kern w:val="0"/>
                      <w:szCs w:val="21"/>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widowControl/>
                    <w:jc w:val="center"/>
                    <w:textAlignment w:val="center"/>
                    <w:rPr>
                      <w:szCs w:val="21"/>
                    </w:rPr>
                  </w:pPr>
                </w:p>
              </w:tc>
              <w:tc>
                <w:tcPr>
                  <w:tcW w:w="1655" w:type="dxa"/>
                  <w:vMerge w:val="continue"/>
                  <w:noWrap w:val="0"/>
                  <w:vAlign w:val="center"/>
                </w:tcPr>
                <w:p>
                  <w:pPr>
                    <w:widowControl/>
                    <w:jc w:val="center"/>
                    <w:textAlignment w:val="center"/>
                    <w:rPr>
                      <w:szCs w:val="21"/>
                    </w:rPr>
                  </w:pPr>
                </w:p>
              </w:tc>
              <w:tc>
                <w:tcPr>
                  <w:tcW w:w="1997" w:type="dxa"/>
                  <w:noWrap w:val="0"/>
                  <w:vAlign w:val="center"/>
                </w:tcPr>
                <w:p>
                  <w:pPr>
                    <w:autoSpaceDE w:val="0"/>
                    <w:autoSpaceDN w:val="0"/>
                    <w:jc w:val="center"/>
                    <w:rPr>
                      <w:szCs w:val="21"/>
                    </w:rPr>
                  </w:pPr>
                  <w:r>
                    <w:rPr>
                      <w:kern w:val="0"/>
                      <w:szCs w:val="21"/>
                      <w:lang w:bidi="ar"/>
                    </w:rPr>
                    <w:t>1,1-二氯乙烷</w:t>
                  </w:r>
                </w:p>
              </w:tc>
              <w:tc>
                <w:tcPr>
                  <w:tcW w:w="1709" w:type="dxa"/>
                  <w:noWrap w:val="0"/>
                  <w:vAlign w:val="center"/>
                </w:tcPr>
                <w:p>
                  <w:pPr>
                    <w:widowControl/>
                    <w:jc w:val="center"/>
                    <w:textAlignment w:val="center"/>
                    <w:rPr>
                      <w:kern w:val="0"/>
                      <w:szCs w:val="21"/>
                      <w:lang w:bidi="ar"/>
                    </w:rPr>
                  </w:pPr>
                  <w:r>
                    <w:rPr>
                      <w:kern w:val="0"/>
                      <w:szCs w:val="21"/>
                      <w:lang w:bidi="ar"/>
                    </w:rPr>
                    <w:t>ND</w:t>
                  </w:r>
                </w:p>
              </w:tc>
              <w:tc>
                <w:tcPr>
                  <w:tcW w:w="1608" w:type="dxa"/>
                  <w:noWrap w:val="0"/>
                  <w:vAlign w:val="center"/>
                </w:tcPr>
                <w:p>
                  <w:pPr>
                    <w:widowControl/>
                    <w:jc w:val="center"/>
                    <w:textAlignment w:val="center"/>
                    <w:rPr>
                      <w:kern w:val="0"/>
                      <w:szCs w:val="21"/>
                      <w:lang w:bidi="ar"/>
                    </w:rPr>
                  </w:pPr>
                  <w:r>
                    <w:rPr>
                      <w:rFonts w:hint="eastAsia"/>
                      <w:kern w:val="0"/>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1,2-二氯乙烷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rFonts w:hint="eastAsia"/>
                      <w:szCs w:val="21"/>
                    </w:rPr>
                    <w:t>苯</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rFonts w:hint="eastAsia"/>
                      <w:kern w:val="0"/>
                      <w:szCs w:val="21"/>
                      <w:lang w:bidi="ar"/>
                    </w:rPr>
                  </w:pPr>
                  <w:r>
                    <w:rPr>
                      <w:rFonts w:hint="eastAsia"/>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1,1-</w:t>
                  </w:r>
                  <w:r>
                    <w:rPr>
                      <w:rFonts w:hint="eastAsia"/>
                      <w:szCs w:val="21"/>
                    </w:rPr>
                    <w:t>二氯乙烯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顺-1,2-</w:t>
                  </w:r>
                  <w:r>
                    <w:rPr>
                      <w:rFonts w:hint="eastAsia"/>
                      <w:szCs w:val="21"/>
                    </w:rPr>
                    <w:t>二氯乙烯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反-1,2-</w:t>
                  </w:r>
                  <w:r>
                    <w:rPr>
                      <w:rFonts w:hint="eastAsia"/>
                      <w:szCs w:val="21"/>
                    </w:rPr>
                    <w:t>二氯乙烯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二氯甲烷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1,2-</w:t>
                  </w:r>
                  <w:r>
                    <w:rPr>
                      <w:rFonts w:hint="eastAsia"/>
                      <w:szCs w:val="21"/>
                    </w:rPr>
                    <w:t>二氯丙烷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1,1,1,2-</w:t>
                  </w:r>
                  <w:r>
                    <w:rPr>
                      <w:rFonts w:hint="eastAsia"/>
                      <w:szCs w:val="21"/>
                    </w:rPr>
                    <w:t>四氯乙烷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1,1,2,2-</w:t>
                  </w:r>
                  <w:r>
                    <w:rPr>
                      <w:rFonts w:hint="eastAsia"/>
                      <w:szCs w:val="21"/>
                    </w:rPr>
                    <w:t>四氯乙烷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四氯乙烯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1,1,1-</w:t>
                  </w:r>
                  <w:r>
                    <w:rPr>
                      <w:rFonts w:hint="eastAsia"/>
                      <w:szCs w:val="21"/>
                    </w:rPr>
                    <w:t>三氯乙烷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1,1,2-</w:t>
                  </w:r>
                  <w:r>
                    <w:rPr>
                      <w:rFonts w:hint="eastAsia"/>
                      <w:szCs w:val="21"/>
                    </w:rPr>
                    <w:t>三氯乙烷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三氯乙烯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1,2,3-</w:t>
                  </w:r>
                  <w:r>
                    <w:rPr>
                      <w:rFonts w:hint="eastAsia"/>
                      <w:szCs w:val="21"/>
                    </w:rPr>
                    <w:t>三氯丙烷</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氯乙烯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氯苯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1,2-</w:t>
                  </w:r>
                  <w:r>
                    <w:rPr>
                      <w:rFonts w:hint="eastAsia"/>
                      <w:szCs w:val="21"/>
                    </w:rPr>
                    <w:t>二氯苯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1,4-</w:t>
                  </w:r>
                  <w:r>
                    <w:rPr>
                      <w:rFonts w:hint="eastAsia"/>
                      <w:szCs w:val="21"/>
                    </w:rPr>
                    <w:t>二氯苯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乙苯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甲苯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间,</w:t>
                  </w:r>
                  <w:r>
                    <w:rPr>
                      <w:rFonts w:hint="eastAsia"/>
                      <w:szCs w:val="21"/>
                    </w:rPr>
                    <w:t>对二甲苯</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 xml:space="preserve">邻二甲苯 </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rFonts w:hint="eastAsia"/>
                      <w:szCs w:val="21"/>
                    </w:rPr>
                    <w:t>苯乙烯</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rFonts w:hint="eastAsia"/>
                      <w:kern w:val="0"/>
                      <w:szCs w:val="21"/>
                      <w:lang w:bidi="ar"/>
                    </w:rPr>
                  </w:pPr>
                  <w:r>
                    <w:rPr>
                      <w:rFonts w:hint="eastAsia"/>
                      <w:kern w:val="0"/>
                      <w:szCs w:val="21"/>
                      <w:lang w:bidi="ar"/>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rFonts w:hint="eastAsia"/>
                      <w:szCs w:val="21"/>
                    </w:rPr>
                    <w:t>苯</w:t>
                  </w:r>
                  <w:r>
                    <w:rPr>
                      <w:szCs w:val="21"/>
                    </w:rPr>
                    <w:t>并[a]</w:t>
                  </w:r>
                  <w:r>
                    <w:rPr>
                      <w:rFonts w:hint="eastAsia"/>
                      <w:szCs w:val="21"/>
                    </w:rPr>
                    <w:t>蒽</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苯</w:t>
                  </w:r>
                  <w:r>
                    <w:rPr>
                      <w:szCs w:val="21"/>
                    </w:rPr>
                    <w:t>并[a]</w:t>
                  </w:r>
                  <w:r>
                    <w:rPr>
                      <w:rFonts w:hint="eastAsia"/>
                      <w:szCs w:val="21"/>
                    </w:rPr>
                    <w:t>芘</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苯</w:t>
                  </w:r>
                  <w:r>
                    <w:rPr>
                      <w:szCs w:val="21"/>
                    </w:rPr>
                    <w:t>并[b]</w:t>
                  </w:r>
                  <w:r>
                    <w:rPr>
                      <w:rFonts w:hint="eastAsia"/>
                      <w:szCs w:val="21"/>
                    </w:rPr>
                    <w:t>荧</w:t>
                  </w:r>
                  <w:r>
                    <w:rPr>
                      <w:szCs w:val="21"/>
                    </w:rPr>
                    <w:t>蒽</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苯</w:t>
                  </w:r>
                  <w:r>
                    <w:rPr>
                      <w:szCs w:val="21"/>
                    </w:rPr>
                    <w:t>并[k]</w:t>
                  </w:r>
                  <w:r>
                    <w:rPr>
                      <w:rFonts w:hint="eastAsia"/>
                      <w:szCs w:val="21"/>
                    </w:rPr>
                    <w:t>荧</w:t>
                  </w:r>
                  <w:r>
                    <w:rPr>
                      <w:szCs w:val="21"/>
                    </w:rPr>
                    <w:t>蒽</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䓛</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二苯并[a,h]</w:t>
                  </w:r>
                  <w:r>
                    <w:rPr>
                      <w:rFonts w:hint="eastAsia"/>
                      <w:szCs w:val="21"/>
                    </w:rPr>
                    <w:t>蒽</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茚并[1,2,3-cd]芘</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kern w:val="0"/>
                      <w:szCs w:val="21"/>
                      <w:lang w:bidi="ar"/>
                    </w:rPr>
                    <w:t>萘</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石油烃</w:t>
                  </w:r>
                  <w:r>
                    <w:rPr>
                      <w:kern w:val="0"/>
                      <w:szCs w:val="21"/>
                    </w:rPr>
                    <w:t>（C</w:t>
                  </w:r>
                  <w:r>
                    <w:rPr>
                      <w:kern w:val="0"/>
                      <w:szCs w:val="21"/>
                      <w:vertAlign w:val="subscript"/>
                    </w:rPr>
                    <w:t>10</w:t>
                  </w:r>
                  <w:r>
                    <w:rPr>
                      <w:kern w:val="0"/>
                      <w:szCs w:val="21"/>
                    </w:rPr>
                    <w:t>-C</w:t>
                  </w:r>
                  <w:r>
                    <w:rPr>
                      <w:kern w:val="0"/>
                      <w:szCs w:val="21"/>
                      <w:vertAlign w:val="subscript"/>
                    </w:rPr>
                    <w:t>40</w:t>
                  </w:r>
                  <w:r>
                    <w:rPr>
                      <w:kern w:val="0"/>
                      <w:szCs w:val="21"/>
                    </w:rPr>
                    <w:t>）</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石油烃（C</w:t>
                  </w:r>
                  <w:r>
                    <w:rPr>
                      <w:szCs w:val="21"/>
                      <w:vertAlign w:val="subscript"/>
                    </w:rPr>
                    <w:t>6</w:t>
                  </w:r>
                  <w:r>
                    <w:rPr>
                      <w:rFonts w:hint="eastAsia"/>
                      <w:szCs w:val="21"/>
                    </w:rPr>
                    <w:t>-</w:t>
                  </w:r>
                  <w:r>
                    <w:rPr>
                      <w:szCs w:val="21"/>
                    </w:rPr>
                    <w:t>C</w:t>
                  </w:r>
                  <w:r>
                    <w:rPr>
                      <w:szCs w:val="21"/>
                      <w:vertAlign w:val="subscript"/>
                    </w:rPr>
                    <w:t>9</w:t>
                  </w:r>
                  <w:r>
                    <w:rPr>
                      <w:rFonts w:hint="eastAsia"/>
                      <w:szCs w:val="21"/>
                    </w:rPr>
                    <w:t>）*</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rFonts w:hint="eastAsia"/>
                      <w:szCs w:val="21"/>
                    </w:rPr>
                    <w:t>石油类*</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氯甲烷*</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硝基苯*</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rFonts w:hint="eastAsia"/>
                      <w:szCs w:val="21"/>
                    </w:rPr>
                  </w:pPr>
                  <w:r>
                    <w:rPr>
                      <w:szCs w:val="21"/>
                    </w:rPr>
                    <w:t>苯胺*</w:t>
                  </w:r>
                </w:p>
              </w:tc>
              <w:tc>
                <w:tcPr>
                  <w:tcW w:w="1709" w:type="dxa"/>
                  <w:noWrap w:val="0"/>
                  <w:vAlign w:val="center"/>
                </w:tcPr>
                <w:p>
                  <w:pPr>
                    <w:jc w:val="center"/>
                    <w:rPr>
                      <w:kern w:val="0"/>
                      <w:szCs w:val="21"/>
                      <w:lang w:bidi="ar"/>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noWrap w:val="0"/>
                  <w:vAlign w:val="center"/>
                </w:tcPr>
                <w:p>
                  <w:pPr>
                    <w:autoSpaceDE w:val="0"/>
                    <w:autoSpaceDN w:val="0"/>
                    <w:jc w:val="center"/>
                    <w:rPr>
                      <w:szCs w:val="21"/>
                    </w:rPr>
                  </w:pPr>
                </w:p>
              </w:tc>
              <w:tc>
                <w:tcPr>
                  <w:tcW w:w="1655" w:type="dxa"/>
                  <w:vMerge w:val="continue"/>
                  <w:noWrap w:val="0"/>
                  <w:vAlign w:val="center"/>
                </w:tcPr>
                <w:p>
                  <w:pPr>
                    <w:autoSpaceDE w:val="0"/>
                    <w:autoSpaceDN w:val="0"/>
                    <w:jc w:val="center"/>
                    <w:rPr>
                      <w:szCs w:val="21"/>
                    </w:rPr>
                  </w:pPr>
                </w:p>
              </w:tc>
              <w:tc>
                <w:tcPr>
                  <w:tcW w:w="1997" w:type="dxa"/>
                  <w:noWrap w:val="0"/>
                  <w:vAlign w:val="center"/>
                </w:tcPr>
                <w:p>
                  <w:pPr>
                    <w:autoSpaceDE w:val="0"/>
                    <w:autoSpaceDN w:val="0"/>
                    <w:jc w:val="center"/>
                    <w:rPr>
                      <w:szCs w:val="21"/>
                    </w:rPr>
                  </w:pPr>
                  <w:r>
                    <w:rPr>
                      <w:szCs w:val="21"/>
                    </w:rPr>
                    <w:t>2-氯酚*</w:t>
                  </w:r>
                </w:p>
              </w:tc>
              <w:tc>
                <w:tcPr>
                  <w:tcW w:w="1709" w:type="dxa"/>
                  <w:noWrap w:val="0"/>
                  <w:vAlign w:val="center"/>
                </w:tcPr>
                <w:p>
                  <w:pPr>
                    <w:jc w:val="center"/>
                    <w:rPr>
                      <w:szCs w:val="21"/>
                    </w:rPr>
                  </w:pPr>
                  <w:r>
                    <w:rPr>
                      <w:kern w:val="0"/>
                      <w:szCs w:val="21"/>
                      <w:lang w:bidi="ar"/>
                    </w:rPr>
                    <w:t>ND</w:t>
                  </w:r>
                </w:p>
              </w:tc>
              <w:tc>
                <w:tcPr>
                  <w:tcW w:w="1608" w:type="dxa"/>
                  <w:noWrap w:val="0"/>
                  <w:vAlign w:val="center"/>
                </w:tcPr>
                <w:p>
                  <w:pPr>
                    <w:jc w:val="center"/>
                    <w:rPr>
                      <w:kern w:val="0"/>
                      <w:szCs w:val="21"/>
                      <w:lang w:bidi="ar"/>
                    </w:rPr>
                  </w:pPr>
                  <w:r>
                    <w:rPr>
                      <w:rFonts w:hint="eastAsia"/>
                      <w:kern w:val="0"/>
                      <w:szCs w:val="21"/>
                      <w:lang w:bidi="ar"/>
                    </w:rPr>
                    <w:t>2256</w:t>
                  </w:r>
                </w:p>
              </w:tc>
            </w:tr>
          </w:tbl>
          <w:p>
            <w:pPr>
              <w:kinsoku w:val="0"/>
              <w:autoSpaceDE w:val="0"/>
              <w:autoSpaceDN w:val="0"/>
              <w:adjustRightInd w:val="0"/>
              <w:snapToGrid w:val="0"/>
              <w:spacing w:line="360" w:lineRule="auto"/>
              <w:ind w:firstLine="480" w:firstLineChars="200"/>
              <w:rPr>
                <w:sz w:val="24"/>
              </w:rPr>
            </w:pPr>
            <w:r>
              <w:rPr>
                <w:sz w:val="24"/>
              </w:rPr>
              <w:t>由表3-1</w:t>
            </w:r>
            <w:r>
              <w:rPr>
                <w:rFonts w:hint="eastAsia"/>
                <w:sz w:val="24"/>
              </w:rPr>
              <w:t>2和表3-13</w:t>
            </w:r>
            <w:r>
              <w:rPr>
                <w:sz w:val="24"/>
              </w:rPr>
              <w:t>可知，项目区土壤环境质量现状监测各监测点位的监测因子均满足《土壤环境质量-建设用地土壤污染风险管控标准（试行）》（GB36600-2018）建设用地第二类用地标准筛选值标准要求，项目场地内土壤环境质量较好。</w:t>
            </w:r>
          </w:p>
          <w:p>
            <w:pPr>
              <w:spacing w:line="360" w:lineRule="auto"/>
              <w:ind w:firstLine="562" w:firstLineChars="200"/>
              <w:rPr>
                <w:b/>
                <w:bCs/>
                <w:sz w:val="28"/>
                <w:szCs w:val="28"/>
              </w:rPr>
            </w:pPr>
            <w:r>
              <w:rPr>
                <w:b/>
                <w:bCs/>
                <w:sz w:val="28"/>
                <w:szCs w:val="28"/>
              </w:rPr>
              <w:t>五、噪声环境质量现状</w:t>
            </w:r>
          </w:p>
          <w:p>
            <w:pPr>
              <w:widowControl/>
              <w:spacing w:line="360" w:lineRule="auto"/>
              <w:ind w:firstLine="480" w:firstLineChars="200"/>
              <w:jc w:val="left"/>
            </w:pPr>
            <w:r>
              <w:rPr>
                <w:kern w:val="0"/>
                <w:sz w:val="24"/>
                <w:lang w:bidi="ar"/>
              </w:rPr>
              <w:t>根据《建设项目环境影响报告表编制技术指南（污染影响类）（试行）》 中有关</w:t>
            </w:r>
            <w:r>
              <w:rPr>
                <w:rFonts w:hint="eastAsia"/>
                <w:kern w:val="0"/>
                <w:sz w:val="24"/>
                <w:lang w:bidi="ar"/>
              </w:rPr>
              <w:t>声环境质量</w:t>
            </w:r>
            <w:r>
              <w:rPr>
                <w:kern w:val="0"/>
                <w:sz w:val="24"/>
                <w:lang w:bidi="ar"/>
              </w:rPr>
              <w:t>现状调查的规定，</w:t>
            </w:r>
            <w:r>
              <w:rPr>
                <w:rFonts w:hint="eastAsia"/>
                <w:kern w:val="0"/>
                <w:sz w:val="24"/>
                <w:lang w:bidi="ar"/>
              </w:rPr>
              <w:t>厂界外50米范围内存在声环境保护目标的建设项目监测保护目标声环境质量现状病评价达标情况。本项目厂界外50米范围内无声环境保护目标，因此可不进行声环境质量现状监测。</w:t>
            </w:r>
          </w:p>
          <w:p>
            <w:pPr>
              <w:kinsoku w:val="0"/>
              <w:overflowPunct w:val="0"/>
              <w:autoSpaceDE w:val="0"/>
              <w:autoSpaceDN w:val="0"/>
              <w:adjustRightInd w:val="0"/>
              <w:snapToGrid w:val="0"/>
              <w:spacing w:line="360" w:lineRule="auto"/>
              <w:ind w:firstLine="482" w:firstLineChars="200"/>
              <w:rPr>
                <w:b/>
                <w:sz w:val="24"/>
              </w:rPr>
            </w:pPr>
            <w:r>
              <w:rPr>
                <w:b/>
                <w:sz w:val="24"/>
              </w:rPr>
              <w:t>六、生态环境现状</w:t>
            </w:r>
          </w:p>
          <w:p>
            <w:pPr>
              <w:spacing w:line="360" w:lineRule="auto"/>
              <w:ind w:firstLine="480" w:firstLineChars="200"/>
              <w:rPr>
                <w:sz w:val="24"/>
              </w:rPr>
            </w:pPr>
            <w:r>
              <w:rPr>
                <w:rFonts w:hint="eastAsia"/>
                <w:sz w:val="24"/>
              </w:rPr>
              <w:t>本</w:t>
            </w:r>
            <w:r>
              <w:rPr>
                <w:sz w:val="24"/>
              </w:rPr>
              <w:t>项目所在地主要为城市生态环境，</w:t>
            </w:r>
            <w:r>
              <w:rPr>
                <w:rFonts w:hint="eastAsia"/>
                <w:sz w:val="24"/>
              </w:rPr>
              <w:t>根据调查，项目厂区所在地原为临时拌合场地，目前拌合设施已拆除，厂区占地范围内</w:t>
            </w:r>
            <w:r>
              <w:rPr>
                <w:sz w:val="24"/>
              </w:rPr>
              <w:t>不存在原生植被</w:t>
            </w:r>
            <w:r>
              <w:rPr>
                <w:rFonts w:hint="eastAsia"/>
                <w:sz w:val="24"/>
              </w:rPr>
              <w:t>，也无文物古迹等需要特殊保护的目标</w:t>
            </w:r>
            <w:r>
              <w:rPr>
                <w:sz w:val="24"/>
              </w:rPr>
              <w:t>。</w:t>
            </w:r>
          </w:p>
          <w:p>
            <w:pPr>
              <w:spacing w:line="360" w:lineRule="auto"/>
              <w:ind w:firstLine="420" w:firstLineChars="200"/>
              <w:rPr>
                <w:rFonts w:hint="eastAsi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390" w:type="dxa"/>
            <w:noWrap w:val="0"/>
            <w:vAlign w:val="center"/>
          </w:tcPr>
          <w:p>
            <w:pPr>
              <w:adjustRightInd w:val="0"/>
              <w:snapToGrid w:val="0"/>
              <w:jc w:val="center"/>
              <w:rPr>
                <w:b/>
                <w:bCs/>
                <w:kern w:val="0"/>
                <w:sz w:val="24"/>
              </w:rPr>
            </w:pPr>
            <w:r>
              <w:rPr>
                <w:b/>
                <w:bCs/>
                <w:kern w:val="0"/>
                <w:sz w:val="24"/>
              </w:rPr>
              <w:t>环境</w:t>
            </w:r>
          </w:p>
          <w:p>
            <w:pPr>
              <w:adjustRightInd w:val="0"/>
              <w:snapToGrid w:val="0"/>
              <w:jc w:val="center"/>
              <w:rPr>
                <w:b/>
                <w:bCs/>
                <w:kern w:val="0"/>
                <w:sz w:val="24"/>
              </w:rPr>
            </w:pPr>
            <w:r>
              <w:rPr>
                <w:b/>
                <w:bCs/>
                <w:kern w:val="0"/>
                <w:sz w:val="24"/>
              </w:rPr>
              <w:t>保护</w:t>
            </w:r>
          </w:p>
          <w:p>
            <w:pPr>
              <w:adjustRightInd w:val="0"/>
              <w:snapToGrid w:val="0"/>
              <w:jc w:val="center"/>
              <w:rPr>
                <w:b/>
                <w:bCs/>
                <w:kern w:val="0"/>
                <w:sz w:val="24"/>
              </w:rPr>
            </w:pPr>
            <w:r>
              <w:rPr>
                <w:b/>
                <w:bCs/>
                <w:kern w:val="0"/>
                <w:sz w:val="24"/>
              </w:rPr>
              <w:t>目标</w:t>
            </w:r>
          </w:p>
        </w:tc>
        <w:tc>
          <w:tcPr>
            <w:tcW w:w="8671" w:type="dxa"/>
            <w:noWrap w:val="0"/>
            <w:vAlign w:val="center"/>
          </w:tcPr>
          <w:p>
            <w:pPr>
              <w:pStyle w:val="8"/>
            </w:pPr>
            <w:r>
              <w:t>1、环境空气</w:t>
            </w:r>
          </w:p>
          <w:p>
            <w:pPr>
              <w:pStyle w:val="8"/>
            </w:pPr>
            <w:r>
              <w:t>根据项目外环境关系，本项目周围环境空气敏感目标见下表。</w:t>
            </w:r>
          </w:p>
          <w:p>
            <w:pPr>
              <w:jc w:val="center"/>
              <w:rPr>
                <w:b/>
                <w:bCs/>
                <w:szCs w:val="21"/>
              </w:rPr>
            </w:pPr>
            <w:r>
              <w:rPr>
                <w:b/>
                <w:bCs/>
                <w:szCs w:val="21"/>
              </w:rPr>
              <w:t>表3-</w:t>
            </w:r>
            <w:r>
              <w:rPr>
                <w:rFonts w:hint="eastAsia"/>
                <w:b/>
                <w:bCs/>
                <w:szCs w:val="21"/>
              </w:rPr>
              <w:t>14</w:t>
            </w:r>
            <w:r>
              <w:rPr>
                <w:b/>
                <w:bCs/>
                <w:szCs w:val="21"/>
              </w:rPr>
              <w:t xml:space="preserve"> 项目主要大气环境保护目标</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0" w:type="dxa"/>
              </w:tblCellMar>
            </w:tblPr>
            <w:tblGrid>
              <w:gridCol w:w="757"/>
              <w:gridCol w:w="1625"/>
              <w:gridCol w:w="1984"/>
              <w:gridCol w:w="995"/>
              <w:gridCol w:w="1092"/>
              <w:gridCol w:w="19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b/>
                      <w:szCs w:val="21"/>
                    </w:rPr>
                  </w:pPr>
                  <w:bookmarkStart w:id="18" w:name="_Hlk110344230"/>
                  <w:r>
                    <w:rPr>
                      <w:b/>
                      <w:szCs w:val="21"/>
                    </w:rPr>
                    <w:t>序号</w:t>
                  </w:r>
                </w:p>
              </w:tc>
              <w:tc>
                <w:tcPr>
                  <w:tcW w:w="970" w:type="pct"/>
                  <w:noWrap w:val="0"/>
                  <w:vAlign w:val="center"/>
                </w:tcPr>
                <w:p>
                  <w:pPr>
                    <w:jc w:val="center"/>
                    <w:rPr>
                      <w:b/>
                      <w:szCs w:val="21"/>
                    </w:rPr>
                  </w:pPr>
                  <w:r>
                    <w:rPr>
                      <w:b/>
                      <w:szCs w:val="21"/>
                    </w:rPr>
                    <w:t>目标名称</w:t>
                  </w:r>
                </w:p>
              </w:tc>
              <w:tc>
                <w:tcPr>
                  <w:tcW w:w="1184" w:type="pct"/>
                  <w:noWrap w:val="0"/>
                  <w:vAlign w:val="center"/>
                </w:tcPr>
                <w:p>
                  <w:pPr>
                    <w:jc w:val="center"/>
                    <w:rPr>
                      <w:b/>
                      <w:szCs w:val="21"/>
                    </w:rPr>
                  </w:pPr>
                  <w:r>
                    <w:rPr>
                      <w:b/>
                      <w:szCs w:val="21"/>
                    </w:rPr>
                    <w:t>规模</w:t>
                  </w:r>
                </w:p>
              </w:tc>
              <w:tc>
                <w:tcPr>
                  <w:tcW w:w="594" w:type="pct"/>
                  <w:noWrap w:val="0"/>
                  <w:vAlign w:val="center"/>
                </w:tcPr>
                <w:p>
                  <w:pPr>
                    <w:jc w:val="center"/>
                    <w:rPr>
                      <w:b/>
                      <w:szCs w:val="21"/>
                    </w:rPr>
                  </w:pPr>
                  <w:r>
                    <w:rPr>
                      <w:rFonts w:hint="eastAsia"/>
                      <w:b/>
                      <w:szCs w:val="21"/>
                    </w:rPr>
                    <w:t>方位</w:t>
                  </w:r>
                </w:p>
              </w:tc>
              <w:tc>
                <w:tcPr>
                  <w:tcW w:w="652" w:type="pct"/>
                  <w:noWrap w:val="0"/>
                  <w:vAlign w:val="center"/>
                </w:tcPr>
                <w:p>
                  <w:pPr>
                    <w:jc w:val="center"/>
                    <w:rPr>
                      <w:rFonts w:hint="eastAsia"/>
                      <w:b/>
                      <w:szCs w:val="21"/>
                    </w:rPr>
                  </w:pPr>
                  <w:r>
                    <w:rPr>
                      <w:rFonts w:hint="eastAsia"/>
                      <w:b/>
                      <w:szCs w:val="21"/>
                    </w:rPr>
                    <w:t>最近距离</w:t>
                  </w:r>
                </w:p>
              </w:tc>
              <w:tc>
                <w:tcPr>
                  <w:tcW w:w="1148" w:type="pct"/>
                  <w:noWrap w:val="0"/>
                  <w:vAlign w:val="center"/>
                </w:tcPr>
                <w:p>
                  <w:pPr>
                    <w:jc w:val="center"/>
                    <w:rPr>
                      <w:b/>
                      <w:szCs w:val="21"/>
                    </w:rPr>
                  </w:pPr>
                  <w:r>
                    <w:rPr>
                      <w:b/>
                      <w:szCs w:val="21"/>
                    </w:rPr>
                    <w:t>环境保护级别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1</w:t>
                  </w:r>
                </w:p>
              </w:tc>
              <w:tc>
                <w:tcPr>
                  <w:tcW w:w="970" w:type="pct"/>
                  <w:noWrap w:val="0"/>
                  <w:vAlign w:val="center"/>
                </w:tcPr>
                <w:p>
                  <w:pPr>
                    <w:jc w:val="center"/>
                    <w:rPr>
                      <w:szCs w:val="21"/>
                    </w:rPr>
                  </w:pPr>
                  <w:r>
                    <w:rPr>
                      <w:rFonts w:hint="eastAsia"/>
                      <w:szCs w:val="21"/>
                    </w:rPr>
                    <w:t>散居农户</w:t>
                  </w:r>
                </w:p>
              </w:tc>
              <w:tc>
                <w:tcPr>
                  <w:tcW w:w="1184" w:type="pct"/>
                  <w:noWrap w:val="0"/>
                  <w:vAlign w:val="center"/>
                </w:tcPr>
                <w:p>
                  <w:pPr>
                    <w:jc w:val="center"/>
                    <w:rPr>
                      <w:szCs w:val="21"/>
                    </w:rPr>
                  </w:pPr>
                  <w:r>
                    <w:rPr>
                      <w:rFonts w:hint="eastAsia"/>
                      <w:szCs w:val="21"/>
                    </w:rPr>
                    <w:t>约30余户，100余人</w:t>
                  </w:r>
                </w:p>
              </w:tc>
              <w:tc>
                <w:tcPr>
                  <w:tcW w:w="594" w:type="pct"/>
                  <w:noWrap w:val="0"/>
                  <w:vAlign w:val="center"/>
                </w:tcPr>
                <w:p>
                  <w:pPr>
                    <w:jc w:val="center"/>
                    <w:rPr>
                      <w:szCs w:val="21"/>
                    </w:rPr>
                  </w:pPr>
                  <w:r>
                    <w:rPr>
                      <w:rFonts w:hint="eastAsia"/>
                      <w:szCs w:val="21"/>
                    </w:rPr>
                    <w:t>E、N</w:t>
                  </w:r>
                  <w:r>
                    <w:rPr>
                      <w:szCs w:val="21"/>
                    </w:rPr>
                    <w:t>E</w:t>
                  </w:r>
                </w:p>
              </w:tc>
              <w:tc>
                <w:tcPr>
                  <w:tcW w:w="652" w:type="pct"/>
                  <w:noWrap w:val="0"/>
                  <w:vAlign w:val="center"/>
                </w:tcPr>
                <w:p>
                  <w:pPr>
                    <w:jc w:val="center"/>
                    <w:rPr>
                      <w:szCs w:val="21"/>
                    </w:rPr>
                  </w:pPr>
                  <w:r>
                    <w:rPr>
                      <w:szCs w:val="21"/>
                    </w:rPr>
                    <w:t>106</w:t>
                  </w:r>
                  <w:r>
                    <w:rPr>
                      <w:rFonts w:hint="eastAsia"/>
                      <w:szCs w:val="21"/>
                    </w:rPr>
                    <w:t>m</w:t>
                  </w:r>
                </w:p>
              </w:tc>
              <w:tc>
                <w:tcPr>
                  <w:tcW w:w="1148" w:type="pct"/>
                  <w:vMerge w:val="restart"/>
                  <w:noWrap w:val="0"/>
                  <w:vAlign w:val="center"/>
                </w:tcPr>
                <w:p>
                  <w:pPr>
                    <w:jc w:val="center"/>
                    <w:rPr>
                      <w:b/>
                      <w:szCs w:val="21"/>
                    </w:rPr>
                  </w:pPr>
                  <w:r>
                    <w:rPr>
                      <w:szCs w:val="21"/>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2</w:t>
                  </w:r>
                </w:p>
              </w:tc>
              <w:tc>
                <w:tcPr>
                  <w:tcW w:w="970" w:type="pct"/>
                  <w:noWrap w:val="0"/>
                  <w:vAlign w:val="center"/>
                </w:tcPr>
                <w:p>
                  <w:pPr>
                    <w:jc w:val="center"/>
                    <w:rPr>
                      <w:rFonts w:hint="eastAsia"/>
                      <w:szCs w:val="21"/>
                    </w:rPr>
                  </w:pPr>
                  <w:r>
                    <w:rPr>
                      <w:rFonts w:hint="eastAsia"/>
                      <w:szCs w:val="21"/>
                    </w:rPr>
                    <w:t>井湾散居农户</w:t>
                  </w:r>
                </w:p>
              </w:tc>
              <w:tc>
                <w:tcPr>
                  <w:tcW w:w="1184" w:type="pct"/>
                  <w:noWrap w:val="0"/>
                  <w:vAlign w:val="center"/>
                </w:tcPr>
                <w:p>
                  <w:pPr>
                    <w:jc w:val="center"/>
                    <w:rPr>
                      <w:szCs w:val="21"/>
                    </w:rPr>
                  </w:pPr>
                  <w:r>
                    <w:rPr>
                      <w:rFonts w:hint="eastAsia"/>
                      <w:szCs w:val="21"/>
                    </w:rPr>
                    <w:t>约20余户，80余人</w:t>
                  </w:r>
                </w:p>
              </w:tc>
              <w:tc>
                <w:tcPr>
                  <w:tcW w:w="594" w:type="pct"/>
                  <w:noWrap w:val="0"/>
                  <w:vAlign w:val="center"/>
                </w:tcPr>
                <w:p>
                  <w:pPr>
                    <w:jc w:val="center"/>
                    <w:rPr>
                      <w:rFonts w:hint="eastAsia"/>
                      <w:szCs w:val="21"/>
                    </w:rPr>
                  </w:pPr>
                  <w:r>
                    <w:rPr>
                      <w:rFonts w:hint="eastAsia"/>
                      <w:szCs w:val="21"/>
                    </w:rPr>
                    <w:t>SE</w:t>
                  </w:r>
                </w:p>
              </w:tc>
              <w:tc>
                <w:tcPr>
                  <w:tcW w:w="652" w:type="pct"/>
                  <w:noWrap w:val="0"/>
                  <w:vAlign w:val="center"/>
                </w:tcPr>
                <w:p>
                  <w:pPr>
                    <w:jc w:val="center"/>
                    <w:rPr>
                      <w:szCs w:val="21"/>
                    </w:rPr>
                  </w:pPr>
                  <w:r>
                    <w:rPr>
                      <w:rFonts w:hint="eastAsia"/>
                      <w:szCs w:val="21"/>
                    </w:rPr>
                    <w:t>160</w:t>
                  </w:r>
                  <w:r>
                    <w:rPr>
                      <w:szCs w:val="21"/>
                    </w:rPr>
                    <w:t>m</w:t>
                  </w:r>
                </w:p>
              </w:tc>
              <w:tc>
                <w:tcPr>
                  <w:tcW w:w="1148" w:type="pct"/>
                  <w:vMerge w:val="continue"/>
                  <w:noWrap w:val="0"/>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3</w:t>
                  </w:r>
                </w:p>
              </w:tc>
              <w:tc>
                <w:tcPr>
                  <w:tcW w:w="970" w:type="pct"/>
                  <w:noWrap w:val="0"/>
                  <w:vAlign w:val="center"/>
                </w:tcPr>
                <w:p>
                  <w:pPr>
                    <w:jc w:val="center"/>
                    <w:rPr>
                      <w:rFonts w:hint="eastAsia"/>
                      <w:szCs w:val="21"/>
                    </w:rPr>
                  </w:pPr>
                  <w:r>
                    <w:rPr>
                      <w:rFonts w:hint="eastAsia"/>
                      <w:szCs w:val="21"/>
                    </w:rPr>
                    <w:t>张家坝安置小区</w:t>
                  </w:r>
                </w:p>
              </w:tc>
              <w:tc>
                <w:tcPr>
                  <w:tcW w:w="1184" w:type="pct"/>
                  <w:noWrap w:val="0"/>
                  <w:vAlign w:val="center"/>
                </w:tcPr>
                <w:p>
                  <w:pPr>
                    <w:jc w:val="center"/>
                    <w:rPr>
                      <w:szCs w:val="21"/>
                    </w:rPr>
                  </w:pPr>
                  <w:r>
                    <w:rPr>
                      <w:rFonts w:hint="eastAsia"/>
                      <w:szCs w:val="21"/>
                    </w:rPr>
                    <w:t>约2000余户</w:t>
                  </w:r>
                </w:p>
              </w:tc>
              <w:tc>
                <w:tcPr>
                  <w:tcW w:w="594" w:type="pct"/>
                  <w:noWrap w:val="0"/>
                  <w:vAlign w:val="center"/>
                </w:tcPr>
                <w:p>
                  <w:pPr>
                    <w:jc w:val="center"/>
                    <w:rPr>
                      <w:rFonts w:hint="eastAsia"/>
                      <w:szCs w:val="21"/>
                    </w:rPr>
                  </w:pPr>
                  <w:r>
                    <w:rPr>
                      <w:rFonts w:hint="eastAsia"/>
                      <w:szCs w:val="21"/>
                    </w:rPr>
                    <w:t>W</w:t>
                  </w:r>
                </w:p>
              </w:tc>
              <w:tc>
                <w:tcPr>
                  <w:tcW w:w="652" w:type="pct"/>
                  <w:noWrap w:val="0"/>
                  <w:vAlign w:val="center"/>
                </w:tcPr>
                <w:p>
                  <w:pPr>
                    <w:jc w:val="center"/>
                    <w:rPr>
                      <w:rFonts w:hint="eastAsia"/>
                      <w:szCs w:val="21"/>
                    </w:rPr>
                  </w:pPr>
                  <w:r>
                    <w:rPr>
                      <w:rFonts w:hint="eastAsia"/>
                      <w:szCs w:val="21"/>
                    </w:rPr>
                    <w:t>87</w:t>
                  </w:r>
                  <w:r>
                    <w:rPr>
                      <w:szCs w:val="21"/>
                    </w:rPr>
                    <w:t>m</w:t>
                  </w:r>
                </w:p>
              </w:tc>
              <w:tc>
                <w:tcPr>
                  <w:tcW w:w="1148" w:type="pct"/>
                  <w:vMerge w:val="continue"/>
                  <w:noWrap w:val="0"/>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4</w:t>
                  </w:r>
                </w:p>
              </w:tc>
              <w:tc>
                <w:tcPr>
                  <w:tcW w:w="970" w:type="pct"/>
                  <w:noWrap w:val="0"/>
                  <w:vAlign w:val="center"/>
                </w:tcPr>
                <w:p>
                  <w:pPr>
                    <w:jc w:val="center"/>
                    <w:rPr>
                      <w:rFonts w:hint="eastAsia"/>
                      <w:szCs w:val="21"/>
                    </w:rPr>
                  </w:pPr>
                  <w:r>
                    <w:rPr>
                      <w:rFonts w:hint="eastAsia"/>
                      <w:szCs w:val="21"/>
                    </w:rPr>
                    <w:t>江湾城六期澜岸小区</w:t>
                  </w:r>
                </w:p>
              </w:tc>
              <w:tc>
                <w:tcPr>
                  <w:tcW w:w="1184" w:type="pct"/>
                  <w:noWrap w:val="0"/>
                  <w:vAlign w:val="center"/>
                </w:tcPr>
                <w:p>
                  <w:pPr>
                    <w:jc w:val="center"/>
                    <w:rPr>
                      <w:szCs w:val="21"/>
                    </w:rPr>
                  </w:pPr>
                  <w:r>
                    <w:rPr>
                      <w:rFonts w:hint="eastAsia"/>
                      <w:szCs w:val="21"/>
                    </w:rPr>
                    <w:t>约4000余户</w:t>
                  </w:r>
                </w:p>
              </w:tc>
              <w:tc>
                <w:tcPr>
                  <w:tcW w:w="594" w:type="pct"/>
                  <w:noWrap w:val="0"/>
                  <w:vAlign w:val="center"/>
                </w:tcPr>
                <w:p>
                  <w:pPr>
                    <w:jc w:val="center"/>
                    <w:rPr>
                      <w:rFonts w:hint="eastAsia"/>
                      <w:szCs w:val="21"/>
                    </w:rPr>
                  </w:pPr>
                  <w:r>
                    <w:rPr>
                      <w:rFonts w:hint="eastAsia"/>
                      <w:szCs w:val="21"/>
                    </w:rPr>
                    <w:t>W</w:t>
                  </w:r>
                </w:p>
              </w:tc>
              <w:tc>
                <w:tcPr>
                  <w:tcW w:w="652" w:type="pct"/>
                  <w:noWrap w:val="0"/>
                  <w:vAlign w:val="center"/>
                </w:tcPr>
                <w:p>
                  <w:pPr>
                    <w:jc w:val="center"/>
                    <w:rPr>
                      <w:rFonts w:hint="eastAsia"/>
                      <w:szCs w:val="21"/>
                    </w:rPr>
                  </w:pPr>
                  <w:r>
                    <w:rPr>
                      <w:rFonts w:hint="eastAsia"/>
                      <w:szCs w:val="21"/>
                    </w:rPr>
                    <w:t>360</w:t>
                  </w:r>
                  <w:r>
                    <w:rPr>
                      <w:szCs w:val="21"/>
                    </w:rPr>
                    <w:t>m</w:t>
                  </w:r>
                </w:p>
              </w:tc>
              <w:tc>
                <w:tcPr>
                  <w:tcW w:w="1148" w:type="pct"/>
                  <w:vMerge w:val="continue"/>
                  <w:noWrap w:val="0"/>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5</w:t>
                  </w:r>
                </w:p>
              </w:tc>
              <w:tc>
                <w:tcPr>
                  <w:tcW w:w="970" w:type="pct"/>
                  <w:noWrap w:val="0"/>
                  <w:vAlign w:val="center"/>
                </w:tcPr>
                <w:p>
                  <w:pPr>
                    <w:jc w:val="center"/>
                    <w:rPr>
                      <w:szCs w:val="21"/>
                    </w:rPr>
                  </w:pPr>
                  <w:r>
                    <w:rPr>
                      <w:rFonts w:hint="eastAsia"/>
                      <w:szCs w:val="21"/>
                    </w:rPr>
                    <w:t>通川区第一小学江湾城分校</w:t>
                  </w:r>
                </w:p>
              </w:tc>
              <w:tc>
                <w:tcPr>
                  <w:tcW w:w="1184" w:type="pct"/>
                  <w:noWrap w:val="0"/>
                  <w:vAlign w:val="center"/>
                </w:tcPr>
                <w:p>
                  <w:pPr>
                    <w:jc w:val="center"/>
                    <w:rPr>
                      <w:szCs w:val="21"/>
                    </w:rPr>
                  </w:pPr>
                  <w:r>
                    <w:rPr>
                      <w:rFonts w:hint="eastAsia"/>
                      <w:szCs w:val="21"/>
                    </w:rPr>
                    <w:t>师生约20</w:t>
                  </w:r>
                  <w:r>
                    <w:rPr>
                      <w:szCs w:val="21"/>
                    </w:rPr>
                    <w:t>00</w:t>
                  </w:r>
                  <w:r>
                    <w:rPr>
                      <w:rFonts w:hint="eastAsia"/>
                      <w:szCs w:val="21"/>
                    </w:rPr>
                    <w:t>余人</w:t>
                  </w:r>
                </w:p>
              </w:tc>
              <w:tc>
                <w:tcPr>
                  <w:tcW w:w="594" w:type="pct"/>
                  <w:noWrap w:val="0"/>
                  <w:vAlign w:val="center"/>
                </w:tcPr>
                <w:p>
                  <w:pPr>
                    <w:jc w:val="center"/>
                    <w:rPr>
                      <w:szCs w:val="21"/>
                    </w:rPr>
                  </w:pPr>
                  <w:r>
                    <w:rPr>
                      <w:rFonts w:hint="eastAsia"/>
                      <w:szCs w:val="21"/>
                    </w:rPr>
                    <w:t>NW</w:t>
                  </w:r>
                </w:p>
              </w:tc>
              <w:tc>
                <w:tcPr>
                  <w:tcW w:w="652" w:type="pct"/>
                  <w:noWrap w:val="0"/>
                  <w:vAlign w:val="center"/>
                </w:tcPr>
                <w:p>
                  <w:pPr>
                    <w:jc w:val="center"/>
                    <w:rPr>
                      <w:szCs w:val="21"/>
                    </w:rPr>
                  </w:pPr>
                  <w:r>
                    <w:rPr>
                      <w:rFonts w:hint="eastAsia"/>
                      <w:szCs w:val="21"/>
                    </w:rPr>
                    <w:t>160</w:t>
                  </w:r>
                  <w:r>
                    <w:rPr>
                      <w:szCs w:val="21"/>
                    </w:rPr>
                    <w:t>m</w:t>
                  </w:r>
                </w:p>
              </w:tc>
              <w:tc>
                <w:tcPr>
                  <w:tcW w:w="1148"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0" w:type="dxa"/>
                </w:tblCellMar>
              </w:tblPrEx>
              <w:trPr>
                <w:trHeight w:val="397" w:hRule="atLeast"/>
                <w:tblHeader/>
                <w:jc w:val="center"/>
              </w:trPr>
              <w:tc>
                <w:tcPr>
                  <w:tcW w:w="452" w:type="pct"/>
                  <w:noWrap w:val="0"/>
                  <w:vAlign w:val="center"/>
                </w:tcPr>
                <w:p>
                  <w:pPr>
                    <w:jc w:val="center"/>
                    <w:rPr>
                      <w:szCs w:val="21"/>
                    </w:rPr>
                  </w:pPr>
                  <w:r>
                    <w:rPr>
                      <w:rFonts w:hint="eastAsia"/>
                      <w:szCs w:val="21"/>
                    </w:rPr>
                    <w:t>6</w:t>
                  </w:r>
                </w:p>
              </w:tc>
              <w:tc>
                <w:tcPr>
                  <w:tcW w:w="970" w:type="pct"/>
                  <w:noWrap w:val="0"/>
                  <w:vAlign w:val="center"/>
                </w:tcPr>
                <w:p>
                  <w:pPr>
                    <w:jc w:val="center"/>
                    <w:rPr>
                      <w:rFonts w:hint="eastAsia"/>
                      <w:szCs w:val="21"/>
                    </w:rPr>
                  </w:pPr>
                  <w:r>
                    <w:rPr>
                      <w:rFonts w:hint="eastAsia"/>
                      <w:szCs w:val="21"/>
                    </w:rPr>
                    <w:t>江湾城七期</w:t>
                  </w:r>
                </w:p>
              </w:tc>
              <w:tc>
                <w:tcPr>
                  <w:tcW w:w="1184" w:type="pct"/>
                  <w:noWrap w:val="0"/>
                  <w:vAlign w:val="center"/>
                </w:tcPr>
                <w:p>
                  <w:pPr>
                    <w:jc w:val="center"/>
                    <w:rPr>
                      <w:rFonts w:hint="eastAsia"/>
                      <w:szCs w:val="21"/>
                    </w:rPr>
                  </w:pPr>
                  <w:r>
                    <w:rPr>
                      <w:rFonts w:hint="eastAsia"/>
                      <w:szCs w:val="21"/>
                    </w:rPr>
                    <w:t>约3000余户</w:t>
                  </w:r>
                </w:p>
              </w:tc>
              <w:tc>
                <w:tcPr>
                  <w:tcW w:w="594" w:type="pct"/>
                  <w:noWrap w:val="0"/>
                  <w:vAlign w:val="center"/>
                </w:tcPr>
                <w:p>
                  <w:pPr>
                    <w:jc w:val="center"/>
                    <w:rPr>
                      <w:rFonts w:hint="eastAsia"/>
                      <w:szCs w:val="21"/>
                    </w:rPr>
                  </w:pPr>
                  <w:r>
                    <w:rPr>
                      <w:rFonts w:hint="eastAsia"/>
                      <w:szCs w:val="21"/>
                    </w:rPr>
                    <w:t>NW</w:t>
                  </w:r>
                </w:p>
              </w:tc>
              <w:tc>
                <w:tcPr>
                  <w:tcW w:w="652" w:type="pct"/>
                  <w:noWrap w:val="0"/>
                  <w:vAlign w:val="center"/>
                </w:tcPr>
                <w:p>
                  <w:pPr>
                    <w:jc w:val="center"/>
                    <w:rPr>
                      <w:rFonts w:hint="eastAsia"/>
                      <w:szCs w:val="21"/>
                    </w:rPr>
                  </w:pPr>
                  <w:r>
                    <w:rPr>
                      <w:rFonts w:hint="eastAsia"/>
                      <w:szCs w:val="21"/>
                    </w:rPr>
                    <w:t>320</w:t>
                  </w:r>
                  <w:r>
                    <w:rPr>
                      <w:szCs w:val="21"/>
                    </w:rPr>
                    <w:t>m</w:t>
                  </w:r>
                </w:p>
              </w:tc>
              <w:tc>
                <w:tcPr>
                  <w:tcW w:w="1148" w:type="pct"/>
                  <w:vMerge w:val="continue"/>
                  <w:noWrap w:val="0"/>
                  <w:vAlign w:val="center"/>
                </w:tcPr>
                <w:p>
                  <w:pPr>
                    <w:jc w:val="center"/>
                    <w:rPr>
                      <w:szCs w:val="21"/>
                    </w:rPr>
                  </w:pPr>
                </w:p>
              </w:tc>
            </w:tr>
            <w:bookmarkEnd w:id="18"/>
          </w:tbl>
          <w:p>
            <w:pPr>
              <w:pStyle w:val="8"/>
            </w:pPr>
            <w:r>
              <w:t>2、地表水</w:t>
            </w:r>
          </w:p>
          <w:p>
            <w:pPr>
              <w:pStyle w:val="8"/>
            </w:pPr>
            <w:r>
              <w:t>本项目附近的地表水体（</w:t>
            </w:r>
            <w:r>
              <w:rPr>
                <w:rFonts w:hint="eastAsia"/>
              </w:rPr>
              <w:t>明月江、州河</w:t>
            </w:r>
            <w:r>
              <w:t>）不因工程的实施而发生恶化，水质满足《地表水环境质量标准》(GB3838-2002)</w:t>
            </w: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t>类水域标准。</w:t>
            </w:r>
          </w:p>
          <w:p>
            <w:pPr>
              <w:pStyle w:val="8"/>
            </w:pPr>
            <w:r>
              <w:t>项目水环境保护目标见下表。</w:t>
            </w:r>
          </w:p>
          <w:p>
            <w:pPr>
              <w:jc w:val="center"/>
              <w:rPr>
                <w:b/>
                <w:bCs/>
                <w:szCs w:val="21"/>
              </w:rPr>
            </w:pPr>
            <w:r>
              <w:rPr>
                <w:b/>
                <w:bCs/>
                <w:szCs w:val="21"/>
              </w:rPr>
              <w:t>表3-</w:t>
            </w:r>
            <w:r>
              <w:rPr>
                <w:rFonts w:hint="eastAsia"/>
                <w:b/>
                <w:bCs/>
                <w:szCs w:val="21"/>
              </w:rPr>
              <w:t>15</w:t>
            </w:r>
            <w:r>
              <w:rPr>
                <w:b/>
                <w:bCs/>
                <w:szCs w:val="21"/>
              </w:rPr>
              <w:t xml:space="preserve"> 项目水环境保护目标</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923"/>
              <w:gridCol w:w="922"/>
              <w:gridCol w:w="2356"/>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Cs/>
                      <w:color w:val="auto"/>
                    </w:rPr>
                  </w:pPr>
                  <w:r>
                    <w:rPr>
                      <w:rFonts w:ascii="Times New Roman" w:hAnsi="Times New Roman" w:eastAsia="宋体" w:cs="Times New Roman"/>
                      <w:bCs/>
                      <w:color w:val="auto"/>
                    </w:rPr>
                    <w:t>主要保护目标</w:t>
                  </w:r>
                </w:p>
              </w:tc>
              <w:tc>
                <w:tcPr>
                  <w:tcW w:w="551"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Cs/>
                      <w:color w:val="auto"/>
                    </w:rPr>
                  </w:pPr>
                  <w:r>
                    <w:rPr>
                      <w:rFonts w:ascii="Times New Roman" w:hAnsi="Times New Roman" w:eastAsia="宋体" w:cs="Times New Roman"/>
                      <w:bCs/>
                      <w:color w:val="auto"/>
                    </w:rPr>
                    <w:t>方位</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Cs/>
                      <w:color w:val="auto"/>
                    </w:rPr>
                  </w:pPr>
                  <w:r>
                    <w:rPr>
                      <w:rFonts w:ascii="Times New Roman" w:hAnsi="Times New Roman" w:eastAsia="宋体" w:cs="Times New Roman"/>
                      <w:bCs/>
                      <w:color w:val="auto"/>
                    </w:rPr>
                    <w:t>距离</w:t>
                  </w:r>
                </w:p>
              </w:tc>
              <w:tc>
                <w:tcPr>
                  <w:tcW w:w="1406"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Cs/>
                      <w:color w:val="auto"/>
                    </w:rPr>
                  </w:pPr>
                  <w:r>
                    <w:rPr>
                      <w:rFonts w:hint="eastAsia" w:ascii="Times New Roman" w:hAnsi="Times New Roman" w:eastAsia="宋体" w:cs="Times New Roman"/>
                      <w:bCs/>
                      <w:color w:val="auto"/>
                    </w:rPr>
                    <w:t>规模</w:t>
                  </w:r>
                </w:p>
              </w:tc>
              <w:tc>
                <w:tcPr>
                  <w:tcW w:w="1632"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Cs/>
                      <w:color w:val="auto"/>
                    </w:rPr>
                  </w:pPr>
                  <w:r>
                    <w:rPr>
                      <w:rFonts w:ascii="Times New Roman" w:hAnsi="Times New Roman" w:eastAsia="宋体" w:cs="Times New Roman"/>
                      <w:bCs/>
                      <w:color w:val="auto"/>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hint="eastAsia" w:ascii="Times New Roman" w:hAnsi="Times New Roman" w:eastAsia="宋体" w:cs="Times New Roman"/>
                      <w:b w:val="0"/>
                      <w:color w:val="auto"/>
                    </w:rPr>
                    <w:t>明月江</w:t>
                  </w:r>
                </w:p>
              </w:tc>
              <w:tc>
                <w:tcPr>
                  <w:tcW w:w="551"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hint="eastAsia" w:ascii="Times New Roman" w:hAnsi="Times New Roman" w:eastAsia="宋体" w:cs="Times New Roman"/>
                      <w:b w:val="0"/>
                      <w:color w:val="auto"/>
                    </w:rPr>
                    <w:t>S</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hint="eastAsia" w:ascii="Times New Roman" w:hAnsi="Times New Roman" w:eastAsia="宋体" w:cs="Times New Roman"/>
                      <w:b w:val="0"/>
                      <w:color w:val="auto"/>
                    </w:rPr>
                    <w:t>75</w:t>
                  </w:r>
                  <w:r>
                    <w:rPr>
                      <w:rFonts w:ascii="Times New Roman" w:hAnsi="Times New Roman" w:eastAsia="宋体" w:cs="Times New Roman"/>
                      <w:b w:val="0"/>
                      <w:color w:val="auto"/>
                    </w:rPr>
                    <w:t>m</w:t>
                  </w:r>
                </w:p>
              </w:tc>
              <w:tc>
                <w:tcPr>
                  <w:tcW w:w="1406" w:type="pct"/>
                  <w:tcBorders>
                    <w:top w:val="single" w:color="auto" w:sz="4" w:space="0"/>
                    <w:left w:val="single" w:color="auto" w:sz="4" w:space="0"/>
                    <w:bottom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hint="eastAsia" w:ascii="Times New Roman" w:hAnsi="Times New Roman" w:eastAsia="宋体" w:cs="Times New Roman"/>
                      <w:b w:val="0"/>
                      <w:color w:val="auto"/>
                    </w:rPr>
                    <w:t>多年平均流量30.57</w:t>
                  </w:r>
                  <w:r>
                    <w:rPr>
                      <w:rFonts w:ascii="Times New Roman" w:hAnsi="Times New Roman" w:eastAsia="宋体" w:cs="Times New Roman"/>
                      <w:b w:val="0"/>
                      <w:color w:val="auto"/>
                    </w:rPr>
                    <w:t>m</w:t>
                  </w:r>
                  <w:r>
                    <w:rPr>
                      <w:rFonts w:ascii="Times New Roman" w:hAnsi="Times New Roman" w:eastAsia="宋体" w:cs="Times New Roman"/>
                      <w:b w:val="0"/>
                      <w:color w:val="auto"/>
                      <w:vertAlign w:val="superscript"/>
                    </w:rPr>
                    <w:t>3</w:t>
                  </w:r>
                  <w:r>
                    <w:rPr>
                      <w:rFonts w:ascii="Times New Roman" w:hAnsi="Times New Roman" w:eastAsia="宋体" w:cs="Times New Roman"/>
                      <w:b w:val="0"/>
                      <w:color w:val="auto"/>
                    </w:rPr>
                    <w:t>/s</w:t>
                  </w:r>
                </w:p>
              </w:tc>
              <w:tc>
                <w:tcPr>
                  <w:tcW w:w="1632" w:type="pct"/>
                  <w:vMerge w:val="restart"/>
                  <w:tcBorders>
                    <w:top w:val="single" w:color="auto" w:sz="4" w:space="0"/>
                    <w:left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ascii="Times New Roman" w:hAnsi="Times New Roman" w:eastAsia="宋体" w:cs="Times New Roman"/>
                      <w:b w:val="0"/>
                      <w:color w:val="auto"/>
                    </w:rPr>
                    <w:t>《地表水环境质量标准》（GB3838-2002）</w:t>
                  </w:r>
                  <w:r>
                    <w:rPr>
                      <w:rFonts w:ascii="Times New Roman" w:hAnsi="Times New Roman" w:eastAsia="宋体" w:cs="Times New Roman"/>
                      <w:b w:val="0"/>
                      <w:color w:val="auto"/>
                    </w:rPr>
                    <w:fldChar w:fldCharType="begin"/>
                  </w:r>
                  <w:r>
                    <w:rPr>
                      <w:rFonts w:ascii="Times New Roman" w:hAnsi="Times New Roman" w:eastAsia="宋体" w:cs="Times New Roman"/>
                      <w:b w:val="0"/>
                      <w:color w:val="auto"/>
                    </w:rPr>
                    <w:instrText xml:space="preserve"> </w:instrText>
                  </w:r>
                  <w:r>
                    <w:rPr>
                      <w:rFonts w:hint="eastAsia" w:ascii="Times New Roman" w:hAnsi="Times New Roman" w:eastAsia="宋体" w:cs="Times New Roman"/>
                      <w:b w:val="0"/>
                      <w:color w:val="auto"/>
                    </w:rPr>
                    <w:instrText xml:space="preserve">= 3 \* ROMAN</w:instrText>
                  </w:r>
                  <w:r>
                    <w:rPr>
                      <w:rFonts w:ascii="Times New Roman" w:hAnsi="Times New Roman" w:eastAsia="宋体" w:cs="Times New Roman"/>
                      <w:b w:val="0"/>
                      <w:color w:val="auto"/>
                    </w:rPr>
                    <w:instrText xml:space="preserve"> </w:instrText>
                  </w:r>
                  <w:r>
                    <w:rPr>
                      <w:rFonts w:ascii="Times New Roman" w:hAnsi="Times New Roman" w:eastAsia="宋体" w:cs="Times New Roman"/>
                      <w:b w:val="0"/>
                      <w:color w:val="auto"/>
                    </w:rPr>
                    <w:fldChar w:fldCharType="separate"/>
                  </w:r>
                  <w:r>
                    <w:rPr>
                      <w:rFonts w:ascii="Times New Roman" w:hAnsi="Times New Roman" w:eastAsia="宋体" w:cs="Times New Roman"/>
                      <w:b w:val="0"/>
                      <w:color w:val="auto"/>
                    </w:rPr>
                    <w:t>III</w:t>
                  </w:r>
                  <w:r>
                    <w:rPr>
                      <w:rFonts w:ascii="Times New Roman" w:hAnsi="Times New Roman" w:eastAsia="宋体" w:cs="Times New Roman"/>
                      <w:b w:val="0"/>
                      <w:color w:val="auto"/>
                    </w:rPr>
                    <w:fldChar w:fldCharType="end"/>
                  </w:r>
                  <w:r>
                    <w:rPr>
                      <w:rFonts w:ascii="Times New Roman" w:hAnsi="Times New Roman" w:eastAsia="宋体" w:cs="Times New Roman"/>
                      <w:b w:val="0"/>
                      <w:color w:val="auto"/>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 w:type="pct"/>
                  <w:tcBorders>
                    <w:top w:val="single" w:color="auto" w:sz="4" w:space="0"/>
                    <w:left w:val="single" w:color="auto" w:sz="4" w:space="0"/>
                    <w:right w:val="single" w:color="auto" w:sz="4" w:space="0"/>
                  </w:tcBorders>
                  <w:noWrap w:val="0"/>
                  <w:vAlign w:val="center"/>
                </w:tcPr>
                <w:p>
                  <w:pPr>
                    <w:pStyle w:val="310"/>
                    <w:rPr>
                      <w:rFonts w:hint="eastAsia" w:ascii="Times New Roman" w:hAnsi="Times New Roman" w:eastAsia="宋体" w:cs="Times New Roman"/>
                      <w:b w:val="0"/>
                      <w:color w:val="auto"/>
                    </w:rPr>
                  </w:pPr>
                  <w:r>
                    <w:rPr>
                      <w:rFonts w:hint="eastAsia" w:ascii="Times New Roman" w:hAnsi="Times New Roman" w:eastAsia="宋体" w:cs="Times New Roman"/>
                      <w:b w:val="0"/>
                      <w:color w:val="auto"/>
                    </w:rPr>
                    <w:t>州河</w:t>
                  </w:r>
                </w:p>
              </w:tc>
              <w:tc>
                <w:tcPr>
                  <w:tcW w:w="551" w:type="pct"/>
                  <w:tcBorders>
                    <w:top w:val="single" w:color="auto" w:sz="4" w:space="0"/>
                    <w:left w:val="single" w:color="auto" w:sz="4" w:space="0"/>
                    <w:bottom w:val="single" w:color="auto" w:sz="4" w:space="0"/>
                    <w:right w:val="single" w:color="auto" w:sz="4" w:space="0"/>
                  </w:tcBorders>
                  <w:noWrap w:val="0"/>
                  <w:vAlign w:val="center"/>
                </w:tcPr>
                <w:p>
                  <w:pPr>
                    <w:pStyle w:val="310"/>
                    <w:rPr>
                      <w:rFonts w:hint="eastAsia" w:ascii="Times New Roman" w:hAnsi="Times New Roman" w:eastAsia="宋体" w:cs="Times New Roman"/>
                      <w:b w:val="0"/>
                      <w:color w:val="auto"/>
                    </w:rPr>
                  </w:pPr>
                  <w:r>
                    <w:rPr>
                      <w:rFonts w:hint="eastAsia" w:ascii="Times New Roman" w:hAnsi="Times New Roman" w:eastAsia="宋体" w:cs="Times New Roman"/>
                      <w:b w:val="0"/>
                      <w:color w:val="auto"/>
                    </w:rPr>
                    <w:t>W</w:t>
                  </w:r>
                </w:p>
              </w:tc>
              <w:tc>
                <w:tcPr>
                  <w:tcW w:w="550" w:type="pct"/>
                  <w:tcBorders>
                    <w:top w:val="single" w:color="auto" w:sz="4" w:space="0"/>
                    <w:left w:val="single" w:color="auto" w:sz="4" w:space="0"/>
                    <w:bottom w:val="single" w:color="auto" w:sz="4" w:space="0"/>
                    <w:right w:val="single" w:color="auto" w:sz="4" w:space="0"/>
                  </w:tcBorders>
                  <w:noWrap w:val="0"/>
                  <w:vAlign w:val="center"/>
                </w:tcPr>
                <w:p>
                  <w:pPr>
                    <w:pStyle w:val="310"/>
                    <w:rPr>
                      <w:rFonts w:hint="eastAsia" w:ascii="Times New Roman" w:hAnsi="Times New Roman" w:eastAsia="宋体" w:cs="Times New Roman"/>
                      <w:b w:val="0"/>
                      <w:color w:val="auto"/>
                    </w:rPr>
                  </w:pPr>
                  <w:r>
                    <w:rPr>
                      <w:rFonts w:hint="eastAsia" w:ascii="Times New Roman" w:hAnsi="Times New Roman" w:eastAsia="宋体" w:cs="Times New Roman"/>
                      <w:b w:val="0"/>
                      <w:color w:val="auto"/>
                    </w:rPr>
                    <w:t>7</w:t>
                  </w:r>
                  <w:r>
                    <w:rPr>
                      <w:rFonts w:ascii="Times New Roman" w:hAnsi="Times New Roman" w:eastAsia="宋体" w:cs="Times New Roman"/>
                      <w:b w:val="0"/>
                      <w:color w:val="auto"/>
                    </w:rPr>
                    <w:t>70</w:t>
                  </w:r>
                  <w:r>
                    <w:rPr>
                      <w:rFonts w:hint="eastAsia" w:ascii="Times New Roman" w:hAnsi="Times New Roman" w:eastAsia="宋体" w:cs="Times New Roman"/>
                      <w:b w:val="0"/>
                      <w:color w:val="auto"/>
                    </w:rPr>
                    <w:t>m</w:t>
                  </w:r>
                </w:p>
              </w:tc>
              <w:tc>
                <w:tcPr>
                  <w:tcW w:w="1406" w:type="pct"/>
                  <w:tcBorders>
                    <w:top w:val="single" w:color="auto" w:sz="4" w:space="0"/>
                    <w:left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r>
                    <w:rPr>
                      <w:rFonts w:hint="eastAsia" w:ascii="Times New Roman" w:hAnsi="Times New Roman" w:eastAsia="宋体" w:cs="Times New Roman"/>
                      <w:b w:val="0"/>
                      <w:color w:val="auto"/>
                    </w:rPr>
                    <w:t>多年平均流量165.7</w:t>
                  </w:r>
                  <w:r>
                    <w:rPr>
                      <w:rFonts w:ascii="Times New Roman" w:hAnsi="Times New Roman" w:eastAsia="宋体" w:cs="Times New Roman"/>
                      <w:b w:val="0"/>
                      <w:color w:val="auto"/>
                    </w:rPr>
                    <w:t>m</w:t>
                  </w:r>
                  <w:r>
                    <w:rPr>
                      <w:rFonts w:ascii="Times New Roman" w:hAnsi="Times New Roman" w:eastAsia="宋体" w:cs="Times New Roman"/>
                      <w:b w:val="0"/>
                      <w:color w:val="auto"/>
                      <w:vertAlign w:val="superscript"/>
                    </w:rPr>
                    <w:t>3</w:t>
                  </w:r>
                  <w:r>
                    <w:rPr>
                      <w:rFonts w:ascii="Times New Roman" w:hAnsi="Times New Roman" w:eastAsia="宋体" w:cs="Times New Roman"/>
                      <w:b w:val="0"/>
                      <w:color w:val="auto"/>
                    </w:rPr>
                    <w:t>/s</w:t>
                  </w:r>
                </w:p>
              </w:tc>
              <w:tc>
                <w:tcPr>
                  <w:tcW w:w="1632" w:type="pct"/>
                  <w:vMerge w:val="continue"/>
                  <w:tcBorders>
                    <w:left w:val="single" w:color="auto" w:sz="4" w:space="0"/>
                    <w:right w:val="single" w:color="auto" w:sz="4" w:space="0"/>
                  </w:tcBorders>
                  <w:noWrap w:val="0"/>
                  <w:vAlign w:val="center"/>
                </w:tcPr>
                <w:p>
                  <w:pPr>
                    <w:pStyle w:val="310"/>
                    <w:rPr>
                      <w:rFonts w:ascii="Times New Roman" w:hAnsi="Times New Roman" w:eastAsia="宋体" w:cs="Times New Roman"/>
                      <w:b w:val="0"/>
                      <w:color w:val="auto"/>
                    </w:rPr>
                  </w:pPr>
                </w:p>
              </w:tc>
            </w:tr>
          </w:tbl>
          <w:p>
            <w:pPr>
              <w:pStyle w:val="8"/>
            </w:pPr>
            <w:r>
              <w:t>3、地下水环境</w:t>
            </w:r>
          </w:p>
          <w:p>
            <w:pPr>
              <w:pStyle w:val="8"/>
            </w:pPr>
            <w:r>
              <w:t>根据现场踏勘，本项目周边500m范围内无地下水集中式饮用水源、热水、矿泉水、温泉等特殊地下水资源。</w:t>
            </w:r>
          </w:p>
          <w:p>
            <w:pPr>
              <w:pStyle w:val="8"/>
            </w:pPr>
            <w:r>
              <w:t>4、声环境</w:t>
            </w:r>
          </w:p>
          <w:p>
            <w:pPr>
              <w:pStyle w:val="8"/>
            </w:pPr>
            <w:r>
              <w:t>根据现场勘察，本项目周边50m范围内无声环境敏感目标。</w:t>
            </w:r>
          </w:p>
          <w:p>
            <w:pPr>
              <w:pStyle w:val="8"/>
            </w:pPr>
            <w:r>
              <w:t>5、生态环境</w:t>
            </w:r>
          </w:p>
          <w:p>
            <w:pPr>
              <w:spacing w:line="360" w:lineRule="auto"/>
              <w:ind w:firstLine="480" w:firstLineChars="200"/>
              <w:rPr>
                <w:szCs w:val="21"/>
              </w:rPr>
            </w:pPr>
            <w:r>
              <w:rPr>
                <w:rFonts w:hint="eastAsia"/>
                <w:sz w:val="24"/>
              </w:rPr>
              <w:t>根据调查，工程占地原为临时拌合站占地，目前拌合设施已拆除，厂区占地范围内地面属于硬化地面，</w:t>
            </w:r>
            <w:r>
              <w:rPr>
                <w:sz w:val="24"/>
              </w:rPr>
              <w:t>不存在原生植被</w:t>
            </w:r>
            <w:r>
              <w:rPr>
                <w:rFonts w:hint="eastAsia"/>
                <w:sz w:val="24"/>
              </w:rPr>
              <w:t>，无生态环境保护目标。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390" w:type="dxa"/>
            <w:noWrap w:val="0"/>
            <w:tcMar>
              <w:left w:w="28" w:type="dxa"/>
              <w:right w:w="28" w:type="dxa"/>
            </w:tcMar>
            <w:vAlign w:val="center"/>
          </w:tcPr>
          <w:p>
            <w:pPr>
              <w:adjustRightInd w:val="0"/>
              <w:snapToGrid w:val="0"/>
              <w:jc w:val="center"/>
              <w:rPr>
                <w:b/>
                <w:bCs/>
                <w:kern w:val="0"/>
                <w:sz w:val="24"/>
              </w:rPr>
            </w:pPr>
            <w:r>
              <w:rPr>
                <w:b/>
                <w:bCs/>
                <w:kern w:val="0"/>
                <w:sz w:val="24"/>
              </w:rPr>
              <w:t>污染</w:t>
            </w:r>
          </w:p>
          <w:p>
            <w:pPr>
              <w:adjustRightInd w:val="0"/>
              <w:snapToGrid w:val="0"/>
              <w:jc w:val="center"/>
              <w:rPr>
                <w:b/>
                <w:bCs/>
                <w:kern w:val="0"/>
                <w:sz w:val="24"/>
              </w:rPr>
            </w:pPr>
            <w:r>
              <w:rPr>
                <w:b/>
                <w:bCs/>
                <w:kern w:val="0"/>
                <w:sz w:val="24"/>
              </w:rPr>
              <w:t>物排</w:t>
            </w:r>
          </w:p>
          <w:p>
            <w:pPr>
              <w:adjustRightInd w:val="0"/>
              <w:snapToGrid w:val="0"/>
              <w:jc w:val="center"/>
              <w:rPr>
                <w:b/>
                <w:bCs/>
                <w:kern w:val="0"/>
                <w:sz w:val="24"/>
              </w:rPr>
            </w:pPr>
            <w:r>
              <w:rPr>
                <w:b/>
                <w:bCs/>
                <w:kern w:val="0"/>
                <w:sz w:val="24"/>
              </w:rPr>
              <w:t>放控</w:t>
            </w:r>
          </w:p>
          <w:p>
            <w:pPr>
              <w:adjustRightInd w:val="0"/>
              <w:snapToGrid w:val="0"/>
              <w:jc w:val="center"/>
              <w:rPr>
                <w:b/>
                <w:bCs/>
                <w:kern w:val="0"/>
                <w:sz w:val="24"/>
              </w:rPr>
            </w:pPr>
            <w:r>
              <w:rPr>
                <w:b/>
                <w:bCs/>
                <w:kern w:val="0"/>
                <w:sz w:val="24"/>
              </w:rPr>
              <w:t>制标</w:t>
            </w:r>
          </w:p>
          <w:p>
            <w:pPr>
              <w:adjustRightInd w:val="0"/>
              <w:snapToGrid w:val="0"/>
              <w:jc w:val="center"/>
              <w:rPr>
                <w:kern w:val="0"/>
                <w:szCs w:val="21"/>
              </w:rPr>
            </w:pPr>
            <w:r>
              <w:rPr>
                <w:b/>
                <w:bCs/>
                <w:kern w:val="0"/>
                <w:sz w:val="24"/>
              </w:rPr>
              <w:t>准</w:t>
            </w:r>
          </w:p>
        </w:tc>
        <w:tc>
          <w:tcPr>
            <w:tcW w:w="8671" w:type="dxa"/>
            <w:noWrap w:val="0"/>
            <w:vAlign w:val="top"/>
          </w:tcPr>
          <w:p>
            <w:pPr>
              <w:adjustRightInd w:val="0"/>
              <w:snapToGrid w:val="0"/>
              <w:spacing w:before="120" w:beforeLines="50" w:line="360" w:lineRule="auto"/>
              <w:ind w:firstLine="482" w:firstLineChars="200"/>
              <w:rPr>
                <w:b/>
                <w:bCs/>
                <w:snapToGrid w:val="0"/>
                <w:kern w:val="0"/>
                <w:sz w:val="24"/>
                <w:szCs w:val="20"/>
              </w:rPr>
            </w:pPr>
            <w:r>
              <w:rPr>
                <w:b/>
                <w:bCs/>
                <w:snapToGrid w:val="0"/>
                <w:kern w:val="0"/>
                <w:sz w:val="24"/>
                <w:szCs w:val="20"/>
              </w:rPr>
              <w:t>一、环境质量标准</w:t>
            </w:r>
          </w:p>
          <w:p>
            <w:pPr>
              <w:adjustRightInd w:val="0"/>
              <w:snapToGrid w:val="0"/>
              <w:spacing w:before="120" w:beforeLines="50" w:line="360" w:lineRule="auto"/>
              <w:ind w:firstLine="480" w:firstLineChars="200"/>
              <w:rPr>
                <w:snapToGrid w:val="0"/>
                <w:kern w:val="0"/>
                <w:sz w:val="24"/>
                <w:szCs w:val="20"/>
              </w:rPr>
            </w:pPr>
            <w:r>
              <w:rPr>
                <w:snapToGrid w:val="0"/>
                <w:kern w:val="0"/>
                <w:sz w:val="24"/>
                <w:szCs w:val="20"/>
              </w:rPr>
              <w:t>1、大气环境质量标准</w:t>
            </w:r>
          </w:p>
          <w:p>
            <w:pPr>
              <w:pStyle w:val="8"/>
              <w:ind w:firstLine="480"/>
              <w:jc w:val="both"/>
            </w:pPr>
            <w:r>
              <w:t>项目区环境空气执行《环境空气质量标准》（GB3095-2012）中的二级标准，</w:t>
            </w:r>
            <w:r>
              <w:rPr>
                <w:rFonts w:hint="eastAsia"/>
              </w:rPr>
              <w:t>TVOC执行《环境影响评价技术导则 大气环境》（HJ 2.2-2018）附录D中的标准；非甲烷总烃执行《大气污染物综合排放标准详解》中的标准要求。</w:t>
            </w:r>
          </w:p>
          <w:p>
            <w:pPr>
              <w:pStyle w:val="8"/>
              <w:ind w:firstLine="480"/>
              <w:jc w:val="both"/>
              <w:rPr>
                <w:szCs w:val="21"/>
              </w:rPr>
            </w:pPr>
            <w:r>
              <w:t>具体标准限值</w:t>
            </w:r>
            <w:r>
              <w:rPr>
                <w:szCs w:val="21"/>
              </w:rPr>
              <w:t>见表3-</w:t>
            </w:r>
            <w:r>
              <w:rPr>
                <w:rFonts w:hint="eastAsia"/>
                <w:szCs w:val="21"/>
              </w:rPr>
              <w:t>16</w:t>
            </w:r>
            <w:r>
              <w:rPr>
                <w:szCs w:val="21"/>
              </w:rPr>
              <w:t>。</w:t>
            </w:r>
          </w:p>
          <w:p>
            <w:pPr>
              <w:jc w:val="center"/>
              <w:rPr>
                <w:b/>
                <w:bCs/>
                <w:szCs w:val="21"/>
              </w:rPr>
            </w:pPr>
            <w:r>
              <w:rPr>
                <w:b/>
                <w:bCs/>
                <w:szCs w:val="21"/>
              </w:rPr>
              <w:t>表3-</w:t>
            </w:r>
            <w:r>
              <w:rPr>
                <w:rFonts w:hint="eastAsia"/>
                <w:b/>
                <w:bCs/>
                <w:szCs w:val="21"/>
              </w:rPr>
              <w:t>16</w:t>
            </w:r>
            <w:r>
              <w:rPr>
                <w:b/>
                <w:bCs/>
                <w:szCs w:val="21"/>
              </w:rPr>
              <w:t xml:space="preserve"> 环境空气质量标准</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2118"/>
              <w:gridCol w:w="1253"/>
              <w:gridCol w:w="1253"/>
              <w:gridCol w:w="1252"/>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747" w:type="pct"/>
                  <w:noWrap w:val="0"/>
                  <w:vAlign w:val="center"/>
                </w:tcPr>
                <w:p>
                  <w:pPr>
                    <w:jc w:val="center"/>
                    <w:rPr>
                      <w:b/>
                      <w:bCs/>
                      <w:szCs w:val="21"/>
                    </w:rPr>
                  </w:pPr>
                  <w:r>
                    <w:rPr>
                      <w:b/>
                      <w:bCs/>
                      <w:szCs w:val="21"/>
                    </w:rPr>
                    <w:t>环境要素</w:t>
                  </w:r>
                </w:p>
              </w:tc>
              <w:tc>
                <w:tcPr>
                  <w:tcW w:w="1264" w:type="pct"/>
                  <w:noWrap w:val="0"/>
                  <w:vAlign w:val="center"/>
                </w:tcPr>
                <w:p>
                  <w:pPr>
                    <w:jc w:val="center"/>
                    <w:rPr>
                      <w:b/>
                      <w:bCs/>
                      <w:szCs w:val="21"/>
                    </w:rPr>
                  </w:pPr>
                  <w:r>
                    <w:rPr>
                      <w:b/>
                      <w:bCs/>
                      <w:szCs w:val="21"/>
                    </w:rPr>
                    <w:t>标准名称及级别</w:t>
                  </w:r>
                </w:p>
              </w:tc>
              <w:tc>
                <w:tcPr>
                  <w:tcW w:w="748" w:type="pct"/>
                  <w:noWrap w:val="0"/>
                  <w:vAlign w:val="center"/>
                </w:tcPr>
                <w:p>
                  <w:pPr>
                    <w:jc w:val="center"/>
                    <w:rPr>
                      <w:b/>
                      <w:bCs/>
                      <w:szCs w:val="21"/>
                    </w:rPr>
                  </w:pPr>
                  <w:r>
                    <w:rPr>
                      <w:b/>
                      <w:bCs/>
                      <w:szCs w:val="21"/>
                    </w:rPr>
                    <w:t>污染物项目</w:t>
                  </w:r>
                </w:p>
              </w:tc>
              <w:tc>
                <w:tcPr>
                  <w:tcW w:w="748" w:type="pct"/>
                  <w:noWrap w:val="0"/>
                  <w:vAlign w:val="center"/>
                </w:tcPr>
                <w:p>
                  <w:pPr>
                    <w:jc w:val="center"/>
                    <w:rPr>
                      <w:b/>
                      <w:bCs/>
                      <w:szCs w:val="21"/>
                    </w:rPr>
                  </w:pPr>
                  <w:r>
                    <w:rPr>
                      <w:b/>
                      <w:bCs/>
                      <w:szCs w:val="21"/>
                    </w:rPr>
                    <w:t>平均时间</w:t>
                  </w:r>
                </w:p>
              </w:tc>
              <w:tc>
                <w:tcPr>
                  <w:tcW w:w="747" w:type="pct"/>
                  <w:noWrap w:val="0"/>
                  <w:vAlign w:val="center"/>
                </w:tcPr>
                <w:p>
                  <w:pPr>
                    <w:jc w:val="center"/>
                    <w:rPr>
                      <w:b/>
                      <w:bCs/>
                      <w:szCs w:val="21"/>
                    </w:rPr>
                  </w:pPr>
                  <w:r>
                    <w:rPr>
                      <w:b/>
                      <w:bCs/>
                      <w:szCs w:val="21"/>
                    </w:rPr>
                    <w:t>浓度限值</w:t>
                  </w:r>
                </w:p>
              </w:tc>
              <w:tc>
                <w:tcPr>
                  <w:tcW w:w="746" w:type="pct"/>
                  <w:noWrap w:val="0"/>
                  <w:vAlign w:val="center"/>
                </w:tcPr>
                <w:p>
                  <w:pPr>
                    <w:jc w:val="center"/>
                    <w:rPr>
                      <w:b/>
                      <w:bCs/>
                      <w:szCs w:val="21"/>
                    </w:rPr>
                  </w:pPr>
                  <w:r>
                    <w:rPr>
                      <w:b/>
                      <w:bCs/>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restart"/>
                  <w:noWrap w:val="0"/>
                  <w:vAlign w:val="center"/>
                </w:tcPr>
                <w:p>
                  <w:pPr>
                    <w:jc w:val="center"/>
                    <w:rPr>
                      <w:szCs w:val="21"/>
                    </w:rPr>
                  </w:pPr>
                  <w:r>
                    <w:rPr>
                      <w:szCs w:val="21"/>
                    </w:rPr>
                    <w:t>环境空气</w:t>
                  </w:r>
                </w:p>
              </w:tc>
              <w:tc>
                <w:tcPr>
                  <w:tcW w:w="1264" w:type="pct"/>
                  <w:vMerge w:val="restart"/>
                  <w:noWrap w:val="0"/>
                  <w:vAlign w:val="center"/>
                </w:tcPr>
                <w:p>
                  <w:pPr>
                    <w:jc w:val="center"/>
                    <w:rPr>
                      <w:szCs w:val="21"/>
                    </w:rPr>
                  </w:pPr>
                  <w:r>
                    <w:rPr>
                      <w:szCs w:val="21"/>
                    </w:rPr>
                    <w:t>《环境空气质量标准》（GB3095-2012）二级标准</w:t>
                  </w:r>
                </w:p>
              </w:tc>
              <w:tc>
                <w:tcPr>
                  <w:tcW w:w="748" w:type="pct"/>
                  <w:vMerge w:val="restart"/>
                  <w:noWrap w:val="0"/>
                  <w:vAlign w:val="center"/>
                </w:tcPr>
                <w:p>
                  <w:pPr>
                    <w:jc w:val="center"/>
                    <w:rPr>
                      <w:szCs w:val="21"/>
                    </w:rPr>
                  </w:pPr>
                  <w:r>
                    <w:rPr>
                      <w:szCs w:val="21"/>
                    </w:rPr>
                    <w:t>SO</w:t>
                  </w:r>
                  <w:r>
                    <w:rPr>
                      <w:szCs w:val="21"/>
                      <w:vertAlign w:val="subscript"/>
                    </w:rPr>
                    <w:t>2</w:t>
                  </w:r>
                </w:p>
              </w:tc>
              <w:tc>
                <w:tcPr>
                  <w:tcW w:w="748" w:type="pct"/>
                  <w:noWrap w:val="0"/>
                  <w:vAlign w:val="center"/>
                </w:tcPr>
                <w:p>
                  <w:pPr>
                    <w:jc w:val="center"/>
                    <w:rPr>
                      <w:szCs w:val="21"/>
                    </w:rPr>
                  </w:pPr>
                  <w:r>
                    <w:rPr>
                      <w:szCs w:val="21"/>
                    </w:rPr>
                    <w:t>年平均</w:t>
                  </w:r>
                </w:p>
              </w:tc>
              <w:tc>
                <w:tcPr>
                  <w:tcW w:w="747" w:type="pct"/>
                  <w:noWrap w:val="0"/>
                  <w:vAlign w:val="center"/>
                </w:tcPr>
                <w:p>
                  <w:pPr>
                    <w:jc w:val="center"/>
                    <w:rPr>
                      <w:szCs w:val="21"/>
                    </w:rPr>
                  </w:pPr>
                  <w:r>
                    <w:rPr>
                      <w:szCs w:val="21"/>
                    </w:rPr>
                    <w:t>60</w:t>
                  </w:r>
                </w:p>
              </w:tc>
              <w:tc>
                <w:tcPr>
                  <w:tcW w:w="746" w:type="pct"/>
                  <w:vMerge w:val="restar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szCs w:val="21"/>
                    </w:rPr>
                    <w:t>150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1h平均</w:t>
                  </w:r>
                </w:p>
              </w:tc>
              <w:tc>
                <w:tcPr>
                  <w:tcW w:w="747" w:type="pct"/>
                  <w:noWrap w:val="0"/>
                  <w:vAlign w:val="center"/>
                </w:tcPr>
                <w:p>
                  <w:pPr>
                    <w:jc w:val="center"/>
                    <w:rPr>
                      <w:szCs w:val="21"/>
                    </w:rPr>
                  </w:pPr>
                  <w:r>
                    <w:rPr>
                      <w:szCs w:val="21"/>
                    </w:rPr>
                    <w:t>500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restart"/>
                  <w:noWrap w:val="0"/>
                  <w:vAlign w:val="center"/>
                </w:tcPr>
                <w:p>
                  <w:pPr>
                    <w:jc w:val="center"/>
                    <w:rPr>
                      <w:szCs w:val="21"/>
                    </w:rPr>
                  </w:pPr>
                  <w:r>
                    <w:rPr>
                      <w:szCs w:val="21"/>
                    </w:rPr>
                    <w:t>NO</w:t>
                  </w:r>
                  <w:r>
                    <w:rPr>
                      <w:szCs w:val="21"/>
                      <w:vertAlign w:val="subscript"/>
                    </w:rPr>
                    <w:t>2</w:t>
                  </w:r>
                </w:p>
              </w:tc>
              <w:tc>
                <w:tcPr>
                  <w:tcW w:w="748" w:type="pct"/>
                  <w:noWrap w:val="0"/>
                  <w:vAlign w:val="center"/>
                </w:tcPr>
                <w:p>
                  <w:pPr>
                    <w:jc w:val="center"/>
                    <w:rPr>
                      <w:szCs w:val="21"/>
                    </w:rPr>
                  </w:pPr>
                  <w:r>
                    <w:rPr>
                      <w:szCs w:val="21"/>
                    </w:rPr>
                    <w:t>年平均</w:t>
                  </w:r>
                </w:p>
              </w:tc>
              <w:tc>
                <w:tcPr>
                  <w:tcW w:w="747" w:type="pct"/>
                  <w:noWrap w:val="0"/>
                  <w:vAlign w:val="center"/>
                </w:tcPr>
                <w:p>
                  <w:pPr>
                    <w:jc w:val="center"/>
                    <w:rPr>
                      <w:szCs w:val="21"/>
                    </w:rPr>
                  </w:pPr>
                  <w:r>
                    <w:rPr>
                      <w:szCs w:val="21"/>
                    </w:rPr>
                    <w:t>40</w:t>
                  </w:r>
                </w:p>
              </w:tc>
              <w:tc>
                <w:tcPr>
                  <w:tcW w:w="746" w:type="pct"/>
                  <w:vMerge w:val="restar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szCs w:val="21"/>
                    </w:rPr>
                    <w:t>80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1h平均</w:t>
                  </w:r>
                </w:p>
              </w:tc>
              <w:tc>
                <w:tcPr>
                  <w:tcW w:w="747" w:type="pct"/>
                  <w:noWrap w:val="0"/>
                  <w:vAlign w:val="center"/>
                </w:tcPr>
                <w:p>
                  <w:pPr>
                    <w:jc w:val="center"/>
                    <w:rPr>
                      <w:szCs w:val="21"/>
                    </w:rPr>
                  </w:pPr>
                  <w:r>
                    <w:rPr>
                      <w:szCs w:val="21"/>
                    </w:rPr>
                    <w:t>200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restart"/>
                  <w:noWrap w:val="0"/>
                  <w:vAlign w:val="center"/>
                </w:tcPr>
                <w:p>
                  <w:pPr>
                    <w:jc w:val="center"/>
                    <w:rPr>
                      <w:szCs w:val="21"/>
                    </w:rPr>
                  </w:pPr>
                  <w:r>
                    <w:rPr>
                      <w:szCs w:val="21"/>
                    </w:rPr>
                    <w:t>CO</w:t>
                  </w: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szCs w:val="21"/>
                    </w:rPr>
                    <w:t>4</w:t>
                  </w:r>
                </w:p>
              </w:tc>
              <w:tc>
                <w:tcPr>
                  <w:tcW w:w="746" w:type="pct"/>
                  <w:vMerge w:val="restart"/>
                  <w:noWrap w:val="0"/>
                  <w:vAlign w:val="center"/>
                </w:tcPr>
                <w:p>
                  <w:pPr>
                    <w:jc w:val="center"/>
                    <w:rPr>
                      <w:szCs w:val="21"/>
                    </w:rPr>
                  </w:pPr>
                  <w:r>
                    <w:rPr>
                      <w:szCs w:val="21"/>
                      <w:shd w:val="clear" w:color="auto" w:fill="FFFFFF"/>
                    </w:rPr>
                    <w:t>m</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1h平均</w:t>
                  </w:r>
                </w:p>
              </w:tc>
              <w:tc>
                <w:tcPr>
                  <w:tcW w:w="747" w:type="pct"/>
                  <w:noWrap w:val="0"/>
                  <w:vAlign w:val="center"/>
                </w:tcPr>
                <w:p>
                  <w:pPr>
                    <w:jc w:val="center"/>
                    <w:rPr>
                      <w:szCs w:val="21"/>
                    </w:rPr>
                  </w:pPr>
                  <w:r>
                    <w:rPr>
                      <w:szCs w:val="21"/>
                    </w:rPr>
                    <w:t>10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restart"/>
                  <w:noWrap w:val="0"/>
                  <w:vAlign w:val="center"/>
                </w:tcPr>
                <w:p>
                  <w:pPr>
                    <w:jc w:val="center"/>
                    <w:rPr>
                      <w:szCs w:val="21"/>
                    </w:rPr>
                  </w:pPr>
                  <w:r>
                    <w:rPr>
                      <w:szCs w:val="21"/>
                    </w:rPr>
                    <w:t>O</w:t>
                  </w:r>
                  <w:r>
                    <w:rPr>
                      <w:szCs w:val="21"/>
                      <w:vertAlign w:val="subscript"/>
                    </w:rPr>
                    <w:t>3</w:t>
                  </w:r>
                </w:p>
              </w:tc>
              <w:tc>
                <w:tcPr>
                  <w:tcW w:w="748" w:type="pct"/>
                  <w:noWrap w:val="0"/>
                  <w:vAlign w:val="center"/>
                </w:tcPr>
                <w:p>
                  <w:pPr>
                    <w:jc w:val="center"/>
                    <w:rPr>
                      <w:szCs w:val="21"/>
                    </w:rPr>
                  </w:pPr>
                  <w:r>
                    <w:rPr>
                      <w:szCs w:val="21"/>
                    </w:rPr>
                    <w:t>日最大8h平均</w:t>
                  </w:r>
                </w:p>
              </w:tc>
              <w:tc>
                <w:tcPr>
                  <w:tcW w:w="747" w:type="pct"/>
                  <w:noWrap w:val="0"/>
                  <w:vAlign w:val="center"/>
                </w:tcPr>
                <w:p>
                  <w:pPr>
                    <w:jc w:val="center"/>
                    <w:rPr>
                      <w:szCs w:val="21"/>
                    </w:rPr>
                  </w:pPr>
                  <w:r>
                    <w:rPr>
                      <w:szCs w:val="21"/>
                    </w:rPr>
                    <w:t>160</w:t>
                  </w:r>
                </w:p>
              </w:tc>
              <w:tc>
                <w:tcPr>
                  <w:tcW w:w="746" w:type="pct"/>
                  <w:vMerge w:val="restar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1h平均</w:t>
                  </w:r>
                </w:p>
              </w:tc>
              <w:tc>
                <w:tcPr>
                  <w:tcW w:w="747" w:type="pct"/>
                  <w:noWrap w:val="0"/>
                  <w:vAlign w:val="center"/>
                </w:tcPr>
                <w:p>
                  <w:pPr>
                    <w:jc w:val="center"/>
                    <w:rPr>
                      <w:szCs w:val="21"/>
                    </w:rPr>
                  </w:pPr>
                  <w:r>
                    <w:rPr>
                      <w:szCs w:val="21"/>
                    </w:rPr>
                    <w:t>200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restart"/>
                  <w:noWrap w:val="0"/>
                  <w:vAlign w:val="center"/>
                </w:tcPr>
                <w:p>
                  <w:pPr>
                    <w:jc w:val="center"/>
                    <w:rPr>
                      <w:szCs w:val="21"/>
                    </w:rPr>
                  </w:pPr>
                  <w:r>
                    <w:rPr>
                      <w:szCs w:val="21"/>
                    </w:rPr>
                    <w:t>PM</w:t>
                  </w:r>
                  <w:r>
                    <w:rPr>
                      <w:szCs w:val="21"/>
                      <w:vertAlign w:val="subscript"/>
                    </w:rPr>
                    <w:t>10</w:t>
                  </w:r>
                </w:p>
              </w:tc>
              <w:tc>
                <w:tcPr>
                  <w:tcW w:w="748" w:type="pct"/>
                  <w:noWrap w:val="0"/>
                  <w:vAlign w:val="center"/>
                </w:tcPr>
                <w:p>
                  <w:pPr>
                    <w:jc w:val="center"/>
                    <w:rPr>
                      <w:szCs w:val="21"/>
                    </w:rPr>
                  </w:pPr>
                  <w:r>
                    <w:rPr>
                      <w:szCs w:val="21"/>
                    </w:rPr>
                    <w:t>年平均</w:t>
                  </w:r>
                </w:p>
              </w:tc>
              <w:tc>
                <w:tcPr>
                  <w:tcW w:w="747" w:type="pct"/>
                  <w:noWrap w:val="0"/>
                  <w:vAlign w:val="center"/>
                </w:tcPr>
                <w:p>
                  <w:pPr>
                    <w:jc w:val="center"/>
                    <w:rPr>
                      <w:szCs w:val="21"/>
                    </w:rPr>
                  </w:pPr>
                  <w:r>
                    <w:rPr>
                      <w:szCs w:val="21"/>
                    </w:rPr>
                    <w:t>70</w:t>
                  </w:r>
                </w:p>
              </w:tc>
              <w:tc>
                <w:tcPr>
                  <w:tcW w:w="746" w:type="pct"/>
                  <w:vMerge w:val="restar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szCs w:val="21"/>
                    </w:rPr>
                    <w:t>150</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restart"/>
                  <w:noWrap w:val="0"/>
                  <w:vAlign w:val="center"/>
                </w:tcPr>
                <w:p>
                  <w:pPr>
                    <w:jc w:val="center"/>
                    <w:rPr>
                      <w:szCs w:val="21"/>
                    </w:rPr>
                  </w:pPr>
                  <w:r>
                    <w:rPr>
                      <w:szCs w:val="21"/>
                    </w:rPr>
                    <w:t>PM</w:t>
                  </w:r>
                  <w:r>
                    <w:rPr>
                      <w:szCs w:val="21"/>
                      <w:vertAlign w:val="subscript"/>
                    </w:rPr>
                    <w:t>2.5</w:t>
                  </w:r>
                </w:p>
              </w:tc>
              <w:tc>
                <w:tcPr>
                  <w:tcW w:w="748" w:type="pct"/>
                  <w:noWrap w:val="0"/>
                  <w:vAlign w:val="center"/>
                </w:tcPr>
                <w:p>
                  <w:pPr>
                    <w:jc w:val="center"/>
                    <w:rPr>
                      <w:szCs w:val="21"/>
                    </w:rPr>
                  </w:pPr>
                  <w:r>
                    <w:rPr>
                      <w:szCs w:val="21"/>
                    </w:rPr>
                    <w:t>年平均</w:t>
                  </w:r>
                </w:p>
              </w:tc>
              <w:tc>
                <w:tcPr>
                  <w:tcW w:w="747" w:type="pct"/>
                  <w:noWrap w:val="0"/>
                  <w:vAlign w:val="center"/>
                </w:tcPr>
                <w:p>
                  <w:pPr>
                    <w:jc w:val="center"/>
                    <w:rPr>
                      <w:szCs w:val="21"/>
                    </w:rPr>
                  </w:pPr>
                  <w:r>
                    <w:rPr>
                      <w:szCs w:val="21"/>
                    </w:rPr>
                    <w:t>35</w:t>
                  </w:r>
                </w:p>
              </w:tc>
              <w:tc>
                <w:tcPr>
                  <w:tcW w:w="746" w:type="pct"/>
                  <w:vMerge w:val="restar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szCs w:val="21"/>
                    </w:rPr>
                  </w:pPr>
                </w:p>
              </w:tc>
              <w:tc>
                <w:tcPr>
                  <w:tcW w:w="748" w:type="pct"/>
                  <w:vMerge w:val="continue"/>
                  <w:noWrap w:val="0"/>
                  <w:vAlign w:val="center"/>
                </w:tcPr>
                <w:p>
                  <w:pPr>
                    <w:jc w:val="center"/>
                    <w:rPr>
                      <w:szCs w:val="21"/>
                    </w:rPr>
                  </w:pP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szCs w:val="21"/>
                    </w:rPr>
                    <w:t>75</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noWrap w:val="0"/>
                  <w:vAlign w:val="center"/>
                </w:tcPr>
                <w:p>
                  <w:pPr>
                    <w:jc w:val="center"/>
                    <w:rPr>
                      <w:szCs w:val="21"/>
                    </w:rPr>
                  </w:pPr>
                  <w:r>
                    <w:rPr>
                      <w:rFonts w:hint="eastAsia"/>
                      <w:szCs w:val="21"/>
                    </w:rPr>
                    <w:t>《环境影响评价技术导则 大气环境》（HJ 2.2-2018）附录D</w:t>
                  </w:r>
                </w:p>
              </w:tc>
              <w:tc>
                <w:tcPr>
                  <w:tcW w:w="748" w:type="pct"/>
                  <w:noWrap w:val="0"/>
                  <w:vAlign w:val="center"/>
                </w:tcPr>
                <w:p>
                  <w:pPr>
                    <w:jc w:val="center"/>
                    <w:rPr>
                      <w:szCs w:val="21"/>
                    </w:rPr>
                  </w:pPr>
                  <w:r>
                    <w:rPr>
                      <w:rFonts w:hint="eastAsia"/>
                      <w:szCs w:val="21"/>
                    </w:rPr>
                    <w:t>TVOC</w:t>
                  </w:r>
                </w:p>
              </w:tc>
              <w:tc>
                <w:tcPr>
                  <w:tcW w:w="748" w:type="pct"/>
                  <w:noWrap w:val="0"/>
                  <w:vAlign w:val="center"/>
                </w:tcPr>
                <w:p>
                  <w:pPr>
                    <w:jc w:val="center"/>
                    <w:rPr>
                      <w:szCs w:val="21"/>
                    </w:rPr>
                  </w:pPr>
                  <w:r>
                    <w:rPr>
                      <w:rFonts w:hint="eastAsia"/>
                      <w:szCs w:val="21"/>
                    </w:rPr>
                    <w:t>8h</w:t>
                  </w:r>
                  <w:r>
                    <w:rPr>
                      <w:szCs w:val="21"/>
                    </w:rPr>
                    <w:t>平均</w:t>
                  </w:r>
                </w:p>
              </w:tc>
              <w:tc>
                <w:tcPr>
                  <w:tcW w:w="747" w:type="pct"/>
                  <w:noWrap w:val="0"/>
                  <w:vAlign w:val="center"/>
                </w:tcPr>
                <w:p>
                  <w:pPr>
                    <w:jc w:val="center"/>
                    <w:rPr>
                      <w:szCs w:val="21"/>
                    </w:rPr>
                  </w:pPr>
                  <w:r>
                    <w:rPr>
                      <w:rFonts w:hint="eastAsia"/>
                      <w:szCs w:val="21"/>
                    </w:rPr>
                    <w:t>600</w:t>
                  </w:r>
                </w:p>
              </w:tc>
              <w:tc>
                <w:tcPr>
                  <w:tcW w:w="746" w:type="pct"/>
                  <w:noWrap w:val="0"/>
                  <w:vAlign w:val="center"/>
                </w:tcPr>
                <w:p>
                  <w:pPr>
                    <w:jc w:val="center"/>
                    <w:rPr>
                      <w:szCs w:val="21"/>
                    </w:rPr>
                  </w:pPr>
                  <w:r>
                    <w:rPr>
                      <w:szCs w:val="21"/>
                      <w:shd w:val="clear" w:color="auto" w:fill="FFFFFF"/>
                    </w:rPr>
                    <w:t>μ</w:t>
                  </w:r>
                  <w:r>
                    <w:rPr>
                      <w:szCs w:val="21"/>
                    </w:rPr>
                    <w:t>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restart"/>
                  <w:noWrap w:val="0"/>
                  <w:vAlign w:val="center"/>
                </w:tcPr>
                <w:p>
                  <w:pPr>
                    <w:jc w:val="center"/>
                    <w:rPr>
                      <w:rFonts w:hint="eastAsia"/>
                      <w:szCs w:val="21"/>
                    </w:rPr>
                  </w:pPr>
                  <w:r>
                    <w:rPr>
                      <w:rFonts w:hint="eastAsia"/>
                      <w:szCs w:val="21"/>
                    </w:rPr>
                    <w:t>《大气污染物综合排放标准详解》</w:t>
                  </w:r>
                </w:p>
              </w:tc>
              <w:tc>
                <w:tcPr>
                  <w:tcW w:w="748" w:type="pct"/>
                  <w:vMerge w:val="restart"/>
                  <w:noWrap w:val="0"/>
                  <w:vAlign w:val="center"/>
                </w:tcPr>
                <w:p>
                  <w:pPr>
                    <w:jc w:val="center"/>
                    <w:rPr>
                      <w:rFonts w:hint="eastAsia"/>
                      <w:szCs w:val="21"/>
                    </w:rPr>
                  </w:pPr>
                  <w:r>
                    <w:rPr>
                      <w:rFonts w:hint="eastAsia"/>
                      <w:szCs w:val="21"/>
                    </w:rPr>
                    <w:t>非甲烷总烃</w:t>
                  </w:r>
                </w:p>
              </w:tc>
              <w:tc>
                <w:tcPr>
                  <w:tcW w:w="748" w:type="pct"/>
                  <w:noWrap w:val="0"/>
                  <w:vAlign w:val="center"/>
                </w:tcPr>
                <w:p>
                  <w:pPr>
                    <w:jc w:val="center"/>
                    <w:rPr>
                      <w:szCs w:val="21"/>
                    </w:rPr>
                  </w:pPr>
                  <w:r>
                    <w:rPr>
                      <w:szCs w:val="21"/>
                    </w:rPr>
                    <w:t>年平均</w:t>
                  </w:r>
                </w:p>
              </w:tc>
              <w:tc>
                <w:tcPr>
                  <w:tcW w:w="747" w:type="pct"/>
                  <w:noWrap w:val="0"/>
                  <w:vAlign w:val="center"/>
                </w:tcPr>
                <w:p>
                  <w:pPr>
                    <w:jc w:val="center"/>
                    <w:rPr>
                      <w:szCs w:val="21"/>
                    </w:rPr>
                  </w:pPr>
                  <w:r>
                    <w:rPr>
                      <w:rFonts w:hint="eastAsia"/>
                      <w:szCs w:val="21"/>
                    </w:rPr>
                    <w:t>0.2</w:t>
                  </w:r>
                </w:p>
              </w:tc>
              <w:tc>
                <w:tcPr>
                  <w:tcW w:w="746" w:type="pct"/>
                  <w:vMerge w:val="restart"/>
                  <w:noWrap w:val="0"/>
                  <w:vAlign w:val="center"/>
                </w:tcPr>
                <w:p>
                  <w:pPr>
                    <w:jc w:val="center"/>
                    <w:rPr>
                      <w:szCs w:val="21"/>
                    </w:rPr>
                  </w:pPr>
                  <w:r>
                    <w:rPr>
                      <w:szCs w:val="21"/>
                    </w:rPr>
                    <w:t>m</w:t>
                  </w:r>
                  <w:r>
                    <w:rPr>
                      <w:rFonts w:hint="eastAsia"/>
                      <w:szCs w:val="21"/>
                    </w:rPr>
                    <w:t>g/</w:t>
                  </w:r>
                  <w:r>
                    <w:rPr>
                      <w:szCs w:val="21"/>
                    </w:rPr>
                    <w:t>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rFonts w:hint="eastAsia"/>
                      <w:szCs w:val="21"/>
                    </w:rPr>
                  </w:pPr>
                </w:p>
              </w:tc>
              <w:tc>
                <w:tcPr>
                  <w:tcW w:w="748" w:type="pct"/>
                  <w:vMerge w:val="continue"/>
                  <w:noWrap w:val="0"/>
                  <w:vAlign w:val="center"/>
                </w:tcPr>
                <w:p>
                  <w:pPr>
                    <w:jc w:val="center"/>
                    <w:rPr>
                      <w:rFonts w:hint="eastAsia"/>
                      <w:szCs w:val="21"/>
                    </w:rPr>
                  </w:pPr>
                </w:p>
              </w:tc>
              <w:tc>
                <w:tcPr>
                  <w:tcW w:w="748" w:type="pct"/>
                  <w:noWrap w:val="0"/>
                  <w:vAlign w:val="center"/>
                </w:tcPr>
                <w:p>
                  <w:pPr>
                    <w:jc w:val="center"/>
                    <w:rPr>
                      <w:szCs w:val="21"/>
                    </w:rPr>
                  </w:pPr>
                  <w:r>
                    <w:rPr>
                      <w:szCs w:val="21"/>
                    </w:rPr>
                    <w:t>24h平均</w:t>
                  </w:r>
                </w:p>
              </w:tc>
              <w:tc>
                <w:tcPr>
                  <w:tcW w:w="747" w:type="pct"/>
                  <w:noWrap w:val="0"/>
                  <w:vAlign w:val="center"/>
                </w:tcPr>
                <w:p>
                  <w:pPr>
                    <w:jc w:val="center"/>
                    <w:rPr>
                      <w:szCs w:val="21"/>
                    </w:rPr>
                  </w:pPr>
                  <w:r>
                    <w:rPr>
                      <w:rFonts w:hint="eastAsia"/>
                      <w:szCs w:val="21"/>
                    </w:rPr>
                    <w:t>1.2</w:t>
                  </w:r>
                </w:p>
              </w:tc>
              <w:tc>
                <w:tcPr>
                  <w:tcW w:w="746" w:type="pct"/>
                  <w:vMerge w:val="continue"/>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47" w:type="pct"/>
                  <w:vMerge w:val="continue"/>
                  <w:noWrap w:val="0"/>
                  <w:vAlign w:val="center"/>
                </w:tcPr>
                <w:p>
                  <w:pPr>
                    <w:jc w:val="center"/>
                    <w:rPr>
                      <w:szCs w:val="21"/>
                    </w:rPr>
                  </w:pPr>
                </w:p>
              </w:tc>
              <w:tc>
                <w:tcPr>
                  <w:tcW w:w="1264" w:type="pct"/>
                  <w:vMerge w:val="continue"/>
                  <w:noWrap w:val="0"/>
                  <w:vAlign w:val="center"/>
                </w:tcPr>
                <w:p>
                  <w:pPr>
                    <w:jc w:val="center"/>
                    <w:rPr>
                      <w:rFonts w:hint="eastAsia"/>
                      <w:szCs w:val="21"/>
                    </w:rPr>
                  </w:pPr>
                </w:p>
              </w:tc>
              <w:tc>
                <w:tcPr>
                  <w:tcW w:w="748" w:type="pct"/>
                  <w:vMerge w:val="continue"/>
                  <w:noWrap w:val="0"/>
                  <w:vAlign w:val="center"/>
                </w:tcPr>
                <w:p>
                  <w:pPr>
                    <w:jc w:val="center"/>
                    <w:rPr>
                      <w:rFonts w:hint="eastAsia"/>
                      <w:szCs w:val="21"/>
                    </w:rPr>
                  </w:pPr>
                </w:p>
              </w:tc>
              <w:tc>
                <w:tcPr>
                  <w:tcW w:w="748" w:type="pct"/>
                  <w:noWrap w:val="0"/>
                  <w:vAlign w:val="center"/>
                </w:tcPr>
                <w:p>
                  <w:pPr>
                    <w:jc w:val="center"/>
                    <w:rPr>
                      <w:szCs w:val="21"/>
                    </w:rPr>
                  </w:pPr>
                  <w:r>
                    <w:rPr>
                      <w:szCs w:val="21"/>
                    </w:rPr>
                    <w:t>1h平均</w:t>
                  </w:r>
                </w:p>
              </w:tc>
              <w:tc>
                <w:tcPr>
                  <w:tcW w:w="747" w:type="pct"/>
                  <w:noWrap w:val="0"/>
                  <w:vAlign w:val="center"/>
                </w:tcPr>
                <w:p>
                  <w:pPr>
                    <w:jc w:val="center"/>
                    <w:rPr>
                      <w:szCs w:val="21"/>
                    </w:rPr>
                  </w:pPr>
                  <w:r>
                    <w:rPr>
                      <w:rFonts w:hint="eastAsia"/>
                      <w:szCs w:val="21"/>
                    </w:rPr>
                    <w:t>2.0</w:t>
                  </w:r>
                </w:p>
              </w:tc>
              <w:tc>
                <w:tcPr>
                  <w:tcW w:w="746" w:type="pct"/>
                  <w:vMerge w:val="continue"/>
                  <w:noWrap w:val="0"/>
                  <w:vAlign w:val="center"/>
                </w:tcPr>
                <w:p>
                  <w:pPr>
                    <w:jc w:val="center"/>
                    <w:rPr>
                      <w:szCs w:val="21"/>
                    </w:rPr>
                  </w:pPr>
                </w:p>
              </w:tc>
            </w:tr>
          </w:tbl>
          <w:p>
            <w:pPr>
              <w:adjustRightInd w:val="0"/>
              <w:snapToGrid w:val="0"/>
              <w:spacing w:before="120" w:beforeLines="50" w:line="360" w:lineRule="auto"/>
              <w:ind w:firstLine="480" w:firstLineChars="200"/>
              <w:rPr>
                <w:snapToGrid w:val="0"/>
                <w:kern w:val="0"/>
                <w:sz w:val="24"/>
                <w:szCs w:val="20"/>
              </w:rPr>
            </w:pPr>
            <w:r>
              <w:rPr>
                <w:snapToGrid w:val="0"/>
                <w:kern w:val="0"/>
                <w:sz w:val="24"/>
                <w:szCs w:val="20"/>
              </w:rPr>
              <w:t>2、地表水环境质量标准</w:t>
            </w:r>
          </w:p>
          <w:p>
            <w:pPr>
              <w:spacing w:line="360" w:lineRule="auto"/>
              <w:ind w:firstLine="480" w:firstLineChars="200"/>
              <w:rPr>
                <w:bCs/>
                <w:sz w:val="24"/>
              </w:rPr>
            </w:pPr>
            <w:r>
              <w:rPr>
                <w:bCs/>
                <w:sz w:val="24"/>
              </w:rPr>
              <w:t>地表水执行《地表水环境质量标准》（GB3838-2002）中的</w:t>
            </w:r>
            <w:r>
              <w:rPr>
                <w:bCs/>
                <w:sz w:val="24"/>
              </w:rPr>
              <w:fldChar w:fldCharType="begin"/>
            </w:r>
            <w:r>
              <w:rPr>
                <w:bCs/>
                <w:sz w:val="24"/>
              </w:rPr>
              <w:instrText xml:space="preserve"> </w:instrText>
            </w:r>
            <w:r>
              <w:rPr>
                <w:rFonts w:hint="eastAsia"/>
                <w:bCs/>
                <w:sz w:val="24"/>
              </w:rPr>
              <w:instrText xml:space="preserve">= 3 \* ROMAN</w:instrText>
            </w:r>
            <w:r>
              <w:rPr>
                <w:bCs/>
                <w:sz w:val="24"/>
              </w:rPr>
              <w:instrText xml:space="preserve"> </w:instrText>
            </w:r>
            <w:r>
              <w:rPr>
                <w:bCs/>
                <w:sz w:val="24"/>
              </w:rPr>
              <w:fldChar w:fldCharType="separate"/>
            </w:r>
            <w:r>
              <w:rPr>
                <w:bCs/>
                <w:sz w:val="24"/>
              </w:rPr>
              <w:t>III</w:t>
            </w:r>
            <w:r>
              <w:rPr>
                <w:bCs/>
                <w:sz w:val="24"/>
              </w:rPr>
              <w:fldChar w:fldCharType="end"/>
            </w:r>
            <w:r>
              <w:rPr>
                <w:bCs/>
                <w:sz w:val="24"/>
              </w:rPr>
              <w:t>类水域标准，具体标准值见表3-</w:t>
            </w:r>
            <w:r>
              <w:rPr>
                <w:rFonts w:hint="eastAsia"/>
                <w:bCs/>
                <w:sz w:val="24"/>
              </w:rPr>
              <w:t>17</w:t>
            </w:r>
            <w:r>
              <w:rPr>
                <w:bCs/>
                <w:sz w:val="24"/>
              </w:rPr>
              <w:t>。</w:t>
            </w:r>
          </w:p>
          <w:p>
            <w:pPr>
              <w:spacing w:line="360" w:lineRule="auto"/>
              <w:jc w:val="center"/>
              <w:rPr>
                <w:bCs/>
                <w:sz w:val="24"/>
              </w:rPr>
            </w:pPr>
            <w:r>
              <w:rPr>
                <w:b/>
                <w:bCs/>
                <w:szCs w:val="21"/>
              </w:rPr>
              <w:t>表3-</w:t>
            </w:r>
            <w:r>
              <w:rPr>
                <w:rFonts w:hint="eastAsia"/>
                <w:b/>
                <w:bCs/>
                <w:szCs w:val="21"/>
              </w:rPr>
              <w:t>17</w:t>
            </w:r>
            <w:r>
              <w:rPr>
                <w:b/>
                <w:bCs/>
                <w:szCs w:val="21"/>
              </w:rPr>
              <w:t>地表水环境质量标准（单位：mg/L(pH无量纲)）</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2349"/>
              <w:gridCol w:w="2261"/>
              <w:gridCol w:w="376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b/>
                      <w:bCs/>
                      <w:color w:val="auto"/>
                      <w:sz w:val="21"/>
                      <w:szCs w:val="21"/>
                    </w:rPr>
                  </w:pPr>
                  <w:r>
                    <w:rPr>
                      <w:b/>
                      <w:bCs/>
                      <w:color w:val="auto"/>
                      <w:sz w:val="21"/>
                      <w:szCs w:val="21"/>
                    </w:rPr>
                    <w:t>指标</w:t>
                  </w:r>
                </w:p>
              </w:tc>
              <w:tc>
                <w:tcPr>
                  <w:tcW w:w="2267" w:type="dxa"/>
                  <w:noWrap w:val="0"/>
                  <w:vAlign w:val="center"/>
                </w:tcPr>
                <w:p>
                  <w:pPr>
                    <w:pStyle w:val="874"/>
                    <w:spacing w:line="240" w:lineRule="auto"/>
                    <w:ind w:firstLine="0" w:firstLineChars="0"/>
                    <w:jc w:val="center"/>
                    <w:rPr>
                      <w:b/>
                      <w:bCs/>
                      <w:color w:val="auto"/>
                      <w:sz w:val="21"/>
                      <w:szCs w:val="21"/>
                    </w:rPr>
                  </w:pPr>
                  <w:r>
                    <w:rPr>
                      <w:b/>
                      <w:bCs/>
                      <w:color w:val="auto"/>
                      <w:sz w:val="21"/>
                      <w:szCs w:val="21"/>
                    </w:rPr>
                    <w:t>标准值</w:t>
                  </w:r>
                </w:p>
              </w:tc>
              <w:tc>
                <w:tcPr>
                  <w:tcW w:w="3776" w:type="dxa"/>
                  <w:noWrap w:val="0"/>
                  <w:vAlign w:val="center"/>
                </w:tcPr>
                <w:p>
                  <w:pPr>
                    <w:pStyle w:val="874"/>
                    <w:spacing w:line="240" w:lineRule="auto"/>
                    <w:ind w:firstLine="0" w:firstLineChars="0"/>
                    <w:jc w:val="center"/>
                    <w:rPr>
                      <w:b/>
                      <w:bCs/>
                      <w:color w:val="auto"/>
                      <w:sz w:val="21"/>
                      <w:szCs w:val="21"/>
                    </w:rPr>
                  </w:pPr>
                  <w:r>
                    <w:rPr>
                      <w:b/>
                      <w:bCs/>
                      <w:color w:val="auto"/>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color w:val="auto"/>
                      <w:sz w:val="21"/>
                      <w:szCs w:val="21"/>
                    </w:rPr>
                  </w:pPr>
                  <w:r>
                    <w:rPr>
                      <w:color w:val="auto"/>
                      <w:sz w:val="21"/>
                      <w:szCs w:val="21"/>
                    </w:rPr>
                    <w:t>p</w:t>
                  </w:r>
                  <w:r>
                    <w:rPr>
                      <w:rStyle w:val="83"/>
                      <w:color w:val="auto"/>
                    </w:rPr>
                    <w:t>H</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6~9</w:t>
                  </w:r>
                </w:p>
              </w:tc>
              <w:tc>
                <w:tcPr>
                  <w:tcW w:w="3776" w:type="dxa"/>
                  <w:vMerge w:val="restart"/>
                  <w:noWrap w:val="0"/>
                  <w:vAlign w:val="center"/>
                </w:tcPr>
                <w:p>
                  <w:pPr>
                    <w:pStyle w:val="874"/>
                    <w:spacing w:line="240" w:lineRule="auto"/>
                    <w:ind w:firstLine="0" w:firstLineChars="0"/>
                    <w:jc w:val="center"/>
                    <w:rPr>
                      <w:color w:val="auto"/>
                      <w:sz w:val="21"/>
                      <w:szCs w:val="21"/>
                    </w:rPr>
                  </w:pPr>
                  <w:r>
                    <w:rPr>
                      <w:color w:val="auto"/>
                      <w:sz w:val="21"/>
                      <w:szCs w:val="21"/>
                    </w:rPr>
                    <w:t>《地表水环境质量标准》</w:t>
                  </w:r>
                </w:p>
                <w:p>
                  <w:pPr>
                    <w:pStyle w:val="874"/>
                    <w:spacing w:line="240" w:lineRule="auto"/>
                    <w:ind w:firstLine="0" w:firstLineChars="0"/>
                    <w:jc w:val="center"/>
                    <w:rPr>
                      <w:color w:val="auto"/>
                      <w:sz w:val="21"/>
                      <w:szCs w:val="21"/>
                    </w:rPr>
                  </w:pPr>
                  <w:r>
                    <w:rPr>
                      <w:color w:val="auto"/>
                      <w:sz w:val="21"/>
                      <w:szCs w:val="21"/>
                    </w:rPr>
                    <w:t>（GB3838-2002）</w:t>
                  </w:r>
                  <w:r>
                    <w:rPr>
                      <w:bCs/>
                      <w:color w:val="auto"/>
                      <w:sz w:val="21"/>
                      <w:szCs w:val="21"/>
                    </w:rPr>
                    <w:fldChar w:fldCharType="begin"/>
                  </w:r>
                  <w:r>
                    <w:rPr>
                      <w:bCs/>
                      <w:color w:val="auto"/>
                      <w:sz w:val="21"/>
                      <w:szCs w:val="21"/>
                    </w:rPr>
                    <w:instrText xml:space="preserve"> </w:instrText>
                  </w:r>
                  <w:r>
                    <w:rPr>
                      <w:rFonts w:hint="eastAsia"/>
                      <w:bCs/>
                      <w:color w:val="auto"/>
                      <w:sz w:val="21"/>
                      <w:szCs w:val="21"/>
                    </w:rPr>
                    <w:instrText xml:space="preserve">= 3 \* ROMAN</w:instrText>
                  </w:r>
                  <w:r>
                    <w:rPr>
                      <w:bCs/>
                      <w:color w:val="auto"/>
                      <w:sz w:val="21"/>
                      <w:szCs w:val="21"/>
                    </w:rPr>
                    <w:instrText xml:space="preserve"> </w:instrText>
                  </w:r>
                  <w:r>
                    <w:rPr>
                      <w:bCs/>
                      <w:color w:val="auto"/>
                      <w:sz w:val="21"/>
                      <w:szCs w:val="21"/>
                    </w:rPr>
                    <w:fldChar w:fldCharType="separate"/>
                  </w:r>
                  <w:r>
                    <w:rPr>
                      <w:bCs/>
                      <w:color w:val="auto"/>
                      <w:sz w:val="21"/>
                      <w:szCs w:val="21"/>
                    </w:rPr>
                    <w:t>III</w:t>
                  </w:r>
                  <w:r>
                    <w:rPr>
                      <w:bCs/>
                      <w:color w:val="auto"/>
                      <w:sz w:val="21"/>
                      <w:szCs w:val="21"/>
                    </w:rPr>
                    <w:fldChar w:fldCharType="end"/>
                  </w:r>
                  <w:r>
                    <w:rPr>
                      <w:color w:val="auto"/>
                      <w:sz w:val="21"/>
                      <w:szCs w:val="21"/>
                    </w:rPr>
                    <w:t>类水域标准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jc w:val="center"/>
                    <w:rPr>
                      <w:szCs w:val="21"/>
                    </w:rPr>
                  </w:pPr>
                  <w:r>
                    <w:rPr>
                      <w:szCs w:val="21"/>
                    </w:rPr>
                    <w:t>COD</w:t>
                  </w:r>
                  <w:r>
                    <w:rPr>
                      <w:szCs w:val="21"/>
                      <w:vertAlign w:val="subscript"/>
                    </w:rPr>
                    <w:t>Cr</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w:t>
                  </w:r>
                  <w:r>
                    <w:rPr>
                      <w:rFonts w:hint="eastAsia"/>
                      <w:color w:val="auto"/>
                      <w:sz w:val="21"/>
                      <w:szCs w:val="21"/>
                    </w:rPr>
                    <w:t>20</w:t>
                  </w:r>
                </w:p>
              </w:tc>
              <w:tc>
                <w:tcPr>
                  <w:tcW w:w="3776" w:type="dxa"/>
                  <w:vMerge w:val="continue"/>
                  <w:noWrap w:val="0"/>
                  <w:vAlign w:val="center"/>
                </w:tcPr>
                <w:p>
                  <w:pPr>
                    <w:pStyle w:val="874"/>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jc w:val="center"/>
                    <w:rPr>
                      <w:szCs w:val="21"/>
                    </w:rPr>
                  </w:pPr>
                  <w:r>
                    <w:rPr>
                      <w:szCs w:val="21"/>
                    </w:rPr>
                    <w:t>BOD</w:t>
                  </w:r>
                  <w:r>
                    <w:rPr>
                      <w:szCs w:val="21"/>
                      <w:vertAlign w:val="subscript"/>
                    </w:rPr>
                    <w:t>5</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w:t>
                  </w:r>
                  <w:r>
                    <w:rPr>
                      <w:rFonts w:hint="eastAsia"/>
                      <w:color w:val="auto"/>
                      <w:sz w:val="21"/>
                      <w:szCs w:val="21"/>
                    </w:rPr>
                    <w:t>4</w:t>
                  </w:r>
                </w:p>
              </w:tc>
              <w:tc>
                <w:tcPr>
                  <w:tcW w:w="3776" w:type="dxa"/>
                  <w:vMerge w:val="continue"/>
                  <w:noWrap w:val="0"/>
                  <w:vAlign w:val="center"/>
                </w:tcPr>
                <w:p>
                  <w:pPr>
                    <w:pStyle w:val="874"/>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r>
                    <w:rPr>
                      <w:color w:val="auto"/>
                      <w:sz w:val="21"/>
                      <w:szCs w:val="21"/>
                    </w:rPr>
                    <w:t>-</w:t>
                  </w:r>
                  <w:r>
                    <w:rPr>
                      <w:rStyle w:val="83"/>
                      <w:color w:val="auto"/>
                    </w:rPr>
                    <w:t>N</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w:t>
                  </w:r>
                  <w:r>
                    <w:rPr>
                      <w:rFonts w:hint="eastAsia"/>
                      <w:color w:val="auto"/>
                      <w:sz w:val="21"/>
                      <w:szCs w:val="21"/>
                    </w:rPr>
                    <w:t>1.0</w:t>
                  </w:r>
                </w:p>
              </w:tc>
              <w:tc>
                <w:tcPr>
                  <w:tcW w:w="3776" w:type="dxa"/>
                  <w:vMerge w:val="continue"/>
                  <w:noWrap w:val="0"/>
                  <w:vAlign w:val="center"/>
                </w:tcPr>
                <w:p>
                  <w:pPr>
                    <w:pStyle w:val="874"/>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color w:val="auto"/>
                      <w:sz w:val="21"/>
                      <w:szCs w:val="21"/>
                    </w:rPr>
                  </w:pPr>
                  <w:r>
                    <w:rPr>
                      <w:color w:val="auto"/>
                      <w:sz w:val="21"/>
                      <w:szCs w:val="21"/>
                    </w:rPr>
                    <w:t>总磷</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w:t>
                  </w:r>
                  <w:r>
                    <w:rPr>
                      <w:rFonts w:hint="eastAsia"/>
                      <w:color w:val="auto"/>
                      <w:sz w:val="21"/>
                      <w:szCs w:val="21"/>
                    </w:rPr>
                    <w:t>0.2</w:t>
                  </w:r>
                </w:p>
              </w:tc>
              <w:tc>
                <w:tcPr>
                  <w:tcW w:w="3776" w:type="dxa"/>
                  <w:vMerge w:val="continue"/>
                  <w:noWrap w:val="0"/>
                  <w:vAlign w:val="center"/>
                </w:tcPr>
                <w:p>
                  <w:pPr>
                    <w:pStyle w:val="874"/>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color w:val="auto"/>
                      <w:sz w:val="21"/>
                      <w:szCs w:val="21"/>
                    </w:rPr>
                  </w:pPr>
                  <w:r>
                    <w:rPr>
                      <w:color w:val="auto"/>
                      <w:sz w:val="21"/>
                      <w:szCs w:val="21"/>
                    </w:rPr>
                    <w:t>石油类</w:t>
                  </w:r>
                </w:p>
              </w:tc>
              <w:tc>
                <w:tcPr>
                  <w:tcW w:w="2267" w:type="dxa"/>
                  <w:noWrap w:val="0"/>
                  <w:vAlign w:val="center"/>
                </w:tcPr>
                <w:p>
                  <w:pPr>
                    <w:pStyle w:val="874"/>
                    <w:spacing w:line="240" w:lineRule="auto"/>
                    <w:ind w:firstLine="0" w:firstLineChars="0"/>
                    <w:jc w:val="center"/>
                    <w:rPr>
                      <w:color w:val="auto"/>
                      <w:sz w:val="21"/>
                      <w:szCs w:val="21"/>
                    </w:rPr>
                  </w:pPr>
                  <w:r>
                    <w:rPr>
                      <w:color w:val="auto"/>
                      <w:sz w:val="21"/>
                      <w:szCs w:val="21"/>
                    </w:rPr>
                    <w:t>≤0.05</w:t>
                  </w:r>
                </w:p>
              </w:tc>
              <w:tc>
                <w:tcPr>
                  <w:tcW w:w="3776" w:type="dxa"/>
                  <w:vMerge w:val="continue"/>
                  <w:noWrap w:val="0"/>
                  <w:vAlign w:val="center"/>
                </w:tcPr>
                <w:p>
                  <w:pPr>
                    <w:pStyle w:val="874"/>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97" w:hRule="atLeast"/>
                <w:jc w:val="center"/>
              </w:trPr>
              <w:tc>
                <w:tcPr>
                  <w:tcW w:w="2356" w:type="dxa"/>
                  <w:noWrap w:val="0"/>
                  <w:vAlign w:val="center"/>
                </w:tcPr>
                <w:p>
                  <w:pPr>
                    <w:pStyle w:val="874"/>
                    <w:spacing w:line="240" w:lineRule="auto"/>
                    <w:ind w:firstLine="0" w:firstLineChars="0"/>
                    <w:jc w:val="center"/>
                    <w:rPr>
                      <w:color w:val="auto"/>
                      <w:sz w:val="21"/>
                      <w:szCs w:val="21"/>
                    </w:rPr>
                  </w:pPr>
                  <w:r>
                    <w:rPr>
                      <w:color w:val="auto"/>
                      <w:sz w:val="21"/>
                      <w:szCs w:val="21"/>
                    </w:rPr>
                    <w:t>粪大肠菌群（个/L）</w:t>
                  </w:r>
                </w:p>
              </w:tc>
              <w:tc>
                <w:tcPr>
                  <w:tcW w:w="2267" w:type="dxa"/>
                  <w:noWrap w:val="0"/>
                  <w:vAlign w:val="center"/>
                </w:tcPr>
                <w:p>
                  <w:pPr>
                    <w:pStyle w:val="874"/>
                    <w:spacing w:line="240" w:lineRule="auto"/>
                    <w:ind w:firstLine="0" w:firstLineChars="0"/>
                    <w:jc w:val="center"/>
                    <w:rPr>
                      <w:color w:val="auto"/>
                      <w:sz w:val="21"/>
                      <w:szCs w:val="21"/>
                    </w:rPr>
                  </w:pPr>
                  <w:r>
                    <w:rPr>
                      <w:rFonts w:hint="eastAsia"/>
                      <w:color w:val="auto"/>
                      <w:sz w:val="21"/>
                      <w:szCs w:val="21"/>
                    </w:rPr>
                    <w:t>10</w:t>
                  </w:r>
                  <w:r>
                    <w:rPr>
                      <w:color w:val="auto"/>
                      <w:sz w:val="21"/>
                      <w:szCs w:val="21"/>
                    </w:rPr>
                    <w:t>000</w:t>
                  </w:r>
                </w:p>
              </w:tc>
              <w:tc>
                <w:tcPr>
                  <w:tcW w:w="3776" w:type="dxa"/>
                  <w:vMerge w:val="continue"/>
                  <w:noWrap w:val="0"/>
                  <w:vAlign w:val="center"/>
                </w:tcPr>
                <w:p>
                  <w:pPr>
                    <w:pStyle w:val="874"/>
                    <w:spacing w:line="240" w:lineRule="auto"/>
                    <w:ind w:firstLine="0" w:firstLineChars="0"/>
                    <w:jc w:val="center"/>
                    <w:rPr>
                      <w:color w:val="auto"/>
                      <w:sz w:val="21"/>
                      <w:szCs w:val="21"/>
                    </w:rPr>
                  </w:pPr>
                </w:p>
              </w:tc>
            </w:tr>
          </w:tbl>
          <w:p>
            <w:pPr>
              <w:adjustRightInd w:val="0"/>
              <w:snapToGrid w:val="0"/>
              <w:spacing w:before="120" w:beforeLines="50" w:line="360" w:lineRule="auto"/>
              <w:ind w:firstLine="480" w:firstLineChars="200"/>
              <w:rPr>
                <w:snapToGrid w:val="0"/>
                <w:kern w:val="0"/>
                <w:sz w:val="24"/>
                <w:szCs w:val="20"/>
              </w:rPr>
            </w:pPr>
            <w:r>
              <w:rPr>
                <w:snapToGrid w:val="0"/>
                <w:kern w:val="0"/>
                <w:sz w:val="24"/>
                <w:szCs w:val="20"/>
              </w:rPr>
              <w:t>3、声环境质量标准</w:t>
            </w:r>
          </w:p>
          <w:p>
            <w:pPr>
              <w:pStyle w:val="8"/>
            </w:pPr>
            <w:r>
              <w:t>声环境执行《声环境质量标准》（GB3096-2008）中 2类标准。</w:t>
            </w:r>
          </w:p>
          <w:p>
            <w:pPr>
              <w:adjustRightInd w:val="0"/>
              <w:snapToGrid w:val="0"/>
              <w:jc w:val="center"/>
              <w:rPr>
                <w:b/>
                <w:bCs/>
                <w:szCs w:val="21"/>
              </w:rPr>
            </w:pPr>
            <w:r>
              <w:rPr>
                <w:b/>
                <w:bCs/>
                <w:szCs w:val="21"/>
              </w:rPr>
              <w:t>表3-</w:t>
            </w:r>
            <w:r>
              <w:rPr>
                <w:rFonts w:hint="eastAsia"/>
                <w:b/>
                <w:bCs/>
                <w:szCs w:val="21"/>
              </w:rPr>
              <w:t>18</w:t>
            </w:r>
            <w:r>
              <w:rPr>
                <w:b/>
                <w:bCs/>
                <w:szCs w:val="21"/>
              </w:rPr>
              <w:t xml:space="preserve"> 声环境质量标准限值</w:t>
            </w:r>
          </w:p>
          <w:tbl>
            <w:tblPr>
              <w:tblStyle w:val="70"/>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2558"/>
              <w:gridCol w:w="2844"/>
              <w:gridCol w:w="29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526" w:type="pct"/>
                  <w:noWrap w:val="0"/>
                  <w:vAlign w:val="center"/>
                </w:tcPr>
                <w:p>
                  <w:pPr>
                    <w:adjustRightInd w:val="0"/>
                    <w:snapToGrid w:val="0"/>
                    <w:spacing w:line="340" w:lineRule="exact"/>
                    <w:jc w:val="center"/>
                    <w:rPr>
                      <w:b/>
                      <w:bCs/>
                      <w:szCs w:val="21"/>
                    </w:rPr>
                  </w:pPr>
                  <w:r>
                    <w:rPr>
                      <w:b/>
                      <w:bCs/>
                      <w:szCs w:val="21"/>
                    </w:rPr>
                    <w:t>类别</w:t>
                  </w:r>
                </w:p>
              </w:tc>
              <w:tc>
                <w:tcPr>
                  <w:tcW w:w="1696" w:type="pct"/>
                  <w:noWrap w:val="0"/>
                  <w:vAlign w:val="center"/>
                </w:tcPr>
                <w:p>
                  <w:pPr>
                    <w:pStyle w:val="758"/>
                    <w:adjustRightInd w:val="0"/>
                    <w:spacing w:line="340" w:lineRule="exact"/>
                    <w:ind w:firstLine="480"/>
                    <w:rPr>
                      <w:rFonts w:eastAsia="宋体"/>
                      <w:b/>
                      <w:bCs/>
                      <w:szCs w:val="21"/>
                    </w:rPr>
                  </w:pPr>
                  <w:r>
                    <w:rPr>
                      <w:rFonts w:eastAsia="宋体"/>
                      <w:b/>
                      <w:bCs/>
                      <w:szCs w:val="21"/>
                    </w:rPr>
                    <w:t>昼间</w:t>
                  </w:r>
                </w:p>
              </w:tc>
              <w:tc>
                <w:tcPr>
                  <w:tcW w:w="1778" w:type="pct"/>
                  <w:noWrap w:val="0"/>
                  <w:vAlign w:val="center"/>
                </w:tcPr>
                <w:p>
                  <w:pPr>
                    <w:adjustRightInd w:val="0"/>
                    <w:snapToGrid w:val="0"/>
                    <w:spacing w:line="340" w:lineRule="exact"/>
                    <w:jc w:val="center"/>
                    <w:rPr>
                      <w:b/>
                      <w:bCs/>
                      <w:szCs w:val="21"/>
                    </w:rPr>
                  </w:pPr>
                  <w:r>
                    <w:rPr>
                      <w:b/>
                      <w:bCs/>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1526" w:type="pct"/>
                  <w:noWrap w:val="0"/>
                  <w:vAlign w:val="center"/>
                </w:tcPr>
                <w:p>
                  <w:pPr>
                    <w:adjustRightInd w:val="0"/>
                    <w:snapToGrid w:val="0"/>
                    <w:spacing w:line="340" w:lineRule="exact"/>
                    <w:jc w:val="center"/>
                    <w:rPr>
                      <w:szCs w:val="21"/>
                    </w:rPr>
                  </w:pPr>
                  <w:r>
                    <w:rPr>
                      <w:szCs w:val="21"/>
                    </w:rPr>
                    <w:t>2类</w:t>
                  </w:r>
                </w:p>
              </w:tc>
              <w:tc>
                <w:tcPr>
                  <w:tcW w:w="1696" w:type="pct"/>
                  <w:noWrap w:val="0"/>
                  <w:vAlign w:val="center"/>
                </w:tcPr>
                <w:p>
                  <w:pPr>
                    <w:adjustRightInd w:val="0"/>
                    <w:snapToGrid w:val="0"/>
                    <w:spacing w:line="340" w:lineRule="exact"/>
                    <w:jc w:val="center"/>
                    <w:rPr>
                      <w:szCs w:val="21"/>
                    </w:rPr>
                  </w:pPr>
                  <w:r>
                    <w:rPr>
                      <w:szCs w:val="21"/>
                    </w:rPr>
                    <w:t>60dB(A)</w:t>
                  </w:r>
                </w:p>
              </w:tc>
              <w:tc>
                <w:tcPr>
                  <w:tcW w:w="1778" w:type="pct"/>
                  <w:noWrap w:val="0"/>
                  <w:vAlign w:val="center"/>
                </w:tcPr>
                <w:p>
                  <w:pPr>
                    <w:pStyle w:val="758"/>
                    <w:adjustRightInd w:val="0"/>
                    <w:spacing w:line="340" w:lineRule="exact"/>
                    <w:ind w:firstLine="480"/>
                    <w:rPr>
                      <w:rFonts w:eastAsia="宋体"/>
                      <w:szCs w:val="21"/>
                    </w:rPr>
                  </w:pPr>
                  <w:r>
                    <w:rPr>
                      <w:rFonts w:eastAsia="宋体"/>
                      <w:szCs w:val="21"/>
                    </w:rPr>
                    <w:t>50dB(A)</w:t>
                  </w:r>
                </w:p>
              </w:tc>
            </w:tr>
          </w:tbl>
          <w:p>
            <w:pPr>
              <w:pStyle w:val="787"/>
              <w:adjustRightInd w:val="0"/>
              <w:snapToGrid w:val="0"/>
              <w:spacing w:before="120" w:beforeLines="50" w:line="360" w:lineRule="auto"/>
              <w:ind w:firstLine="482"/>
              <w:rPr>
                <w:b/>
                <w:snapToGrid w:val="0"/>
                <w:kern w:val="0"/>
                <w:sz w:val="24"/>
                <w:szCs w:val="20"/>
              </w:rPr>
            </w:pPr>
            <w:r>
              <w:rPr>
                <w:b/>
                <w:snapToGrid w:val="0"/>
                <w:kern w:val="0"/>
                <w:sz w:val="24"/>
                <w:szCs w:val="20"/>
              </w:rPr>
              <w:t>二、污染物排放标准</w:t>
            </w:r>
          </w:p>
          <w:p>
            <w:pPr>
              <w:pStyle w:val="787"/>
              <w:adjustRightInd w:val="0"/>
              <w:snapToGrid w:val="0"/>
              <w:spacing w:before="120" w:beforeLines="50" w:line="360" w:lineRule="auto"/>
              <w:ind w:firstLine="482"/>
              <w:rPr>
                <w:b/>
                <w:snapToGrid w:val="0"/>
                <w:kern w:val="0"/>
                <w:sz w:val="24"/>
                <w:szCs w:val="20"/>
              </w:rPr>
            </w:pPr>
            <w:r>
              <w:rPr>
                <w:b/>
                <w:snapToGrid w:val="0"/>
                <w:kern w:val="0"/>
                <w:sz w:val="24"/>
                <w:szCs w:val="20"/>
              </w:rPr>
              <w:t>1、废气污染物排放标准</w:t>
            </w:r>
          </w:p>
          <w:p>
            <w:pPr>
              <w:spacing w:line="360" w:lineRule="auto"/>
              <w:ind w:firstLine="480" w:firstLineChars="200"/>
              <w:rPr>
                <w:sz w:val="24"/>
              </w:rPr>
            </w:pPr>
            <w:r>
              <w:rPr>
                <w:sz w:val="24"/>
              </w:rPr>
              <w:t>项目施工期废气执行《四川省施工场地扬尘排放标准》（DB51/2682-2020）标准限值，项目营运期</w:t>
            </w:r>
            <w:r>
              <w:rPr>
                <w:rFonts w:hint="eastAsia"/>
                <w:sz w:val="24"/>
              </w:rPr>
              <w:t>废气为油气（非甲烷总烃），项目边界油气浓度无组织排放执行《四川省加油站大气污染物排放标准》（DB51/2865-2021）无组织排放限值要求。加油装置运行过程中油气排放浓度执行《四川省加油站大气污染物排放标准》（DB51/2865-2021）中排放限值的要求。</w:t>
            </w:r>
            <w:r>
              <w:rPr>
                <w:sz w:val="24"/>
              </w:rPr>
              <w:t>具体标准限值见下表。</w:t>
            </w:r>
          </w:p>
          <w:p>
            <w:pPr>
              <w:widowControl/>
              <w:jc w:val="center"/>
              <w:rPr>
                <w:b/>
                <w:bCs/>
                <w:szCs w:val="21"/>
              </w:rPr>
            </w:pPr>
          </w:p>
          <w:p>
            <w:pPr>
              <w:widowControl/>
              <w:jc w:val="center"/>
              <w:rPr>
                <w:b/>
                <w:bCs/>
                <w:szCs w:val="21"/>
              </w:rPr>
            </w:pPr>
          </w:p>
          <w:p>
            <w:pPr>
              <w:widowControl/>
              <w:jc w:val="center"/>
              <w:rPr>
                <w:b/>
                <w:bCs/>
                <w:szCs w:val="21"/>
              </w:rPr>
            </w:pPr>
          </w:p>
          <w:p>
            <w:pPr>
              <w:widowControl/>
              <w:jc w:val="center"/>
              <w:rPr>
                <w:b/>
                <w:bCs/>
                <w:szCs w:val="21"/>
              </w:rPr>
            </w:pPr>
          </w:p>
          <w:p>
            <w:pPr>
              <w:widowControl/>
              <w:jc w:val="center"/>
              <w:rPr>
                <w:b/>
                <w:bCs/>
                <w:szCs w:val="21"/>
              </w:rPr>
            </w:pPr>
            <w:r>
              <w:rPr>
                <w:b/>
                <w:bCs/>
                <w:szCs w:val="21"/>
              </w:rPr>
              <w:t>表3-</w:t>
            </w:r>
            <w:r>
              <w:rPr>
                <w:rFonts w:hint="eastAsia"/>
                <w:b/>
                <w:bCs/>
                <w:szCs w:val="21"/>
              </w:rPr>
              <w:t>19</w:t>
            </w:r>
            <w:r>
              <w:rPr>
                <w:b/>
                <w:bCs/>
                <w:szCs w:val="21"/>
              </w:rPr>
              <w:t>四川省施工场地扬尘排放标准</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428"/>
              <w:gridCol w:w="2515"/>
              <w:gridCol w:w="1558"/>
              <w:gridCol w:w="1418"/>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852" w:type="pct"/>
                  <w:noWrap w:val="0"/>
                  <w:vAlign w:val="center"/>
                </w:tcPr>
                <w:p>
                  <w:pPr>
                    <w:spacing w:line="276" w:lineRule="auto"/>
                    <w:jc w:val="center"/>
                    <w:rPr>
                      <w:b/>
                      <w:szCs w:val="21"/>
                    </w:rPr>
                  </w:pPr>
                  <w:r>
                    <w:rPr>
                      <w:b/>
                      <w:szCs w:val="21"/>
                    </w:rPr>
                    <w:t>污染物</w:t>
                  </w:r>
                </w:p>
              </w:tc>
              <w:tc>
                <w:tcPr>
                  <w:tcW w:w="1501" w:type="pct"/>
                  <w:noWrap w:val="0"/>
                  <w:vAlign w:val="center"/>
                </w:tcPr>
                <w:p>
                  <w:pPr>
                    <w:spacing w:line="276" w:lineRule="auto"/>
                    <w:jc w:val="center"/>
                    <w:rPr>
                      <w:b/>
                      <w:szCs w:val="21"/>
                    </w:rPr>
                  </w:pPr>
                  <w:r>
                    <w:rPr>
                      <w:rFonts w:hint="eastAsia"/>
                      <w:b/>
                      <w:bCs/>
                      <w:szCs w:val="21"/>
                    </w:rPr>
                    <w:t>区域</w:t>
                  </w:r>
                </w:p>
              </w:tc>
              <w:tc>
                <w:tcPr>
                  <w:tcW w:w="930" w:type="pct"/>
                  <w:noWrap w:val="0"/>
                  <w:vAlign w:val="center"/>
                </w:tcPr>
                <w:p>
                  <w:pPr>
                    <w:spacing w:line="276" w:lineRule="auto"/>
                    <w:jc w:val="center"/>
                    <w:rPr>
                      <w:b/>
                      <w:szCs w:val="21"/>
                    </w:rPr>
                  </w:pPr>
                  <w:r>
                    <w:rPr>
                      <w:b/>
                      <w:szCs w:val="21"/>
                    </w:rPr>
                    <w:t>施工阶段</w:t>
                  </w:r>
                </w:p>
              </w:tc>
              <w:tc>
                <w:tcPr>
                  <w:tcW w:w="846" w:type="pct"/>
                  <w:noWrap w:val="0"/>
                  <w:vAlign w:val="center"/>
                </w:tcPr>
                <w:p>
                  <w:pPr>
                    <w:spacing w:line="276" w:lineRule="auto"/>
                    <w:jc w:val="center"/>
                    <w:rPr>
                      <w:b/>
                      <w:szCs w:val="21"/>
                    </w:rPr>
                  </w:pPr>
                  <w:r>
                    <w:rPr>
                      <w:b/>
                      <w:szCs w:val="21"/>
                    </w:rPr>
                    <w:t>监测点排放限值</w:t>
                  </w:r>
                  <w:r>
                    <w:rPr>
                      <w:rFonts w:hint="eastAsia"/>
                      <w:b/>
                      <w:szCs w:val="21"/>
                    </w:rPr>
                    <w:t>（</w:t>
                  </w:r>
                  <w:r>
                    <w:rPr>
                      <w:b/>
                      <w:szCs w:val="21"/>
                    </w:rPr>
                    <w:t>μg/m</w:t>
                  </w:r>
                  <w:r>
                    <w:rPr>
                      <w:b/>
                      <w:szCs w:val="21"/>
                      <w:vertAlign w:val="superscript"/>
                    </w:rPr>
                    <w:t>3</w:t>
                  </w:r>
                  <w:r>
                    <w:rPr>
                      <w:rFonts w:hint="eastAsia"/>
                      <w:b/>
                      <w:szCs w:val="21"/>
                    </w:rPr>
                    <w:t>）</w:t>
                  </w:r>
                </w:p>
              </w:tc>
              <w:tc>
                <w:tcPr>
                  <w:tcW w:w="871" w:type="pct"/>
                  <w:noWrap w:val="0"/>
                  <w:vAlign w:val="center"/>
                </w:tcPr>
                <w:p>
                  <w:pPr>
                    <w:spacing w:line="276" w:lineRule="auto"/>
                    <w:jc w:val="center"/>
                    <w:rPr>
                      <w:b/>
                      <w:szCs w:val="21"/>
                    </w:rPr>
                  </w:pPr>
                  <w:r>
                    <w:rPr>
                      <w:rFonts w:hint="eastAsia"/>
                      <w:b/>
                      <w:bCs/>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852" w:type="pct"/>
                  <w:vMerge w:val="restart"/>
                  <w:noWrap w:val="0"/>
                  <w:vAlign w:val="center"/>
                </w:tcPr>
                <w:p>
                  <w:pPr>
                    <w:spacing w:line="276" w:lineRule="auto"/>
                    <w:jc w:val="center"/>
                    <w:rPr>
                      <w:szCs w:val="21"/>
                    </w:rPr>
                  </w:pPr>
                  <w:r>
                    <w:rPr>
                      <w:szCs w:val="21"/>
                    </w:rPr>
                    <w:t>总悬浮颗粒物（TSP）</w:t>
                  </w:r>
                </w:p>
              </w:tc>
              <w:tc>
                <w:tcPr>
                  <w:tcW w:w="1501" w:type="pct"/>
                  <w:vMerge w:val="restart"/>
                  <w:noWrap w:val="0"/>
                  <w:vAlign w:val="center"/>
                </w:tcPr>
                <w:p>
                  <w:pPr>
                    <w:spacing w:line="276" w:lineRule="auto"/>
                    <w:jc w:val="center"/>
                    <w:rPr>
                      <w:szCs w:val="21"/>
                    </w:rPr>
                  </w:pPr>
                  <w:r>
                    <w:rPr>
                      <w:rFonts w:hint="eastAsia"/>
                      <w:szCs w:val="21"/>
                    </w:rPr>
                    <w:t>成都市、自贡市、泸州市、德阳市、绵阳市、广元市、遂宁市、内江市、乐山市、南充市、宜宾市、广安市、</w:t>
                  </w:r>
                  <w:r>
                    <w:rPr>
                      <w:rFonts w:hint="eastAsia"/>
                      <w:b/>
                      <w:bCs/>
                      <w:szCs w:val="21"/>
                    </w:rPr>
                    <w:t>达州市</w:t>
                  </w:r>
                  <w:r>
                    <w:rPr>
                      <w:rFonts w:hint="eastAsia"/>
                      <w:szCs w:val="21"/>
                    </w:rPr>
                    <w:t>、巴中市、雅安市、眉山市、资阳市</w:t>
                  </w:r>
                </w:p>
              </w:tc>
              <w:tc>
                <w:tcPr>
                  <w:tcW w:w="930" w:type="pct"/>
                  <w:noWrap w:val="0"/>
                  <w:vAlign w:val="center"/>
                </w:tcPr>
                <w:p>
                  <w:pPr>
                    <w:spacing w:line="276" w:lineRule="auto"/>
                    <w:jc w:val="center"/>
                    <w:rPr>
                      <w:szCs w:val="21"/>
                    </w:rPr>
                  </w:pPr>
                  <w:r>
                    <w:rPr>
                      <w:szCs w:val="21"/>
                    </w:rPr>
                    <w:t>拆除工程/土方开挖/土方回填阶段</w:t>
                  </w:r>
                </w:p>
              </w:tc>
              <w:tc>
                <w:tcPr>
                  <w:tcW w:w="846" w:type="pct"/>
                  <w:noWrap w:val="0"/>
                  <w:vAlign w:val="center"/>
                </w:tcPr>
                <w:p>
                  <w:pPr>
                    <w:spacing w:line="276" w:lineRule="auto"/>
                    <w:jc w:val="center"/>
                    <w:rPr>
                      <w:szCs w:val="21"/>
                    </w:rPr>
                  </w:pPr>
                  <w:r>
                    <w:rPr>
                      <w:rFonts w:hint="eastAsia"/>
                      <w:szCs w:val="21"/>
                    </w:rPr>
                    <w:t>6</w:t>
                  </w:r>
                  <w:r>
                    <w:rPr>
                      <w:szCs w:val="21"/>
                    </w:rPr>
                    <w:t>00</w:t>
                  </w:r>
                </w:p>
              </w:tc>
              <w:tc>
                <w:tcPr>
                  <w:tcW w:w="871" w:type="pct"/>
                  <w:vMerge w:val="restart"/>
                  <w:noWrap w:val="0"/>
                  <w:vAlign w:val="center"/>
                </w:tcPr>
                <w:p>
                  <w:pPr>
                    <w:spacing w:line="276" w:lineRule="auto"/>
                    <w:jc w:val="center"/>
                    <w:rPr>
                      <w:szCs w:val="21"/>
                    </w:rPr>
                  </w:pPr>
                  <w:r>
                    <w:rPr>
                      <w:rFonts w:hint="eastAsia"/>
                      <w:szCs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852" w:type="pct"/>
                  <w:vMerge w:val="continue"/>
                  <w:noWrap w:val="0"/>
                  <w:vAlign w:val="center"/>
                </w:tcPr>
                <w:p>
                  <w:pPr>
                    <w:spacing w:line="276" w:lineRule="auto"/>
                    <w:jc w:val="center"/>
                    <w:rPr>
                      <w:szCs w:val="21"/>
                    </w:rPr>
                  </w:pPr>
                </w:p>
              </w:tc>
              <w:tc>
                <w:tcPr>
                  <w:tcW w:w="1501" w:type="pct"/>
                  <w:vMerge w:val="continue"/>
                  <w:noWrap w:val="0"/>
                  <w:vAlign w:val="center"/>
                </w:tcPr>
                <w:p>
                  <w:pPr>
                    <w:spacing w:line="276" w:lineRule="auto"/>
                    <w:jc w:val="center"/>
                    <w:rPr>
                      <w:szCs w:val="21"/>
                    </w:rPr>
                  </w:pPr>
                </w:p>
              </w:tc>
              <w:tc>
                <w:tcPr>
                  <w:tcW w:w="930" w:type="pct"/>
                  <w:noWrap w:val="0"/>
                  <w:vAlign w:val="center"/>
                </w:tcPr>
                <w:p>
                  <w:pPr>
                    <w:spacing w:line="276" w:lineRule="auto"/>
                    <w:jc w:val="center"/>
                    <w:rPr>
                      <w:szCs w:val="21"/>
                    </w:rPr>
                  </w:pPr>
                  <w:r>
                    <w:rPr>
                      <w:szCs w:val="21"/>
                    </w:rPr>
                    <w:t>其他工程阶段</w:t>
                  </w:r>
                </w:p>
              </w:tc>
              <w:tc>
                <w:tcPr>
                  <w:tcW w:w="846" w:type="pct"/>
                  <w:noWrap w:val="0"/>
                  <w:vAlign w:val="center"/>
                </w:tcPr>
                <w:p>
                  <w:pPr>
                    <w:spacing w:line="276" w:lineRule="auto"/>
                    <w:jc w:val="center"/>
                    <w:rPr>
                      <w:b/>
                      <w:szCs w:val="21"/>
                    </w:rPr>
                  </w:pPr>
                  <w:r>
                    <w:rPr>
                      <w:rFonts w:hint="eastAsia"/>
                      <w:szCs w:val="21"/>
                    </w:rPr>
                    <w:t>250</w:t>
                  </w:r>
                </w:p>
              </w:tc>
              <w:tc>
                <w:tcPr>
                  <w:tcW w:w="871" w:type="pct"/>
                  <w:vMerge w:val="continue"/>
                  <w:noWrap w:val="0"/>
                  <w:vAlign w:val="center"/>
                </w:tcPr>
                <w:p>
                  <w:pPr>
                    <w:spacing w:line="276" w:lineRule="auto"/>
                    <w:jc w:val="center"/>
                    <w:rPr>
                      <w:szCs w:val="21"/>
                    </w:rPr>
                  </w:pPr>
                </w:p>
              </w:tc>
            </w:tr>
          </w:tbl>
          <w:p>
            <w:pPr>
              <w:widowControl/>
              <w:jc w:val="center"/>
              <w:rPr>
                <w:b/>
                <w:bCs/>
                <w:szCs w:val="21"/>
              </w:rPr>
            </w:pPr>
            <w:r>
              <w:rPr>
                <w:rFonts w:hint="eastAsia"/>
                <w:b/>
                <w:bCs/>
                <w:szCs w:val="21"/>
              </w:rPr>
              <w:t>表3-20《四川省加油站大气污染物排放标准》油气浓度无组织排放限值要求</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3"/>
              <w:gridCol w:w="3028"/>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1446" w:type="dxa"/>
                  <w:noWrap w:val="0"/>
                  <w:vAlign w:val="center"/>
                </w:tcPr>
                <w:p>
                  <w:pPr>
                    <w:spacing w:line="240" w:lineRule="exact"/>
                    <w:jc w:val="center"/>
                  </w:pPr>
                  <w:r>
                    <w:rPr>
                      <w:rFonts w:hint="eastAsia"/>
                      <w:b/>
                      <w:bCs/>
                      <w:szCs w:val="21"/>
                    </w:rPr>
                    <w:t>污染物名称</w:t>
                  </w:r>
                </w:p>
              </w:tc>
              <w:tc>
                <w:tcPr>
                  <w:tcW w:w="3035" w:type="dxa"/>
                  <w:noWrap w:val="0"/>
                  <w:vAlign w:val="center"/>
                </w:tcPr>
                <w:p>
                  <w:pPr>
                    <w:spacing w:line="240" w:lineRule="exact"/>
                    <w:jc w:val="center"/>
                    <w:rPr>
                      <w:b/>
                      <w:bCs/>
                      <w:szCs w:val="21"/>
                    </w:rPr>
                  </w:pPr>
                  <w:r>
                    <w:rPr>
                      <w:rFonts w:hint="eastAsia"/>
                      <w:b/>
                      <w:bCs/>
                      <w:szCs w:val="21"/>
                    </w:rPr>
                    <w:t>排放限值</w:t>
                  </w:r>
                </w:p>
              </w:tc>
              <w:tc>
                <w:tcPr>
                  <w:tcW w:w="3919" w:type="dxa"/>
                  <w:noWrap w:val="0"/>
                  <w:vAlign w:val="center"/>
                </w:tcPr>
                <w:p>
                  <w:pPr>
                    <w:spacing w:line="240" w:lineRule="exact"/>
                    <w:jc w:val="center"/>
                    <w:rPr>
                      <w:b/>
                      <w:bCs/>
                      <w:szCs w:val="21"/>
                    </w:rPr>
                  </w:pPr>
                  <w:r>
                    <w:rPr>
                      <w:rFonts w:hint="eastAsia"/>
                      <w:b/>
                      <w:bCs/>
                      <w:szCs w:val="21"/>
                    </w:rPr>
                    <w:t>限值含义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1446" w:type="dxa"/>
                  <w:noWrap w:val="0"/>
                  <w:vAlign w:val="center"/>
                </w:tcPr>
                <w:p>
                  <w:pPr>
                    <w:pStyle w:val="135"/>
                    <w:spacing w:line="240" w:lineRule="exact"/>
                    <w:ind w:left="159"/>
                    <w:jc w:val="center"/>
                  </w:pPr>
                  <w:r>
                    <w:rPr>
                      <w:sz w:val="21"/>
                    </w:rPr>
                    <w:t>NMHC</w:t>
                  </w:r>
                </w:p>
              </w:tc>
              <w:tc>
                <w:tcPr>
                  <w:tcW w:w="3035" w:type="dxa"/>
                  <w:noWrap w:val="0"/>
                  <w:vAlign w:val="center"/>
                </w:tcPr>
                <w:p>
                  <w:pPr>
                    <w:pStyle w:val="135"/>
                    <w:spacing w:line="240" w:lineRule="exact"/>
                    <w:jc w:val="center"/>
                    <w:rPr>
                      <w:sz w:val="21"/>
                      <w:szCs w:val="21"/>
                      <w:lang w:eastAsia="zh-CN"/>
                    </w:rPr>
                  </w:pPr>
                  <w:r>
                    <w:rPr>
                      <w:rFonts w:hint="eastAsia"/>
                      <w:sz w:val="21"/>
                      <w:szCs w:val="21"/>
                      <w:lang w:eastAsia="zh-CN"/>
                    </w:rPr>
                    <w:t>4.0</w:t>
                  </w:r>
                  <w:r>
                    <w:rPr>
                      <w:sz w:val="21"/>
                    </w:rPr>
                    <w:t>mg/m</w:t>
                  </w:r>
                  <w:r>
                    <w:rPr>
                      <w:sz w:val="21"/>
                      <w:vertAlign w:val="superscript"/>
                    </w:rPr>
                    <w:t>3</w:t>
                  </w:r>
                </w:p>
              </w:tc>
              <w:tc>
                <w:tcPr>
                  <w:tcW w:w="3919" w:type="dxa"/>
                  <w:noWrap w:val="0"/>
                  <w:vAlign w:val="center"/>
                </w:tcPr>
                <w:p>
                  <w:pPr>
                    <w:pStyle w:val="135"/>
                    <w:spacing w:line="240" w:lineRule="exact"/>
                    <w:jc w:val="center"/>
                    <w:rPr>
                      <w:sz w:val="21"/>
                      <w:szCs w:val="21"/>
                      <w:lang w:eastAsia="zh-CN"/>
                    </w:rPr>
                  </w:pPr>
                  <w:r>
                    <w:rPr>
                      <w:rFonts w:hint="eastAsia"/>
                      <w:sz w:val="21"/>
                      <w:lang w:eastAsia="zh-CN"/>
                    </w:rPr>
                    <w:t>监控点1小时平均浓度值</w:t>
                  </w:r>
                </w:p>
              </w:tc>
            </w:tr>
          </w:tbl>
          <w:p>
            <w:pPr>
              <w:widowControl/>
              <w:jc w:val="center"/>
              <w:rPr>
                <w:b/>
                <w:bCs/>
                <w:szCs w:val="21"/>
              </w:rPr>
            </w:pPr>
            <w:r>
              <w:rPr>
                <w:rFonts w:hint="eastAsia"/>
                <w:b/>
                <w:bCs/>
                <w:szCs w:val="21"/>
              </w:rPr>
              <w:t>表3-21《四川省加油站大气污染物排放标准》</w:t>
            </w:r>
          </w:p>
          <w:tbl>
            <w:tblPr>
              <w:tblStyle w:val="7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8"/>
              <w:gridCol w:w="3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08" w:type="dxa"/>
                  <w:noWrap w:val="0"/>
                  <w:vAlign w:val="top"/>
                </w:tcPr>
                <w:p>
                  <w:pPr>
                    <w:spacing w:line="240" w:lineRule="exact"/>
                    <w:jc w:val="center"/>
                    <w:rPr>
                      <w:rFonts w:hint="eastAsia"/>
                      <w:b/>
                      <w:szCs w:val="21"/>
                    </w:rPr>
                  </w:pPr>
                  <w:r>
                    <w:rPr>
                      <w:rFonts w:hint="eastAsia"/>
                      <w:b/>
                      <w:szCs w:val="21"/>
                    </w:rPr>
                    <w:t>内容</w:t>
                  </w:r>
                </w:p>
              </w:tc>
              <w:tc>
                <w:tcPr>
                  <w:tcW w:w="3664" w:type="dxa"/>
                  <w:noWrap w:val="0"/>
                  <w:vAlign w:val="top"/>
                </w:tcPr>
                <w:p>
                  <w:pPr>
                    <w:spacing w:line="240" w:lineRule="exact"/>
                    <w:jc w:val="center"/>
                    <w:rPr>
                      <w:b/>
                      <w:szCs w:val="21"/>
                    </w:rPr>
                  </w:pPr>
                  <w:r>
                    <w:rPr>
                      <w:rFonts w:hint="eastAsia"/>
                      <w:b/>
                      <w:szCs w:val="21"/>
                    </w:rPr>
                    <w:t>标准要求值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08" w:type="dxa"/>
                  <w:noWrap w:val="0"/>
                  <w:vAlign w:val="top"/>
                </w:tcPr>
                <w:p>
                  <w:pPr>
                    <w:spacing w:line="240" w:lineRule="exact"/>
                    <w:jc w:val="center"/>
                    <w:rPr>
                      <w:rFonts w:hint="eastAsia"/>
                      <w:bCs/>
                      <w:szCs w:val="21"/>
                    </w:rPr>
                  </w:pPr>
                  <w:r>
                    <w:rPr>
                      <w:rFonts w:hint="eastAsia"/>
                      <w:bCs/>
                      <w:szCs w:val="21"/>
                    </w:rPr>
                    <w:t>油气处理装置排气口距地平面高度</w:t>
                  </w:r>
                </w:p>
              </w:tc>
              <w:tc>
                <w:tcPr>
                  <w:tcW w:w="3664" w:type="dxa"/>
                  <w:noWrap w:val="0"/>
                  <w:vAlign w:val="top"/>
                </w:tcPr>
                <w:p>
                  <w:pPr>
                    <w:spacing w:line="240" w:lineRule="exact"/>
                    <w:jc w:val="center"/>
                    <w:rPr>
                      <w:rFonts w:hint="eastAsia"/>
                      <w:bCs/>
                      <w:szCs w:val="21"/>
                    </w:rPr>
                  </w:pPr>
                  <w:r>
                    <w:rPr>
                      <w:rFonts w:hint="eastAsia"/>
                      <w:bCs/>
                      <w:szCs w:val="21"/>
                    </w:rPr>
                    <w:t>不应小于4m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08" w:type="dxa"/>
                  <w:noWrap w:val="0"/>
                  <w:vAlign w:val="top"/>
                </w:tcPr>
                <w:p>
                  <w:pPr>
                    <w:spacing w:line="240" w:lineRule="exact"/>
                    <w:jc w:val="center"/>
                    <w:rPr>
                      <w:rFonts w:hint="eastAsia"/>
                      <w:bCs/>
                      <w:szCs w:val="21"/>
                    </w:rPr>
                  </w:pPr>
                  <w:r>
                    <w:rPr>
                      <w:rFonts w:hint="eastAsia"/>
                      <w:bCs/>
                      <w:szCs w:val="21"/>
                    </w:rPr>
                    <w:t>油气处理装置的油气排放浓度1小时平均浓度值</w:t>
                  </w:r>
                </w:p>
              </w:tc>
              <w:tc>
                <w:tcPr>
                  <w:tcW w:w="3664" w:type="dxa"/>
                  <w:noWrap w:val="0"/>
                  <w:vAlign w:val="center"/>
                </w:tcPr>
                <w:p>
                  <w:pPr>
                    <w:spacing w:line="240" w:lineRule="exact"/>
                    <w:jc w:val="center"/>
                    <w:rPr>
                      <w:rFonts w:hint="eastAsia"/>
                      <w:bCs/>
                      <w:szCs w:val="21"/>
                    </w:rPr>
                  </w:pPr>
                  <w:r>
                    <w:rPr>
                      <w:rFonts w:hint="eastAsia"/>
                      <w:bCs/>
                      <w:szCs w:val="21"/>
                    </w:rPr>
                    <w:t>小于等于20mg/m</w:t>
                  </w:r>
                  <w:r>
                    <w:rPr>
                      <w:rFonts w:hint="eastAsia"/>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708" w:type="dxa"/>
                  <w:noWrap w:val="0"/>
                  <w:vAlign w:val="center"/>
                </w:tcPr>
                <w:p>
                  <w:pPr>
                    <w:spacing w:line="240" w:lineRule="exact"/>
                    <w:jc w:val="center"/>
                    <w:rPr>
                      <w:rFonts w:hint="eastAsia"/>
                      <w:bCs/>
                      <w:szCs w:val="21"/>
                    </w:rPr>
                  </w:pPr>
                  <w:r>
                    <w:rPr>
                      <w:rFonts w:hint="eastAsia"/>
                      <w:bCs/>
                      <w:szCs w:val="21"/>
                    </w:rPr>
                    <w:t>各种加油加气回收系统的气液比</w:t>
                  </w:r>
                </w:p>
              </w:tc>
              <w:tc>
                <w:tcPr>
                  <w:tcW w:w="3664" w:type="dxa"/>
                  <w:noWrap w:val="0"/>
                  <w:vAlign w:val="top"/>
                </w:tcPr>
                <w:p>
                  <w:pPr>
                    <w:spacing w:line="240" w:lineRule="exact"/>
                    <w:jc w:val="center"/>
                    <w:rPr>
                      <w:rFonts w:hint="eastAsia"/>
                      <w:bCs/>
                      <w:szCs w:val="21"/>
                    </w:rPr>
                  </w:pPr>
                  <w:r>
                    <w:rPr>
                      <w:rFonts w:hint="eastAsia"/>
                      <w:bCs/>
                      <w:szCs w:val="21"/>
                    </w:rPr>
                    <w:t>均应在大于等于1.0和小于等于1.2范围内</w:t>
                  </w:r>
                </w:p>
              </w:tc>
            </w:tr>
          </w:tbl>
          <w:p>
            <w:pPr>
              <w:adjustRightInd w:val="0"/>
              <w:snapToGrid w:val="0"/>
              <w:spacing w:before="120" w:beforeLines="50" w:line="360" w:lineRule="auto"/>
              <w:ind w:firstLine="482" w:firstLineChars="200"/>
              <w:rPr>
                <w:b/>
                <w:snapToGrid w:val="0"/>
                <w:kern w:val="0"/>
                <w:sz w:val="24"/>
                <w:szCs w:val="20"/>
              </w:rPr>
            </w:pPr>
            <w:r>
              <w:rPr>
                <w:b/>
                <w:snapToGrid w:val="0"/>
                <w:kern w:val="0"/>
                <w:sz w:val="24"/>
                <w:szCs w:val="20"/>
              </w:rPr>
              <w:t>2、水污染物排放标准</w:t>
            </w:r>
          </w:p>
          <w:p>
            <w:pPr>
              <w:spacing w:line="360" w:lineRule="auto"/>
              <w:ind w:firstLine="480" w:firstLineChars="200"/>
              <w:rPr>
                <w:rFonts w:hint="eastAsia"/>
                <w:sz w:val="24"/>
              </w:rPr>
            </w:pPr>
            <w:r>
              <w:rPr>
                <w:rFonts w:hint="eastAsia"/>
                <w:sz w:val="24"/>
              </w:rPr>
              <w:t>本项目无生产废水外排；生活污水经化粪池处理后，通过市政污水管网进入污水处理厂处理。项目出水水质执行《污水综合排放标准》（</w:t>
            </w:r>
            <w:r>
              <w:rPr>
                <w:sz w:val="24"/>
              </w:rPr>
              <w:t>GB 8978-1996</w:t>
            </w:r>
            <w:r>
              <w:rPr>
                <w:rFonts w:hint="eastAsia"/>
                <w:sz w:val="24"/>
              </w:rPr>
              <w:t>）三级标准，其中氨氮、总磷、总氮执行《污水排入城镇下水道水质标准》（GBT31962-2015）中B级标准。</w:t>
            </w:r>
          </w:p>
          <w:p>
            <w:pPr>
              <w:widowControl/>
              <w:jc w:val="center"/>
              <w:rPr>
                <w:b/>
                <w:bCs/>
                <w:szCs w:val="21"/>
              </w:rPr>
            </w:pPr>
            <w:r>
              <w:rPr>
                <w:b/>
                <w:bCs/>
                <w:szCs w:val="21"/>
              </w:rPr>
              <w:t>表3-</w:t>
            </w:r>
            <w:r>
              <w:rPr>
                <w:rFonts w:hint="eastAsia"/>
                <w:b/>
                <w:bCs/>
                <w:szCs w:val="21"/>
              </w:rPr>
              <w:t>22污水</w:t>
            </w:r>
            <w:r>
              <w:rPr>
                <w:b/>
                <w:bCs/>
                <w:szCs w:val="21"/>
              </w:rPr>
              <w:t>最高允许排放浓度（单位：mg/L）</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657"/>
              <w:gridCol w:w="1031"/>
              <w:gridCol w:w="903"/>
              <w:gridCol w:w="726"/>
              <w:gridCol w:w="1197"/>
              <w:gridCol w:w="1513"/>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pct"/>
                  <w:noWrap w:val="0"/>
                  <w:vAlign w:val="center"/>
                </w:tcPr>
                <w:p>
                  <w:pPr>
                    <w:jc w:val="center"/>
                    <w:rPr>
                      <w:b/>
                      <w:szCs w:val="21"/>
                    </w:rPr>
                  </w:pPr>
                  <w:r>
                    <w:rPr>
                      <w:b/>
                      <w:szCs w:val="21"/>
                    </w:rPr>
                    <w:t>项目</w:t>
                  </w:r>
                </w:p>
              </w:tc>
              <w:tc>
                <w:tcPr>
                  <w:tcW w:w="392" w:type="pct"/>
                  <w:noWrap w:val="0"/>
                  <w:vAlign w:val="center"/>
                </w:tcPr>
                <w:p>
                  <w:pPr>
                    <w:jc w:val="center"/>
                    <w:rPr>
                      <w:b/>
                      <w:szCs w:val="21"/>
                    </w:rPr>
                  </w:pPr>
                  <w:r>
                    <w:rPr>
                      <w:b/>
                      <w:szCs w:val="21"/>
                    </w:rPr>
                    <w:t>pH</w:t>
                  </w:r>
                </w:p>
              </w:tc>
              <w:tc>
                <w:tcPr>
                  <w:tcW w:w="615" w:type="pct"/>
                  <w:noWrap w:val="0"/>
                  <w:vAlign w:val="center"/>
                </w:tcPr>
                <w:p>
                  <w:pPr>
                    <w:jc w:val="center"/>
                    <w:rPr>
                      <w:b/>
                      <w:szCs w:val="21"/>
                      <w:vertAlign w:val="subscript"/>
                    </w:rPr>
                  </w:pPr>
                  <w:r>
                    <w:rPr>
                      <w:b/>
                      <w:szCs w:val="21"/>
                    </w:rPr>
                    <w:t>COD</w:t>
                  </w:r>
                  <w:r>
                    <w:rPr>
                      <w:b/>
                      <w:szCs w:val="21"/>
                      <w:vertAlign w:val="subscript"/>
                    </w:rPr>
                    <w:t>Cr</w:t>
                  </w:r>
                </w:p>
              </w:tc>
              <w:tc>
                <w:tcPr>
                  <w:tcW w:w="539" w:type="pct"/>
                  <w:noWrap w:val="0"/>
                  <w:vAlign w:val="center"/>
                </w:tcPr>
                <w:p>
                  <w:pPr>
                    <w:jc w:val="center"/>
                    <w:rPr>
                      <w:b/>
                      <w:szCs w:val="21"/>
                    </w:rPr>
                  </w:pPr>
                  <w:r>
                    <w:rPr>
                      <w:b/>
                      <w:szCs w:val="21"/>
                    </w:rPr>
                    <w:t>BOD</w:t>
                  </w:r>
                  <w:r>
                    <w:rPr>
                      <w:b/>
                      <w:szCs w:val="21"/>
                      <w:vertAlign w:val="subscript"/>
                    </w:rPr>
                    <w:t>5</w:t>
                  </w:r>
                </w:p>
              </w:tc>
              <w:tc>
                <w:tcPr>
                  <w:tcW w:w="433" w:type="pct"/>
                  <w:noWrap w:val="0"/>
                  <w:vAlign w:val="center"/>
                </w:tcPr>
                <w:p>
                  <w:pPr>
                    <w:jc w:val="center"/>
                    <w:rPr>
                      <w:b/>
                      <w:szCs w:val="21"/>
                    </w:rPr>
                  </w:pPr>
                  <w:r>
                    <w:rPr>
                      <w:b/>
                      <w:szCs w:val="21"/>
                    </w:rPr>
                    <w:t>SS</w:t>
                  </w:r>
                </w:p>
              </w:tc>
              <w:tc>
                <w:tcPr>
                  <w:tcW w:w="714" w:type="pct"/>
                  <w:noWrap w:val="0"/>
                  <w:vAlign w:val="center"/>
                </w:tcPr>
                <w:p>
                  <w:pPr>
                    <w:jc w:val="center"/>
                    <w:rPr>
                      <w:b/>
                      <w:szCs w:val="21"/>
                    </w:rPr>
                  </w:pPr>
                  <w:r>
                    <w:rPr>
                      <w:b/>
                      <w:szCs w:val="21"/>
                    </w:rPr>
                    <w:t>氨氮（以N计）</w:t>
                  </w:r>
                </w:p>
              </w:tc>
              <w:tc>
                <w:tcPr>
                  <w:tcW w:w="903" w:type="pct"/>
                  <w:noWrap w:val="0"/>
                  <w:vAlign w:val="center"/>
                </w:tcPr>
                <w:p>
                  <w:pPr>
                    <w:jc w:val="center"/>
                    <w:rPr>
                      <w:b/>
                      <w:szCs w:val="21"/>
                    </w:rPr>
                  </w:pPr>
                  <w:r>
                    <w:rPr>
                      <w:b/>
                      <w:szCs w:val="21"/>
                    </w:rPr>
                    <w:t>总磷（以P计）</w:t>
                  </w:r>
                </w:p>
              </w:tc>
              <w:tc>
                <w:tcPr>
                  <w:tcW w:w="716" w:type="pct"/>
                  <w:noWrap w:val="0"/>
                  <w:vAlign w:val="center"/>
                </w:tcPr>
                <w:p>
                  <w:pPr>
                    <w:jc w:val="center"/>
                    <w:rPr>
                      <w:b/>
                      <w:szCs w:val="21"/>
                    </w:rPr>
                  </w:pPr>
                  <w:r>
                    <w:rPr>
                      <w:b/>
                      <w:szCs w:val="21"/>
                    </w:rPr>
                    <w:t>总氮（以N计）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pct"/>
                  <w:noWrap w:val="0"/>
                  <w:vAlign w:val="center"/>
                </w:tcPr>
                <w:p>
                  <w:pPr>
                    <w:jc w:val="center"/>
                    <w:rPr>
                      <w:szCs w:val="21"/>
                    </w:rPr>
                  </w:pPr>
                  <w:r>
                    <w:rPr>
                      <w:szCs w:val="21"/>
                    </w:rPr>
                    <w:t>标准值</w:t>
                  </w:r>
                </w:p>
              </w:tc>
              <w:tc>
                <w:tcPr>
                  <w:tcW w:w="392" w:type="pct"/>
                  <w:noWrap w:val="0"/>
                  <w:vAlign w:val="center"/>
                </w:tcPr>
                <w:p>
                  <w:pPr>
                    <w:jc w:val="center"/>
                    <w:rPr>
                      <w:szCs w:val="21"/>
                    </w:rPr>
                  </w:pPr>
                  <w:r>
                    <w:rPr>
                      <w:szCs w:val="21"/>
                    </w:rPr>
                    <w:t>6~9</w:t>
                  </w:r>
                </w:p>
              </w:tc>
              <w:tc>
                <w:tcPr>
                  <w:tcW w:w="615" w:type="pct"/>
                  <w:noWrap w:val="0"/>
                  <w:vAlign w:val="center"/>
                </w:tcPr>
                <w:p>
                  <w:pPr>
                    <w:jc w:val="center"/>
                    <w:rPr>
                      <w:szCs w:val="21"/>
                    </w:rPr>
                  </w:pPr>
                  <w:r>
                    <w:rPr>
                      <w:szCs w:val="21"/>
                    </w:rPr>
                    <w:t>50</w:t>
                  </w:r>
                  <w:r>
                    <w:rPr>
                      <w:rFonts w:hint="eastAsia"/>
                      <w:szCs w:val="21"/>
                    </w:rPr>
                    <w:t>0</w:t>
                  </w:r>
                </w:p>
              </w:tc>
              <w:tc>
                <w:tcPr>
                  <w:tcW w:w="539" w:type="pct"/>
                  <w:noWrap w:val="0"/>
                  <w:vAlign w:val="center"/>
                </w:tcPr>
                <w:p>
                  <w:pPr>
                    <w:jc w:val="center"/>
                    <w:rPr>
                      <w:szCs w:val="21"/>
                    </w:rPr>
                  </w:pPr>
                  <w:r>
                    <w:rPr>
                      <w:rFonts w:hint="eastAsia"/>
                      <w:szCs w:val="21"/>
                    </w:rPr>
                    <w:t>300</w:t>
                  </w:r>
                </w:p>
              </w:tc>
              <w:tc>
                <w:tcPr>
                  <w:tcW w:w="433" w:type="pct"/>
                  <w:noWrap w:val="0"/>
                  <w:vAlign w:val="center"/>
                </w:tcPr>
                <w:p>
                  <w:pPr>
                    <w:jc w:val="center"/>
                    <w:rPr>
                      <w:szCs w:val="21"/>
                    </w:rPr>
                  </w:pPr>
                  <w:r>
                    <w:rPr>
                      <w:rFonts w:hint="eastAsia"/>
                      <w:szCs w:val="21"/>
                    </w:rPr>
                    <w:t>400</w:t>
                  </w:r>
                </w:p>
              </w:tc>
              <w:tc>
                <w:tcPr>
                  <w:tcW w:w="714" w:type="pct"/>
                  <w:noWrap w:val="0"/>
                  <w:vAlign w:val="center"/>
                </w:tcPr>
                <w:p>
                  <w:pPr>
                    <w:jc w:val="center"/>
                    <w:rPr>
                      <w:szCs w:val="21"/>
                    </w:rPr>
                  </w:pPr>
                  <w:r>
                    <w:rPr>
                      <w:rFonts w:hint="eastAsia"/>
                      <w:szCs w:val="21"/>
                    </w:rPr>
                    <w:t>45</w:t>
                  </w:r>
                </w:p>
              </w:tc>
              <w:tc>
                <w:tcPr>
                  <w:tcW w:w="903" w:type="pct"/>
                  <w:noWrap w:val="0"/>
                  <w:vAlign w:val="center"/>
                </w:tcPr>
                <w:p>
                  <w:pPr>
                    <w:jc w:val="center"/>
                    <w:rPr>
                      <w:szCs w:val="21"/>
                    </w:rPr>
                  </w:pPr>
                  <w:r>
                    <w:rPr>
                      <w:rFonts w:hint="eastAsia"/>
                      <w:szCs w:val="21"/>
                    </w:rPr>
                    <w:t>8</w:t>
                  </w:r>
                </w:p>
              </w:tc>
              <w:tc>
                <w:tcPr>
                  <w:tcW w:w="716" w:type="pct"/>
                  <w:noWrap w:val="0"/>
                  <w:vAlign w:val="center"/>
                </w:tcPr>
                <w:p>
                  <w:pPr>
                    <w:jc w:val="center"/>
                    <w:rPr>
                      <w:szCs w:val="21"/>
                    </w:rPr>
                  </w:pPr>
                  <w:r>
                    <w:rPr>
                      <w:rFonts w:hint="eastAsia"/>
                      <w:szCs w:val="21"/>
                    </w:rPr>
                    <w:t>70</w:t>
                  </w:r>
                </w:p>
              </w:tc>
            </w:tr>
          </w:tbl>
          <w:p>
            <w:pPr>
              <w:adjustRightInd w:val="0"/>
              <w:snapToGrid w:val="0"/>
              <w:spacing w:before="120" w:beforeLines="50" w:line="360" w:lineRule="auto"/>
              <w:ind w:firstLine="482" w:firstLineChars="200"/>
              <w:rPr>
                <w:b/>
                <w:snapToGrid w:val="0"/>
                <w:kern w:val="0"/>
                <w:sz w:val="24"/>
                <w:szCs w:val="20"/>
              </w:rPr>
            </w:pPr>
            <w:r>
              <w:rPr>
                <w:b/>
                <w:snapToGrid w:val="0"/>
                <w:kern w:val="0"/>
                <w:sz w:val="24"/>
                <w:szCs w:val="20"/>
              </w:rPr>
              <w:t>注：</w:t>
            </w:r>
            <w:r>
              <w:rPr>
                <w:b/>
                <w:bCs/>
                <w:szCs w:val="21"/>
              </w:rPr>
              <w:t>pH无量纲</w:t>
            </w:r>
          </w:p>
          <w:p>
            <w:pPr>
              <w:adjustRightInd w:val="0"/>
              <w:snapToGrid w:val="0"/>
              <w:spacing w:before="120" w:beforeLines="50" w:line="360" w:lineRule="auto"/>
              <w:ind w:firstLine="482" w:firstLineChars="200"/>
              <w:rPr>
                <w:b/>
                <w:snapToGrid w:val="0"/>
                <w:kern w:val="0"/>
                <w:sz w:val="24"/>
                <w:szCs w:val="20"/>
              </w:rPr>
            </w:pPr>
            <w:r>
              <w:rPr>
                <w:b/>
                <w:snapToGrid w:val="0"/>
                <w:kern w:val="0"/>
                <w:sz w:val="24"/>
                <w:szCs w:val="20"/>
              </w:rPr>
              <w:t>3、噪声排放标准</w:t>
            </w:r>
          </w:p>
          <w:p>
            <w:pPr>
              <w:spacing w:line="360" w:lineRule="auto"/>
              <w:ind w:firstLine="480" w:firstLineChars="200"/>
              <w:rPr>
                <w:bCs/>
                <w:sz w:val="24"/>
              </w:rPr>
            </w:pPr>
            <w:r>
              <w:rPr>
                <w:bCs/>
                <w:sz w:val="24"/>
              </w:rPr>
              <w:t>项目施工期执行《建筑施工场界环境噪声排放标准》（GB12523-2011）；营运期执行《工业企业厂界环境噪声排放标准》（GB12348-2008）2类标准，具体见表3-</w:t>
            </w:r>
            <w:r>
              <w:rPr>
                <w:rFonts w:hint="eastAsia"/>
                <w:bCs/>
                <w:sz w:val="24"/>
              </w:rPr>
              <w:t>23</w:t>
            </w:r>
            <w:r>
              <w:rPr>
                <w:bCs/>
                <w:sz w:val="24"/>
              </w:rPr>
              <w:t>。</w:t>
            </w:r>
          </w:p>
          <w:p>
            <w:pPr>
              <w:jc w:val="center"/>
              <w:rPr>
                <w:b/>
                <w:bCs/>
                <w:szCs w:val="18"/>
              </w:rPr>
            </w:pPr>
            <w:r>
              <w:rPr>
                <w:b/>
                <w:bCs/>
                <w:szCs w:val="18"/>
              </w:rPr>
              <w:t>表3-</w:t>
            </w:r>
            <w:r>
              <w:rPr>
                <w:rFonts w:hint="eastAsia"/>
                <w:b/>
                <w:bCs/>
                <w:szCs w:val="18"/>
              </w:rPr>
              <w:t>23</w:t>
            </w:r>
            <w:r>
              <w:rPr>
                <w:b/>
                <w:bCs/>
                <w:szCs w:val="18"/>
              </w:rPr>
              <w:t>噪声排放标准</w:t>
            </w:r>
          </w:p>
          <w:tbl>
            <w:tblPr>
              <w:tblStyle w:val="7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792"/>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pPr>
                    <w:jc w:val="center"/>
                    <w:rPr>
                      <w:b/>
                      <w:bCs/>
                      <w:szCs w:val="18"/>
                    </w:rPr>
                  </w:pPr>
                  <w:r>
                    <w:rPr>
                      <w:b/>
                      <w:bCs/>
                      <w:szCs w:val="18"/>
                    </w:rPr>
                    <w:t>时段</w:t>
                  </w:r>
                </w:p>
              </w:tc>
              <w:tc>
                <w:tcPr>
                  <w:tcW w:w="1666" w:type="pct"/>
                  <w:noWrap w:val="0"/>
                  <w:vAlign w:val="center"/>
                </w:tcPr>
                <w:p>
                  <w:pPr>
                    <w:jc w:val="center"/>
                    <w:rPr>
                      <w:b/>
                      <w:bCs/>
                      <w:szCs w:val="18"/>
                    </w:rPr>
                  </w:pPr>
                  <w:r>
                    <w:rPr>
                      <w:b/>
                      <w:bCs/>
                      <w:szCs w:val="18"/>
                    </w:rPr>
                    <w:t>昼间</w:t>
                  </w:r>
                </w:p>
              </w:tc>
              <w:tc>
                <w:tcPr>
                  <w:tcW w:w="1667" w:type="pct"/>
                  <w:noWrap w:val="0"/>
                  <w:vAlign w:val="center"/>
                </w:tcPr>
                <w:p>
                  <w:pPr>
                    <w:jc w:val="center"/>
                    <w:rPr>
                      <w:b/>
                      <w:bCs/>
                      <w:szCs w:val="18"/>
                    </w:rPr>
                  </w:pPr>
                  <w:r>
                    <w:rPr>
                      <w:b/>
                      <w:bCs/>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pPr>
                    <w:jc w:val="center"/>
                    <w:rPr>
                      <w:bCs/>
                      <w:szCs w:val="18"/>
                    </w:rPr>
                  </w:pPr>
                  <w:r>
                    <w:rPr>
                      <w:bCs/>
                      <w:szCs w:val="18"/>
                    </w:rPr>
                    <w:t>施工期</w:t>
                  </w:r>
                </w:p>
              </w:tc>
              <w:tc>
                <w:tcPr>
                  <w:tcW w:w="1666" w:type="pct"/>
                  <w:noWrap w:val="0"/>
                  <w:vAlign w:val="center"/>
                </w:tcPr>
                <w:p>
                  <w:pPr>
                    <w:jc w:val="center"/>
                    <w:rPr>
                      <w:bCs/>
                      <w:szCs w:val="18"/>
                    </w:rPr>
                  </w:pPr>
                  <w:r>
                    <w:rPr>
                      <w:bCs/>
                      <w:szCs w:val="18"/>
                    </w:rPr>
                    <w:t>70dB（A）</w:t>
                  </w:r>
                </w:p>
              </w:tc>
              <w:tc>
                <w:tcPr>
                  <w:tcW w:w="1667" w:type="pct"/>
                  <w:noWrap w:val="0"/>
                  <w:vAlign w:val="center"/>
                </w:tcPr>
                <w:p>
                  <w:pPr>
                    <w:jc w:val="center"/>
                    <w:rPr>
                      <w:bCs/>
                      <w:szCs w:val="18"/>
                    </w:rPr>
                  </w:pPr>
                  <w:r>
                    <w:rPr>
                      <w:bCs/>
                      <w:szCs w:val="18"/>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noWrap w:val="0"/>
                  <w:vAlign w:val="center"/>
                </w:tcPr>
                <w:p>
                  <w:pPr>
                    <w:jc w:val="center"/>
                    <w:rPr>
                      <w:bCs/>
                      <w:szCs w:val="18"/>
                    </w:rPr>
                  </w:pPr>
                  <w:r>
                    <w:rPr>
                      <w:bCs/>
                      <w:szCs w:val="18"/>
                    </w:rPr>
                    <w:t>营运期</w:t>
                  </w:r>
                </w:p>
              </w:tc>
              <w:tc>
                <w:tcPr>
                  <w:tcW w:w="1666" w:type="pct"/>
                  <w:noWrap w:val="0"/>
                  <w:vAlign w:val="center"/>
                </w:tcPr>
                <w:p>
                  <w:pPr>
                    <w:jc w:val="center"/>
                    <w:rPr>
                      <w:bCs/>
                      <w:szCs w:val="18"/>
                    </w:rPr>
                  </w:pPr>
                  <w:r>
                    <w:rPr>
                      <w:bCs/>
                      <w:szCs w:val="18"/>
                    </w:rPr>
                    <w:t>60dB（A）</w:t>
                  </w:r>
                </w:p>
              </w:tc>
              <w:tc>
                <w:tcPr>
                  <w:tcW w:w="1667" w:type="pct"/>
                  <w:noWrap w:val="0"/>
                  <w:vAlign w:val="center"/>
                </w:tcPr>
                <w:p>
                  <w:pPr>
                    <w:jc w:val="center"/>
                    <w:rPr>
                      <w:bCs/>
                      <w:szCs w:val="18"/>
                    </w:rPr>
                  </w:pPr>
                  <w:r>
                    <w:rPr>
                      <w:bCs/>
                      <w:szCs w:val="18"/>
                    </w:rPr>
                    <w:t>50dB（A）</w:t>
                  </w:r>
                </w:p>
              </w:tc>
            </w:tr>
          </w:tbl>
          <w:p>
            <w:pPr>
              <w:adjustRightInd w:val="0"/>
              <w:snapToGrid w:val="0"/>
              <w:spacing w:before="120" w:beforeLines="50" w:line="360" w:lineRule="auto"/>
              <w:ind w:firstLine="482" w:firstLineChars="200"/>
              <w:rPr>
                <w:b/>
                <w:snapToGrid w:val="0"/>
                <w:kern w:val="0"/>
                <w:sz w:val="24"/>
                <w:szCs w:val="20"/>
              </w:rPr>
            </w:pPr>
            <w:r>
              <w:rPr>
                <w:b/>
                <w:snapToGrid w:val="0"/>
                <w:kern w:val="0"/>
                <w:sz w:val="24"/>
                <w:szCs w:val="20"/>
              </w:rPr>
              <w:t>4、固体废弃物排放标准</w:t>
            </w:r>
          </w:p>
          <w:p>
            <w:pPr>
              <w:spacing w:line="360" w:lineRule="auto"/>
              <w:ind w:firstLine="480" w:firstLineChars="200"/>
              <w:rPr>
                <w:kern w:val="0"/>
                <w:szCs w:val="21"/>
              </w:rPr>
            </w:pPr>
            <w:r>
              <w:rPr>
                <w:rFonts w:hint="eastAsia"/>
                <w:bCs/>
                <w:sz w:val="24"/>
              </w:rPr>
              <w:t>按照《中华人民共和国固体废弃物防治法》的要求，固体废物要妥善处置，不得形成二次污染。营运期固废贮存参照《一般工业固体废物贮存和填埋污染控制标准》（GB 18599-2020）。危险废物处置执行《危险废物贮存污染控制标准》（GB18597-2023）中的有关规定。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390" w:type="dxa"/>
            <w:noWrap w:val="0"/>
            <w:vAlign w:val="center"/>
          </w:tcPr>
          <w:p>
            <w:pPr>
              <w:adjustRightInd w:val="0"/>
              <w:snapToGrid w:val="0"/>
              <w:jc w:val="center"/>
              <w:rPr>
                <w:b/>
                <w:bCs/>
                <w:kern w:val="0"/>
                <w:sz w:val="24"/>
              </w:rPr>
            </w:pPr>
            <w:r>
              <w:rPr>
                <w:b/>
                <w:bCs/>
                <w:kern w:val="0"/>
                <w:sz w:val="24"/>
              </w:rPr>
              <w:t>总量控制指标</w:t>
            </w:r>
          </w:p>
        </w:tc>
        <w:tc>
          <w:tcPr>
            <w:tcW w:w="8671" w:type="dxa"/>
            <w:noWrap w:val="0"/>
            <w:vAlign w:val="center"/>
          </w:tcPr>
          <w:p>
            <w:pPr>
              <w:spacing w:line="360" w:lineRule="auto"/>
              <w:ind w:firstLine="480" w:firstLineChars="200"/>
              <w:rPr>
                <w:bCs/>
                <w:sz w:val="24"/>
              </w:rPr>
            </w:pPr>
            <w:r>
              <w:rPr>
                <w:bCs/>
                <w:sz w:val="24"/>
              </w:rPr>
              <w:t>根据国家总量控制种类：化学需氧量、氨氮、二氧化硫、氮氧化物，综合考虑本项目的排污特点、所在区域的环境质量现状等因素，本项目的总量控制指标分析如下：</w:t>
            </w:r>
          </w:p>
          <w:p>
            <w:pPr>
              <w:spacing w:line="360" w:lineRule="auto"/>
              <w:ind w:firstLine="480" w:firstLineChars="200"/>
              <w:rPr>
                <w:bCs/>
                <w:sz w:val="24"/>
              </w:rPr>
            </w:pPr>
            <w:r>
              <w:rPr>
                <w:bCs/>
                <w:sz w:val="24"/>
              </w:rPr>
              <w:t>（1）大气污染物总量控制：项目营运期产生的废气主要为卸油储油及加油作业的过程中产生的非甲烷总烃。本项目使用的油量较少，非甲烷总烃的排放量较小，周边地势开阔，空气流动性良好，则对周边大气环境影响小。故建议不申请大气污染物总量控制指标。</w:t>
            </w:r>
          </w:p>
          <w:p>
            <w:pPr>
              <w:spacing w:line="360" w:lineRule="auto"/>
              <w:ind w:firstLine="480" w:firstLineChars="200"/>
              <w:rPr>
                <w:rFonts w:hint="eastAsia"/>
              </w:rPr>
            </w:pPr>
            <w:r>
              <w:rPr>
                <w:bCs/>
                <w:sz w:val="24"/>
              </w:rPr>
              <w:t>（2）水污染物总量控制：本项目</w:t>
            </w:r>
            <w:r>
              <w:rPr>
                <w:rFonts w:hint="eastAsia"/>
                <w:bCs/>
                <w:sz w:val="24"/>
              </w:rPr>
              <w:t>无生产废水外排，生活污水经化粪池预处理后通过市政污水管网进入城市污水处理厂处理，因此本项目</w:t>
            </w:r>
            <w:r>
              <w:rPr>
                <w:bCs/>
                <w:sz w:val="24"/>
              </w:rPr>
              <w:t>不设总量控制指标。</w:t>
            </w:r>
          </w:p>
        </w:tc>
      </w:tr>
    </w:tbl>
    <w:p>
      <w:pPr>
        <w:pStyle w:val="65"/>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snapToGrid w:val="0"/>
          <w:sz w:val="36"/>
          <w:szCs w:val="36"/>
        </w:rPr>
        <w:br w:type="page"/>
      </w:r>
      <w:r>
        <w:rPr>
          <w:rFonts w:ascii="Times New Roman" w:hAnsi="Times New Roman"/>
          <w:b/>
          <w:bCs/>
          <w:snapToGrid w:val="0"/>
          <w:sz w:val="30"/>
          <w:szCs w:val="30"/>
        </w:rPr>
        <w:t>四、主要环境影响和保护措施</w:t>
      </w:r>
    </w:p>
    <w:tbl>
      <w:tblPr>
        <w:tblStyle w:val="7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3"/>
        <w:gridCol w:w="86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364" w:type="dxa"/>
            <w:noWrap w:val="0"/>
            <w:tcMar>
              <w:left w:w="28" w:type="dxa"/>
              <w:right w:w="28" w:type="dxa"/>
            </w:tcMar>
            <w:vAlign w:val="center"/>
          </w:tcPr>
          <w:p>
            <w:pPr>
              <w:pStyle w:val="65"/>
              <w:adjustRightInd w:val="0"/>
              <w:snapToGrid w:val="0"/>
              <w:spacing w:before="0" w:beforeAutospacing="0" w:after="0" w:afterAutospacing="0" w:line="360" w:lineRule="auto"/>
              <w:jc w:val="center"/>
              <w:rPr>
                <w:rFonts w:ascii="Times New Roman" w:hAnsi="Times New Roman"/>
                <w:b/>
                <w:bCs/>
                <w:kern w:val="2"/>
                <w:szCs w:val="24"/>
              </w:rPr>
            </w:pPr>
            <w:r>
              <w:rPr>
                <w:rFonts w:ascii="Times New Roman" w:hAnsi="Times New Roman"/>
                <w:b/>
                <w:bCs/>
                <w:kern w:val="2"/>
                <w:szCs w:val="24"/>
              </w:rPr>
              <w:t>施工</w:t>
            </w:r>
          </w:p>
          <w:p>
            <w:pPr>
              <w:pStyle w:val="65"/>
              <w:adjustRightInd w:val="0"/>
              <w:snapToGrid w:val="0"/>
              <w:spacing w:before="0" w:beforeAutospacing="0" w:after="0" w:afterAutospacing="0" w:line="360" w:lineRule="auto"/>
              <w:jc w:val="center"/>
              <w:rPr>
                <w:rFonts w:ascii="Times New Roman" w:hAnsi="Times New Roman"/>
                <w:b/>
                <w:bCs/>
                <w:kern w:val="2"/>
                <w:szCs w:val="24"/>
              </w:rPr>
            </w:pPr>
            <w:r>
              <w:rPr>
                <w:rFonts w:ascii="Times New Roman" w:hAnsi="Times New Roman"/>
                <w:b/>
                <w:bCs/>
                <w:kern w:val="2"/>
                <w:szCs w:val="24"/>
              </w:rPr>
              <w:t>期环</w:t>
            </w:r>
          </w:p>
          <w:p>
            <w:pPr>
              <w:pStyle w:val="65"/>
              <w:adjustRightInd w:val="0"/>
              <w:snapToGrid w:val="0"/>
              <w:spacing w:before="0" w:beforeAutospacing="0" w:after="0" w:afterAutospacing="0" w:line="360" w:lineRule="auto"/>
              <w:jc w:val="center"/>
              <w:rPr>
                <w:rFonts w:ascii="Times New Roman" w:hAnsi="Times New Roman"/>
                <w:b/>
                <w:bCs/>
                <w:kern w:val="2"/>
                <w:szCs w:val="24"/>
              </w:rPr>
            </w:pPr>
            <w:r>
              <w:rPr>
                <w:rFonts w:ascii="Times New Roman" w:hAnsi="Times New Roman"/>
                <w:b/>
                <w:bCs/>
                <w:kern w:val="2"/>
                <w:szCs w:val="24"/>
              </w:rPr>
              <w:t>境保</w:t>
            </w:r>
          </w:p>
          <w:p>
            <w:pPr>
              <w:pStyle w:val="65"/>
              <w:adjustRightInd w:val="0"/>
              <w:snapToGrid w:val="0"/>
              <w:spacing w:before="0" w:beforeAutospacing="0" w:after="0" w:afterAutospacing="0" w:line="360" w:lineRule="auto"/>
              <w:jc w:val="center"/>
              <w:rPr>
                <w:rFonts w:ascii="Times New Roman" w:hAnsi="Times New Roman"/>
                <w:b/>
                <w:bCs/>
                <w:kern w:val="2"/>
                <w:szCs w:val="24"/>
              </w:rPr>
            </w:pPr>
            <w:r>
              <w:rPr>
                <w:rFonts w:ascii="Times New Roman" w:hAnsi="Times New Roman"/>
                <w:b/>
                <w:bCs/>
                <w:kern w:val="2"/>
                <w:szCs w:val="24"/>
              </w:rPr>
              <w:t>护措</w:t>
            </w:r>
          </w:p>
          <w:p>
            <w:pPr>
              <w:pStyle w:val="65"/>
              <w:adjustRightInd w:val="0"/>
              <w:snapToGrid w:val="0"/>
              <w:spacing w:before="0" w:beforeAutospacing="0" w:after="0" w:afterAutospacing="0" w:line="360" w:lineRule="auto"/>
              <w:jc w:val="center"/>
              <w:rPr>
                <w:rFonts w:ascii="Times New Roman" w:hAnsi="Times New Roman"/>
                <w:kern w:val="2"/>
                <w:sz w:val="21"/>
                <w:szCs w:val="21"/>
              </w:rPr>
            </w:pPr>
            <w:r>
              <w:rPr>
                <w:rFonts w:ascii="Times New Roman" w:hAnsi="Times New Roman"/>
                <w:b/>
                <w:bCs/>
                <w:kern w:val="2"/>
                <w:szCs w:val="24"/>
              </w:rPr>
              <w:t>施</w:t>
            </w:r>
          </w:p>
        </w:tc>
        <w:tc>
          <w:tcPr>
            <w:tcW w:w="8617" w:type="dxa"/>
            <w:noWrap w:val="0"/>
            <w:vAlign w:val="center"/>
          </w:tcPr>
          <w:p>
            <w:pPr>
              <w:adjustRightInd w:val="0"/>
              <w:snapToGrid w:val="0"/>
              <w:spacing w:line="360" w:lineRule="auto"/>
              <w:ind w:firstLine="482" w:firstLineChars="200"/>
              <w:rPr>
                <w:b/>
                <w:bCs/>
                <w:sz w:val="24"/>
              </w:rPr>
            </w:pPr>
            <w:r>
              <w:rPr>
                <w:b/>
                <w:bCs/>
                <w:sz w:val="24"/>
              </w:rPr>
              <w:t>一、施工期大气污染防治措施</w:t>
            </w:r>
          </w:p>
          <w:p>
            <w:pPr>
              <w:adjustRightInd w:val="0"/>
              <w:snapToGrid w:val="0"/>
              <w:spacing w:line="360" w:lineRule="auto"/>
              <w:ind w:firstLine="480" w:firstLineChars="200"/>
              <w:rPr>
                <w:sz w:val="24"/>
              </w:rPr>
            </w:pPr>
            <w:r>
              <w:rPr>
                <w:sz w:val="24"/>
              </w:rPr>
              <w:t>项目施工期产生的废气主要为施工扬尘，运输车辆和施工机械运行过程中排放的尾气。</w:t>
            </w:r>
          </w:p>
          <w:p>
            <w:pPr>
              <w:spacing w:line="360" w:lineRule="auto"/>
              <w:ind w:firstLine="482" w:firstLineChars="200"/>
              <w:rPr>
                <w:b/>
                <w:bCs/>
                <w:sz w:val="24"/>
              </w:rPr>
            </w:pPr>
            <w:r>
              <w:rPr>
                <w:b/>
                <w:bCs/>
                <w:sz w:val="24"/>
              </w:rPr>
              <w:t>1、施工扬尘</w:t>
            </w:r>
          </w:p>
          <w:p>
            <w:pPr>
              <w:spacing w:line="360" w:lineRule="auto"/>
              <w:ind w:firstLine="480" w:firstLineChars="200"/>
              <w:rPr>
                <w:sz w:val="24"/>
              </w:rPr>
            </w:pPr>
            <w:r>
              <w:rPr>
                <w:sz w:val="24"/>
              </w:rPr>
              <w:t>施工扬尘主要来源于</w:t>
            </w:r>
            <w:r>
              <w:rPr>
                <w:rFonts w:hint="eastAsia"/>
                <w:sz w:val="24"/>
              </w:rPr>
              <w:t>加油加气站</w:t>
            </w:r>
            <w:r>
              <w:rPr>
                <w:sz w:val="24"/>
              </w:rPr>
              <w:t>工程中场地平整、土石方工程、主体工程施工产生的扬尘，以及建材运输及装卸、露天堆放等过程中产生的扬尘等。本项目施工期采取以下措施减少施工扬尘对周围环境的影响。</w:t>
            </w:r>
          </w:p>
          <w:p>
            <w:pPr>
              <w:spacing w:line="360" w:lineRule="auto"/>
              <w:ind w:firstLine="480" w:firstLineChars="200"/>
              <w:rPr>
                <w:sz w:val="24"/>
              </w:rPr>
            </w:pPr>
            <w:r>
              <w:rPr>
                <w:sz w:val="24"/>
              </w:rPr>
              <w:t>1）施工现场四周设置2.5m～3m围墙，并在围墙顶部设置水喷雾设施，封闭施工现场，采用密目安全网，以减少结构施工及装修过程中的粉尘飞扬现象，降低粉尘向大气中的排放；脚手架在拆除前，先将脚手板上的垃圾清理干净，清理时应避免扬尘；</w:t>
            </w:r>
          </w:p>
          <w:p>
            <w:pPr>
              <w:spacing w:line="360" w:lineRule="auto"/>
              <w:ind w:firstLine="480" w:firstLineChars="200"/>
              <w:rPr>
                <w:sz w:val="24"/>
              </w:rPr>
            </w:pPr>
            <w:r>
              <w:rPr>
                <w:sz w:val="24"/>
              </w:rPr>
              <w:t>2）文明施工，定期对地面洒水，并对撒落在路面的渣土尽快清除。采取洒水措施后，可以有效控制扬尘，减少对周围环境的影响；</w:t>
            </w:r>
          </w:p>
          <w:p>
            <w:pPr>
              <w:spacing w:line="360" w:lineRule="auto"/>
              <w:ind w:firstLine="480" w:firstLineChars="200"/>
              <w:rPr>
                <w:sz w:val="24"/>
              </w:rPr>
            </w:pPr>
            <w:r>
              <w:rPr>
                <w:sz w:val="24"/>
              </w:rPr>
              <w:t>3）在施工场地对施工车辆实施限速行驶，同时在施工场地出口放置防尘垫，对运输车辆现场设置洗车场，用水清洗车体和轮胎；未清洗的带泥车辆不得出场；</w:t>
            </w:r>
          </w:p>
          <w:p>
            <w:pPr>
              <w:spacing w:line="360" w:lineRule="auto"/>
              <w:ind w:firstLine="480" w:firstLineChars="200"/>
              <w:rPr>
                <w:sz w:val="24"/>
              </w:rPr>
            </w:pPr>
            <w:r>
              <w:rPr>
                <w:sz w:val="24"/>
              </w:rPr>
              <w:t>4）禁止在大风天进行渣土堆放作业，建材堆放地点相对集中，临时废弃土石堆场及时清运，并对堆场必须以毡布覆盖，不得有裸土，并且裸露地面进行硬化和绿化，减少建材的露天堆放时间；开挖出的土石方应加强围栏，表面用毡布覆盖，并及时回填；</w:t>
            </w:r>
          </w:p>
          <w:p>
            <w:pPr>
              <w:spacing w:line="360" w:lineRule="auto"/>
              <w:ind w:firstLine="480" w:firstLineChars="200"/>
              <w:rPr>
                <w:sz w:val="24"/>
              </w:rPr>
            </w:pPr>
            <w:r>
              <w:rPr>
                <w:rFonts w:hint="eastAsia"/>
                <w:sz w:val="24"/>
              </w:rPr>
              <w:t>5</w:t>
            </w:r>
            <w:r>
              <w:rPr>
                <w:sz w:val="24"/>
              </w:rPr>
              <w:t>）风力大于四级易产生扬尘时，施工单位应暂时停止土方开挖，并采取有效措施，防止扬尘飞散。</w:t>
            </w:r>
          </w:p>
          <w:p>
            <w:pPr>
              <w:spacing w:line="360" w:lineRule="auto"/>
              <w:ind w:firstLine="480" w:firstLineChars="200"/>
              <w:rPr>
                <w:sz w:val="24"/>
              </w:rPr>
            </w:pPr>
            <w:r>
              <w:rPr>
                <w:sz w:val="24"/>
              </w:rPr>
              <w:t>同时，环评要求项目施工过程中要</w:t>
            </w:r>
            <w:r>
              <w:rPr>
                <w:rFonts w:hint="eastAsia"/>
                <w:sz w:val="24"/>
              </w:rPr>
              <w:t>严格按照</w:t>
            </w:r>
            <w:r>
              <w:rPr>
                <w:sz w:val="24"/>
              </w:rPr>
              <w:t>《四川省灰霾污染防治实施方案》</w:t>
            </w:r>
            <w:r>
              <w:rPr>
                <w:rFonts w:hint="eastAsia"/>
                <w:sz w:val="24"/>
              </w:rPr>
              <w:t>、</w:t>
            </w:r>
            <w:r>
              <w:rPr>
                <w:sz w:val="24"/>
              </w:rPr>
              <w:t>（《四川省人民政府办公厅关于加强灰霾污染防治的通知》（川办发[2013]32号））中相关要求，建设工程施工现场必须全封闭，设置围挡墙，严禁敞开式作业，施工现场道路、作业区必须进行地面硬化；制定、完善和严格执行建设施工管理制度，全面推行现场标准化管理，做到“六必须”、 “六不准”；加强建设工地监督检查，督促责任单位落实降尘、压尘和抑尘措施。除此之外，项目在施工期间对车辆行驶的路面实施洒水抑尘，对车辆实施清洁、进出施工场地冲洗轮胎。</w:t>
            </w:r>
          </w:p>
          <w:p>
            <w:pPr>
              <w:spacing w:line="360" w:lineRule="auto"/>
              <w:ind w:firstLine="480" w:firstLineChars="200"/>
              <w:rPr>
                <w:sz w:val="24"/>
              </w:rPr>
            </w:pPr>
            <w:r>
              <w:rPr>
                <w:sz w:val="24"/>
              </w:rPr>
              <w:t>在采取以上措施后，施工扬尘对周围环境的影响可以降至最低。</w:t>
            </w:r>
          </w:p>
          <w:p>
            <w:pPr>
              <w:spacing w:line="360" w:lineRule="auto"/>
              <w:ind w:firstLine="482" w:firstLineChars="200"/>
              <w:rPr>
                <w:b/>
                <w:bCs/>
                <w:sz w:val="24"/>
              </w:rPr>
            </w:pPr>
            <w:r>
              <w:rPr>
                <w:b/>
                <w:bCs/>
                <w:sz w:val="24"/>
              </w:rPr>
              <w:t>2、运输车辆和施工机械运行过程中排放的尾气</w:t>
            </w:r>
          </w:p>
          <w:p>
            <w:pPr>
              <w:spacing w:line="360" w:lineRule="auto"/>
              <w:ind w:firstLine="480" w:firstLineChars="200"/>
              <w:rPr>
                <w:sz w:val="24"/>
              </w:rPr>
            </w:pPr>
            <w:r>
              <w:rPr>
                <w:sz w:val="24"/>
              </w:rPr>
              <w:t xml:space="preserve">施工期间，使用机动车运送原材料、设备和建筑机械设备的运转，均会排放一定量的CO、NOx以及未完全燃烧的HC等，其特点是排放量小，且属间断性无组织排放。环评要求选用达到环保要求的设备，在施工期内应多加注意施工设备的维护，使其能够正常的运行，防止因设备运转不正常而降低原料利用率，从而增加废气排放量。同时施工场地开阔，扩散条件良好，通过自然稀释后场界的贡献值可控制在较低水平。 </w:t>
            </w:r>
          </w:p>
          <w:p>
            <w:pPr>
              <w:adjustRightInd w:val="0"/>
              <w:snapToGrid w:val="0"/>
              <w:spacing w:line="360" w:lineRule="auto"/>
              <w:ind w:firstLine="482" w:firstLineChars="200"/>
              <w:rPr>
                <w:b/>
                <w:bCs/>
                <w:sz w:val="24"/>
              </w:rPr>
            </w:pPr>
            <w:r>
              <w:rPr>
                <w:b/>
                <w:bCs/>
                <w:sz w:val="24"/>
              </w:rPr>
              <w:t>二、施工期水污染防治措施</w:t>
            </w:r>
          </w:p>
          <w:p>
            <w:pPr>
              <w:spacing w:line="360" w:lineRule="auto"/>
              <w:ind w:firstLine="480" w:firstLineChars="200"/>
              <w:rPr>
                <w:b/>
                <w:bCs/>
                <w:sz w:val="24"/>
              </w:rPr>
            </w:pPr>
            <w:r>
              <w:rPr>
                <w:sz w:val="24"/>
              </w:rPr>
              <w:t>项目施工期的废水主要为施工废水</w:t>
            </w:r>
            <w:r>
              <w:rPr>
                <w:rFonts w:hint="eastAsia"/>
                <w:sz w:val="24"/>
              </w:rPr>
              <w:t>和</w:t>
            </w:r>
            <w:r>
              <w:rPr>
                <w:sz w:val="24"/>
              </w:rPr>
              <w:t>施工人员产生的生活污水。</w:t>
            </w:r>
          </w:p>
          <w:p>
            <w:pPr>
              <w:spacing w:line="360" w:lineRule="auto"/>
              <w:ind w:firstLine="482" w:firstLineChars="200"/>
              <w:rPr>
                <w:b/>
                <w:bCs/>
                <w:sz w:val="24"/>
              </w:rPr>
            </w:pPr>
            <w:r>
              <w:rPr>
                <w:b/>
                <w:bCs/>
                <w:sz w:val="24"/>
              </w:rPr>
              <w:t>1、施工废水</w:t>
            </w:r>
          </w:p>
          <w:p>
            <w:pPr>
              <w:spacing w:line="360" w:lineRule="auto"/>
              <w:ind w:firstLine="480" w:firstLineChars="200"/>
              <w:rPr>
                <w:rFonts w:hint="eastAsia"/>
                <w:sz w:val="24"/>
              </w:rPr>
            </w:pPr>
            <w:r>
              <w:rPr>
                <w:sz w:val="24"/>
              </w:rPr>
              <w:t>本项目施工现场不设置专门的机械设备维修点，依托当地已有机械维修厂进行维修。施工废水主要为机械和车辆冲洗废水，其产生量约为3~5m</w:t>
            </w:r>
            <w:r>
              <w:rPr>
                <w:sz w:val="24"/>
                <w:vertAlign w:val="superscript"/>
              </w:rPr>
              <w:t>3</w:t>
            </w:r>
            <w:r>
              <w:rPr>
                <w:sz w:val="24"/>
              </w:rPr>
              <w:t>/d，主要污染物为SS，可能含有少量石油类，类比同类工程，SS浓度约为500～1000mg/L，石油类浓度约为10～30mg/L。项目施工废水通过在施工现场设置容积不小于5m</w:t>
            </w:r>
            <w:r>
              <w:rPr>
                <w:sz w:val="24"/>
                <w:vertAlign w:val="superscript"/>
              </w:rPr>
              <w:t>3</w:t>
            </w:r>
            <w:r>
              <w:rPr>
                <w:sz w:val="24"/>
              </w:rPr>
              <w:t>的隔油沉淀池，施工废水经隔油沉淀处理后回用或用于施工场地的洒水降尘，不外排。</w:t>
            </w:r>
          </w:p>
          <w:p>
            <w:pPr>
              <w:spacing w:line="360" w:lineRule="auto"/>
              <w:ind w:firstLine="482" w:firstLineChars="200"/>
              <w:rPr>
                <w:b/>
                <w:bCs/>
                <w:sz w:val="24"/>
              </w:rPr>
            </w:pPr>
            <w:r>
              <w:rPr>
                <w:rFonts w:hint="eastAsia"/>
                <w:b/>
                <w:bCs/>
                <w:sz w:val="24"/>
              </w:rPr>
              <w:t>2</w:t>
            </w:r>
            <w:r>
              <w:rPr>
                <w:b/>
                <w:bCs/>
                <w:sz w:val="24"/>
              </w:rPr>
              <w:t>、施工人员生活污水</w:t>
            </w:r>
          </w:p>
          <w:p>
            <w:pPr>
              <w:spacing w:line="360" w:lineRule="auto"/>
              <w:ind w:firstLine="480" w:firstLineChars="200"/>
              <w:rPr>
                <w:sz w:val="24"/>
              </w:rPr>
            </w:pPr>
            <w:r>
              <w:rPr>
                <w:sz w:val="24"/>
              </w:rPr>
              <w:t>本项目施工现场不设置食堂和住宿，不设施工营地。施工期高峰期施工人数约20人左右，生活用水量按50L/人.d 计算，用水量为1m</w:t>
            </w:r>
            <w:r>
              <w:rPr>
                <w:sz w:val="24"/>
                <w:vertAlign w:val="superscript"/>
              </w:rPr>
              <w:t>3</w:t>
            </w:r>
            <w:r>
              <w:rPr>
                <w:sz w:val="24"/>
              </w:rPr>
              <w:t>/d。生活污水排放量按用水量的80%计，则生活污水排放量为0.8m</w:t>
            </w:r>
            <w:r>
              <w:rPr>
                <w:sz w:val="24"/>
                <w:vertAlign w:val="superscript"/>
              </w:rPr>
              <w:t>3</w:t>
            </w:r>
            <w:r>
              <w:rPr>
                <w:sz w:val="24"/>
              </w:rPr>
              <w:t>/d，主要污染物为COD</w:t>
            </w:r>
            <w:r>
              <w:rPr>
                <w:sz w:val="24"/>
                <w:vertAlign w:val="subscript"/>
              </w:rPr>
              <w:t>Cr</w:t>
            </w:r>
            <w:r>
              <w:rPr>
                <w:sz w:val="24"/>
              </w:rPr>
              <w:t>、BOD</w:t>
            </w:r>
            <w:r>
              <w:rPr>
                <w:sz w:val="24"/>
                <w:vertAlign w:val="subscript"/>
              </w:rPr>
              <w:t>5</w:t>
            </w:r>
            <w:r>
              <w:rPr>
                <w:sz w:val="24"/>
              </w:rPr>
              <w:t>、氨氮和SS。本项目施工人员生活污水</w:t>
            </w:r>
            <w:r>
              <w:rPr>
                <w:rFonts w:hint="eastAsia"/>
                <w:sz w:val="24"/>
              </w:rPr>
              <w:t>依托城区现有生活污水收集设施收集后排入市政污水管网</w:t>
            </w:r>
            <w:r>
              <w:rPr>
                <w:sz w:val="24"/>
              </w:rPr>
              <w:t>。</w:t>
            </w:r>
          </w:p>
          <w:p>
            <w:pPr>
              <w:overflowPunct w:val="0"/>
              <w:spacing w:line="360" w:lineRule="auto"/>
              <w:ind w:firstLine="480"/>
              <w:rPr>
                <w:rFonts w:hint="eastAsia"/>
                <w:sz w:val="24"/>
              </w:rPr>
            </w:pPr>
            <w:r>
              <w:rPr>
                <w:sz w:val="24"/>
              </w:rPr>
              <w:t>通过采取以上措施后，可避免施工废水对周围环境造成污染性影响。</w:t>
            </w:r>
          </w:p>
          <w:p>
            <w:pPr>
              <w:adjustRightInd w:val="0"/>
              <w:snapToGrid w:val="0"/>
              <w:spacing w:line="360" w:lineRule="auto"/>
              <w:ind w:firstLine="482" w:firstLineChars="200"/>
              <w:rPr>
                <w:b/>
                <w:bCs/>
                <w:sz w:val="24"/>
              </w:rPr>
            </w:pPr>
            <w:r>
              <w:rPr>
                <w:b/>
                <w:bCs/>
                <w:sz w:val="24"/>
              </w:rPr>
              <w:t>三、施工期噪声污染防治措施</w:t>
            </w:r>
          </w:p>
          <w:p>
            <w:pPr>
              <w:overflowPunct w:val="0"/>
              <w:spacing w:line="360" w:lineRule="auto"/>
              <w:ind w:firstLine="480"/>
              <w:rPr>
                <w:kern w:val="0"/>
                <w:sz w:val="24"/>
              </w:rPr>
            </w:pPr>
            <w:r>
              <w:rPr>
                <w:sz w:val="24"/>
              </w:rPr>
              <w:t>施工期的噪声主要可分为机械噪声、施工作业噪声和施工车辆噪声。</w:t>
            </w:r>
            <w:r>
              <w:rPr>
                <w:kern w:val="0"/>
                <w:sz w:val="24"/>
              </w:rPr>
              <w:t>其特点是间歇性或阵发性的，并具备流动性、噪声较高（距设备5m处噪声值在80～90dB(A)）的特征。</w:t>
            </w:r>
          </w:p>
          <w:p>
            <w:pPr>
              <w:overflowPunct w:val="0"/>
              <w:spacing w:line="360" w:lineRule="auto"/>
              <w:ind w:firstLine="480"/>
              <w:rPr>
                <w:kern w:val="0"/>
                <w:sz w:val="24"/>
              </w:rPr>
            </w:pPr>
            <w:r>
              <w:rPr>
                <w:kern w:val="0"/>
                <w:sz w:val="24"/>
              </w:rPr>
              <w:t>施工机械噪声采用如下模式进行预测计算：</w:t>
            </w:r>
          </w:p>
          <w:p>
            <w:pPr>
              <w:overflowPunct w:val="0"/>
              <w:spacing w:line="360" w:lineRule="auto"/>
              <w:ind w:firstLine="240" w:firstLineChars="100"/>
              <w:jc w:val="center"/>
              <w:rPr>
                <w:kern w:val="0"/>
                <w:position w:val="-12"/>
                <w:sz w:val="24"/>
              </w:rPr>
            </w:pPr>
            <w:r>
              <w:rPr>
                <w:kern w:val="0"/>
                <w:sz w:val="24"/>
              </w:rPr>
              <w:drawing>
                <wp:inline distT="0" distB="0" distL="114300" distR="114300">
                  <wp:extent cx="1676400" cy="238125"/>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1676400" cy="238125"/>
                          </a:xfrm>
                          <a:prstGeom prst="rect">
                            <a:avLst/>
                          </a:prstGeom>
                          <a:noFill/>
                          <a:ln>
                            <a:noFill/>
                          </a:ln>
                        </pic:spPr>
                      </pic:pic>
                    </a:graphicData>
                  </a:graphic>
                </wp:inline>
              </w:drawing>
            </w:r>
          </w:p>
          <w:p>
            <w:pPr>
              <w:overflowPunct w:val="0"/>
              <w:snapToGrid w:val="0"/>
              <w:spacing w:line="360" w:lineRule="auto"/>
              <w:ind w:firstLine="480"/>
              <w:rPr>
                <w:kern w:val="0"/>
                <w:sz w:val="24"/>
              </w:rPr>
            </w:pPr>
            <w:r>
              <w:rPr>
                <w:kern w:val="0"/>
                <w:sz w:val="24"/>
              </w:rPr>
              <w:t>式中：</w:t>
            </w:r>
            <w:r>
              <w:rPr>
                <w:i/>
                <w:iCs/>
                <w:kern w:val="0"/>
                <w:sz w:val="24"/>
              </w:rPr>
              <w:t>L</w:t>
            </w:r>
            <w:r>
              <w:rPr>
                <w:i/>
                <w:iCs/>
                <w:kern w:val="0"/>
                <w:sz w:val="24"/>
                <w:vertAlign w:val="subscript"/>
              </w:rPr>
              <w:t>i</w:t>
            </w:r>
            <w:r>
              <w:rPr>
                <w:kern w:val="0"/>
                <w:sz w:val="24"/>
              </w:rPr>
              <w:t>——距声源r</w:t>
            </w:r>
            <w:r>
              <w:rPr>
                <w:kern w:val="0"/>
                <w:sz w:val="24"/>
                <w:vertAlign w:val="subscript"/>
              </w:rPr>
              <w:t>i</w:t>
            </w:r>
            <w:r>
              <w:rPr>
                <w:kern w:val="0"/>
                <w:sz w:val="24"/>
              </w:rPr>
              <w:t>处的声级dB(A)；</w:t>
            </w:r>
          </w:p>
          <w:p>
            <w:pPr>
              <w:overflowPunct w:val="0"/>
              <w:snapToGrid w:val="0"/>
              <w:spacing w:line="360" w:lineRule="auto"/>
              <w:ind w:firstLine="480"/>
              <w:rPr>
                <w:kern w:val="0"/>
                <w:sz w:val="24"/>
              </w:rPr>
            </w:pPr>
            <w:r>
              <w:rPr>
                <w:i/>
                <w:iCs/>
                <w:kern w:val="0"/>
                <w:sz w:val="24"/>
              </w:rPr>
              <w:t>L</w:t>
            </w:r>
            <w:r>
              <w:rPr>
                <w:i/>
                <w:iCs/>
                <w:kern w:val="0"/>
                <w:sz w:val="24"/>
                <w:vertAlign w:val="subscript"/>
              </w:rPr>
              <w:t>0</w:t>
            </w:r>
            <w:r>
              <w:rPr>
                <w:kern w:val="0"/>
                <w:sz w:val="24"/>
              </w:rPr>
              <w:t>——距声源r</w:t>
            </w:r>
            <w:r>
              <w:rPr>
                <w:kern w:val="0"/>
                <w:sz w:val="24"/>
                <w:vertAlign w:val="subscript"/>
              </w:rPr>
              <w:t>0</w:t>
            </w:r>
            <w:r>
              <w:rPr>
                <w:kern w:val="0"/>
                <w:sz w:val="24"/>
              </w:rPr>
              <w:t>处的声级dB(A)；</w:t>
            </w:r>
          </w:p>
          <w:p>
            <w:pPr>
              <w:overflowPunct w:val="0"/>
              <w:snapToGrid w:val="0"/>
              <w:spacing w:line="360" w:lineRule="auto"/>
              <w:ind w:firstLine="480"/>
              <w:rPr>
                <w:kern w:val="0"/>
                <w:sz w:val="24"/>
              </w:rPr>
            </w:pPr>
            <w:r>
              <w:rPr>
                <w:rFonts w:hint="eastAsia" w:ascii="宋体" w:hAnsi="宋体" w:cs="宋体"/>
                <w:i/>
                <w:iCs/>
                <w:kern w:val="0"/>
                <w:sz w:val="24"/>
              </w:rPr>
              <w:t>△</w:t>
            </w:r>
            <w:r>
              <w:rPr>
                <w:i/>
                <w:iCs/>
                <w:kern w:val="0"/>
                <w:sz w:val="24"/>
              </w:rPr>
              <w:t>L</w:t>
            </w:r>
            <w:r>
              <w:rPr>
                <w:kern w:val="0"/>
                <w:sz w:val="24"/>
              </w:rPr>
              <w:t>——其它因素引起的噪声衰减量dB(A)。</w:t>
            </w:r>
          </w:p>
          <w:p>
            <w:pPr>
              <w:overflowPunct w:val="0"/>
              <w:snapToGrid w:val="0"/>
              <w:spacing w:line="360" w:lineRule="auto"/>
              <w:ind w:firstLine="480"/>
              <w:rPr>
                <w:kern w:val="0"/>
                <w:sz w:val="24"/>
              </w:rPr>
            </w:pPr>
            <w:r>
              <w:rPr>
                <w:kern w:val="0"/>
                <w:sz w:val="24"/>
              </w:rPr>
              <w:t>各声源在预测点产生的合成声级采用以下公式计算：</w:t>
            </w:r>
          </w:p>
          <w:p>
            <w:pPr>
              <w:overflowPunct w:val="0"/>
              <w:snapToGrid w:val="0"/>
              <w:spacing w:line="360" w:lineRule="auto"/>
              <w:ind w:firstLine="480"/>
              <w:jc w:val="center"/>
              <w:rPr>
                <w:kern w:val="0"/>
                <w:sz w:val="24"/>
              </w:rPr>
            </w:pPr>
            <w:r>
              <w:rPr>
                <w:kern w:val="0"/>
                <w:sz w:val="24"/>
              </w:rPr>
              <w:drawing>
                <wp:inline distT="0" distB="0" distL="114300" distR="114300">
                  <wp:extent cx="1381125" cy="466725"/>
                  <wp:effectExtent l="0" t="0" r="952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1381125" cy="466725"/>
                          </a:xfrm>
                          <a:prstGeom prst="rect">
                            <a:avLst/>
                          </a:prstGeom>
                          <a:noFill/>
                          <a:ln>
                            <a:noFill/>
                          </a:ln>
                        </pic:spPr>
                      </pic:pic>
                    </a:graphicData>
                  </a:graphic>
                </wp:inline>
              </w:drawing>
            </w:r>
          </w:p>
          <w:p>
            <w:pPr>
              <w:overflowPunct w:val="0"/>
              <w:spacing w:line="360" w:lineRule="auto"/>
              <w:ind w:firstLine="480"/>
              <w:rPr>
                <w:kern w:val="0"/>
                <w:sz w:val="24"/>
              </w:rPr>
            </w:pPr>
            <w:r>
              <w:rPr>
                <w:kern w:val="0"/>
                <w:sz w:val="24"/>
              </w:rPr>
              <w:t>施工场地噪声预测结果见表4-</w:t>
            </w:r>
            <w:r>
              <w:rPr>
                <w:rFonts w:hint="eastAsia"/>
                <w:kern w:val="0"/>
                <w:sz w:val="24"/>
              </w:rPr>
              <w:t>1</w:t>
            </w:r>
            <w:r>
              <w:rPr>
                <w:kern w:val="0"/>
                <w:sz w:val="24"/>
              </w:rPr>
              <w:t>。</w:t>
            </w:r>
          </w:p>
          <w:p>
            <w:pPr>
              <w:pStyle w:val="876"/>
              <w:spacing w:before="120" w:after="120"/>
              <w:rPr>
                <w:szCs w:val="21"/>
              </w:rPr>
            </w:pPr>
            <w:r>
              <w:rPr>
                <w:szCs w:val="21"/>
              </w:rPr>
              <w:t>表4-</w:t>
            </w:r>
            <w:r>
              <w:rPr>
                <w:rFonts w:hint="eastAsia"/>
                <w:szCs w:val="21"/>
              </w:rPr>
              <w:t>1</w:t>
            </w:r>
            <w:r>
              <w:rPr>
                <w:szCs w:val="21"/>
              </w:rPr>
              <w:t>施工期噪声预测值dB（A）</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940"/>
              <w:gridCol w:w="672"/>
              <w:gridCol w:w="729"/>
              <w:gridCol w:w="729"/>
              <w:gridCol w:w="729"/>
              <w:gridCol w:w="819"/>
              <w:gridCol w:w="819"/>
              <w:gridCol w:w="819"/>
              <w:gridCol w:w="821"/>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noWrap w:val="0"/>
                  <w:vAlign w:val="center"/>
                </w:tcPr>
                <w:p>
                  <w:pPr>
                    <w:pStyle w:val="126"/>
                    <w:spacing w:before="24" w:after="24" w:line="240" w:lineRule="auto"/>
                    <w:rPr>
                      <w:rFonts w:ascii="Times New Roman"/>
                      <w:b/>
                      <w:bCs/>
                      <w:szCs w:val="21"/>
                    </w:rPr>
                  </w:pPr>
                  <w:r>
                    <w:rPr>
                      <w:rFonts w:ascii="Times New Roman"/>
                      <w:b/>
                      <w:bCs/>
                      <w:szCs w:val="21"/>
                    </w:rPr>
                    <w:t>序号</w:t>
                  </w:r>
                </w:p>
              </w:tc>
              <w:tc>
                <w:tcPr>
                  <w:tcW w:w="560" w:type="pct"/>
                  <w:vMerge w:val="restart"/>
                  <w:noWrap w:val="0"/>
                  <w:vAlign w:val="center"/>
                </w:tcPr>
                <w:p>
                  <w:pPr>
                    <w:pStyle w:val="126"/>
                    <w:spacing w:before="24" w:after="24" w:line="240" w:lineRule="auto"/>
                    <w:rPr>
                      <w:rFonts w:ascii="Times New Roman"/>
                      <w:b/>
                      <w:bCs/>
                      <w:szCs w:val="21"/>
                    </w:rPr>
                  </w:pPr>
                  <w:r>
                    <w:rPr>
                      <w:rFonts w:ascii="Times New Roman"/>
                      <w:b/>
                      <w:bCs/>
                      <w:szCs w:val="21"/>
                    </w:rPr>
                    <w:t>机械类型</w:t>
                  </w:r>
                </w:p>
              </w:tc>
              <w:tc>
                <w:tcPr>
                  <w:tcW w:w="4150" w:type="pct"/>
                  <w:gridSpan w:val="9"/>
                  <w:noWrap w:val="0"/>
                  <w:vAlign w:val="center"/>
                </w:tcPr>
                <w:p>
                  <w:pPr>
                    <w:pStyle w:val="126"/>
                    <w:spacing w:before="24" w:after="24" w:line="240" w:lineRule="auto"/>
                    <w:rPr>
                      <w:rFonts w:ascii="Times New Roman"/>
                      <w:b/>
                      <w:bCs/>
                      <w:szCs w:val="21"/>
                    </w:rPr>
                  </w:pPr>
                  <w:r>
                    <w:rPr>
                      <w:rFonts w:ascii="Times New Roman"/>
                      <w:b/>
                      <w:bCs/>
                      <w:szCs w:val="21"/>
                    </w:rPr>
                    <w:t>不同距离处的噪声值dB（A）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noWrap w:val="0"/>
                  <w:vAlign w:val="center"/>
                </w:tcPr>
                <w:p>
                  <w:pPr>
                    <w:pStyle w:val="126"/>
                    <w:spacing w:before="24" w:after="24" w:line="240" w:lineRule="auto"/>
                    <w:rPr>
                      <w:rFonts w:ascii="Times New Roman"/>
                      <w:b/>
                      <w:bCs/>
                      <w:szCs w:val="21"/>
                    </w:rPr>
                  </w:pPr>
                </w:p>
              </w:tc>
              <w:tc>
                <w:tcPr>
                  <w:tcW w:w="560" w:type="pct"/>
                  <w:vMerge w:val="continue"/>
                  <w:noWrap w:val="0"/>
                  <w:vAlign w:val="center"/>
                </w:tcPr>
                <w:p>
                  <w:pPr>
                    <w:pStyle w:val="126"/>
                    <w:spacing w:before="24" w:after="24" w:line="240" w:lineRule="auto"/>
                    <w:rPr>
                      <w:rFonts w:ascii="Times New Roman"/>
                      <w:b/>
                      <w:bCs/>
                      <w:szCs w:val="21"/>
                    </w:rPr>
                  </w:pPr>
                </w:p>
              </w:tc>
              <w:tc>
                <w:tcPr>
                  <w:tcW w:w="400" w:type="pct"/>
                  <w:noWrap w:val="0"/>
                  <w:vAlign w:val="center"/>
                </w:tcPr>
                <w:p>
                  <w:pPr>
                    <w:pStyle w:val="126"/>
                    <w:spacing w:before="24" w:after="24" w:line="240" w:lineRule="auto"/>
                    <w:rPr>
                      <w:rFonts w:ascii="Times New Roman"/>
                      <w:b/>
                      <w:bCs/>
                      <w:szCs w:val="21"/>
                    </w:rPr>
                  </w:pPr>
                  <w:r>
                    <w:rPr>
                      <w:rFonts w:ascii="Times New Roman"/>
                      <w:b/>
                      <w:bCs/>
                      <w:szCs w:val="21"/>
                    </w:rPr>
                    <w:t>5m</w:t>
                  </w:r>
                </w:p>
              </w:tc>
              <w:tc>
                <w:tcPr>
                  <w:tcW w:w="434" w:type="pct"/>
                  <w:noWrap w:val="0"/>
                  <w:vAlign w:val="center"/>
                </w:tcPr>
                <w:p>
                  <w:pPr>
                    <w:pStyle w:val="126"/>
                    <w:spacing w:before="24" w:after="24" w:line="240" w:lineRule="auto"/>
                    <w:rPr>
                      <w:rFonts w:ascii="Times New Roman"/>
                      <w:b/>
                      <w:bCs/>
                      <w:szCs w:val="21"/>
                    </w:rPr>
                  </w:pPr>
                  <w:r>
                    <w:rPr>
                      <w:rFonts w:ascii="Times New Roman"/>
                      <w:b/>
                      <w:bCs/>
                      <w:szCs w:val="21"/>
                    </w:rPr>
                    <w:t>40m</w:t>
                  </w:r>
                </w:p>
              </w:tc>
              <w:tc>
                <w:tcPr>
                  <w:tcW w:w="434" w:type="pct"/>
                  <w:noWrap w:val="0"/>
                  <w:vAlign w:val="center"/>
                </w:tcPr>
                <w:p>
                  <w:pPr>
                    <w:pStyle w:val="126"/>
                    <w:spacing w:before="24" w:after="24" w:line="240" w:lineRule="auto"/>
                    <w:rPr>
                      <w:rFonts w:ascii="Times New Roman"/>
                      <w:b/>
                      <w:bCs/>
                      <w:szCs w:val="21"/>
                    </w:rPr>
                  </w:pPr>
                  <w:r>
                    <w:rPr>
                      <w:rFonts w:ascii="Times New Roman"/>
                      <w:b/>
                      <w:bCs/>
                      <w:szCs w:val="21"/>
                    </w:rPr>
                    <w:t>50m</w:t>
                  </w:r>
                </w:p>
              </w:tc>
              <w:tc>
                <w:tcPr>
                  <w:tcW w:w="434" w:type="pct"/>
                  <w:noWrap w:val="0"/>
                  <w:vAlign w:val="center"/>
                </w:tcPr>
                <w:p>
                  <w:pPr>
                    <w:pStyle w:val="126"/>
                    <w:spacing w:before="24" w:after="24" w:line="240" w:lineRule="auto"/>
                    <w:rPr>
                      <w:rFonts w:ascii="Times New Roman"/>
                      <w:b/>
                      <w:bCs/>
                      <w:szCs w:val="21"/>
                    </w:rPr>
                  </w:pPr>
                  <w:r>
                    <w:rPr>
                      <w:rFonts w:ascii="Times New Roman"/>
                      <w:b/>
                      <w:bCs/>
                      <w:szCs w:val="21"/>
                    </w:rPr>
                    <w:t>60m</w:t>
                  </w:r>
                </w:p>
              </w:tc>
              <w:tc>
                <w:tcPr>
                  <w:tcW w:w="488" w:type="pct"/>
                  <w:noWrap w:val="0"/>
                  <w:vAlign w:val="center"/>
                </w:tcPr>
                <w:p>
                  <w:pPr>
                    <w:pStyle w:val="126"/>
                    <w:spacing w:before="24" w:after="24" w:line="240" w:lineRule="auto"/>
                    <w:rPr>
                      <w:rFonts w:ascii="Times New Roman"/>
                      <w:b/>
                      <w:bCs/>
                      <w:szCs w:val="21"/>
                    </w:rPr>
                  </w:pPr>
                  <w:r>
                    <w:rPr>
                      <w:rFonts w:ascii="Times New Roman"/>
                      <w:b/>
                      <w:bCs/>
                      <w:szCs w:val="21"/>
                    </w:rPr>
                    <w:t>100m</w:t>
                  </w:r>
                </w:p>
              </w:tc>
              <w:tc>
                <w:tcPr>
                  <w:tcW w:w="488" w:type="pct"/>
                  <w:noWrap w:val="0"/>
                  <w:vAlign w:val="center"/>
                </w:tcPr>
                <w:p>
                  <w:pPr>
                    <w:pStyle w:val="126"/>
                    <w:spacing w:before="24" w:after="24" w:line="240" w:lineRule="auto"/>
                    <w:rPr>
                      <w:rFonts w:ascii="Times New Roman"/>
                      <w:b/>
                      <w:bCs/>
                      <w:szCs w:val="21"/>
                    </w:rPr>
                  </w:pPr>
                  <w:r>
                    <w:rPr>
                      <w:rFonts w:ascii="Times New Roman"/>
                      <w:b/>
                      <w:bCs/>
                      <w:szCs w:val="21"/>
                    </w:rPr>
                    <w:t>150m</w:t>
                  </w:r>
                </w:p>
              </w:tc>
              <w:tc>
                <w:tcPr>
                  <w:tcW w:w="488" w:type="pct"/>
                  <w:noWrap w:val="0"/>
                  <w:vAlign w:val="center"/>
                </w:tcPr>
                <w:p>
                  <w:pPr>
                    <w:pStyle w:val="126"/>
                    <w:spacing w:before="24" w:after="24" w:line="240" w:lineRule="auto"/>
                    <w:rPr>
                      <w:rFonts w:ascii="Times New Roman"/>
                      <w:b/>
                      <w:bCs/>
                      <w:szCs w:val="21"/>
                    </w:rPr>
                  </w:pPr>
                  <w:r>
                    <w:rPr>
                      <w:rFonts w:ascii="Times New Roman"/>
                      <w:b/>
                      <w:bCs/>
                      <w:szCs w:val="21"/>
                    </w:rPr>
                    <w:t>200m</w:t>
                  </w:r>
                </w:p>
              </w:tc>
              <w:tc>
                <w:tcPr>
                  <w:tcW w:w="489" w:type="pct"/>
                  <w:noWrap w:val="0"/>
                  <w:vAlign w:val="center"/>
                </w:tcPr>
                <w:p>
                  <w:pPr>
                    <w:pStyle w:val="126"/>
                    <w:spacing w:before="24" w:after="24" w:line="240" w:lineRule="auto"/>
                    <w:rPr>
                      <w:rFonts w:ascii="Times New Roman"/>
                      <w:b/>
                      <w:bCs/>
                      <w:szCs w:val="21"/>
                    </w:rPr>
                  </w:pPr>
                  <w:r>
                    <w:rPr>
                      <w:rFonts w:ascii="Times New Roman"/>
                      <w:b/>
                      <w:bCs/>
                      <w:szCs w:val="21"/>
                    </w:rPr>
                    <w:t>300m</w:t>
                  </w:r>
                </w:p>
              </w:tc>
              <w:tc>
                <w:tcPr>
                  <w:tcW w:w="489" w:type="pct"/>
                  <w:noWrap w:val="0"/>
                  <w:vAlign w:val="center"/>
                </w:tcPr>
                <w:p>
                  <w:pPr>
                    <w:pStyle w:val="126"/>
                    <w:spacing w:before="24" w:after="24" w:line="240" w:lineRule="auto"/>
                    <w:rPr>
                      <w:rFonts w:ascii="Times New Roman"/>
                      <w:b/>
                      <w:bCs/>
                      <w:szCs w:val="21"/>
                    </w:rPr>
                  </w:pPr>
                  <w:r>
                    <w:rPr>
                      <w:rFonts w:ascii="Times New Roman"/>
                      <w:b/>
                      <w:bCs/>
                      <w:szCs w:val="21"/>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1</w:t>
                  </w:r>
                </w:p>
              </w:tc>
              <w:tc>
                <w:tcPr>
                  <w:tcW w:w="560" w:type="pct"/>
                  <w:noWrap w:val="0"/>
                  <w:vAlign w:val="center"/>
                </w:tcPr>
                <w:p>
                  <w:pPr>
                    <w:pStyle w:val="126"/>
                    <w:spacing w:before="24" w:after="24" w:line="240" w:lineRule="auto"/>
                    <w:rPr>
                      <w:rFonts w:ascii="Times New Roman"/>
                      <w:szCs w:val="21"/>
                    </w:rPr>
                  </w:pPr>
                  <w:r>
                    <w:rPr>
                      <w:rFonts w:ascii="Times New Roman"/>
                      <w:szCs w:val="21"/>
                    </w:rPr>
                    <w:t>挖掘机</w:t>
                  </w:r>
                </w:p>
              </w:tc>
              <w:tc>
                <w:tcPr>
                  <w:tcW w:w="400" w:type="pct"/>
                  <w:noWrap w:val="0"/>
                  <w:vAlign w:val="center"/>
                </w:tcPr>
                <w:p>
                  <w:pPr>
                    <w:pStyle w:val="126"/>
                    <w:spacing w:before="24" w:after="24" w:line="240" w:lineRule="auto"/>
                    <w:rPr>
                      <w:rFonts w:ascii="Times New Roman"/>
                      <w:szCs w:val="21"/>
                    </w:rPr>
                  </w:pPr>
                  <w:r>
                    <w:rPr>
                      <w:rFonts w:ascii="Times New Roman"/>
                      <w:szCs w:val="21"/>
                    </w:rPr>
                    <w:t>84.0</w:t>
                  </w:r>
                </w:p>
              </w:tc>
              <w:tc>
                <w:tcPr>
                  <w:tcW w:w="434" w:type="pct"/>
                  <w:noWrap w:val="0"/>
                  <w:vAlign w:val="center"/>
                </w:tcPr>
                <w:p>
                  <w:pPr>
                    <w:pStyle w:val="126"/>
                    <w:spacing w:before="24" w:after="24" w:line="240" w:lineRule="auto"/>
                    <w:rPr>
                      <w:rFonts w:ascii="Times New Roman"/>
                      <w:szCs w:val="21"/>
                    </w:rPr>
                  </w:pPr>
                  <w:r>
                    <w:rPr>
                      <w:rFonts w:ascii="Times New Roman"/>
                      <w:szCs w:val="21"/>
                    </w:rPr>
                    <w:t>65.9</w:t>
                  </w:r>
                </w:p>
              </w:tc>
              <w:tc>
                <w:tcPr>
                  <w:tcW w:w="434" w:type="pct"/>
                  <w:noWrap w:val="0"/>
                  <w:vAlign w:val="center"/>
                </w:tcPr>
                <w:p>
                  <w:pPr>
                    <w:pStyle w:val="126"/>
                    <w:spacing w:before="24" w:after="24" w:line="240" w:lineRule="auto"/>
                    <w:rPr>
                      <w:rFonts w:ascii="Times New Roman"/>
                      <w:szCs w:val="21"/>
                    </w:rPr>
                  </w:pPr>
                  <w:r>
                    <w:rPr>
                      <w:rFonts w:ascii="Times New Roman"/>
                      <w:szCs w:val="21"/>
                    </w:rPr>
                    <w:t>64.0</w:t>
                  </w:r>
                </w:p>
              </w:tc>
              <w:tc>
                <w:tcPr>
                  <w:tcW w:w="434" w:type="pct"/>
                  <w:noWrap w:val="0"/>
                  <w:vAlign w:val="center"/>
                </w:tcPr>
                <w:p>
                  <w:pPr>
                    <w:pStyle w:val="126"/>
                    <w:spacing w:before="24" w:after="24" w:line="240" w:lineRule="auto"/>
                    <w:rPr>
                      <w:rFonts w:ascii="Times New Roman"/>
                      <w:szCs w:val="21"/>
                    </w:rPr>
                  </w:pPr>
                  <w:r>
                    <w:rPr>
                      <w:rFonts w:ascii="Times New Roman"/>
                      <w:szCs w:val="21"/>
                    </w:rPr>
                    <w:t>62.4</w:t>
                  </w:r>
                </w:p>
              </w:tc>
              <w:tc>
                <w:tcPr>
                  <w:tcW w:w="488" w:type="pct"/>
                  <w:noWrap w:val="0"/>
                  <w:vAlign w:val="center"/>
                </w:tcPr>
                <w:p>
                  <w:pPr>
                    <w:pStyle w:val="126"/>
                    <w:spacing w:before="24" w:after="24" w:line="240" w:lineRule="auto"/>
                    <w:rPr>
                      <w:rFonts w:ascii="Times New Roman"/>
                      <w:szCs w:val="21"/>
                    </w:rPr>
                  </w:pPr>
                  <w:r>
                    <w:rPr>
                      <w:rFonts w:ascii="Times New Roman"/>
                      <w:szCs w:val="21"/>
                    </w:rPr>
                    <w:t>58.0</w:t>
                  </w:r>
                </w:p>
              </w:tc>
              <w:tc>
                <w:tcPr>
                  <w:tcW w:w="488" w:type="pct"/>
                  <w:noWrap w:val="0"/>
                  <w:vAlign w:val="center"/>
                </w:tcPr>
                <w:p>
                  <w:pPr>
                    <w:pStyle w:val="126"/>
                    <w:spacing w:before="24" w:after="24" w:line="240" w:lineRule="auto"/>
                    <w:rPr>
                      <w:rFonts w:ascii="Times New Roman"/>
                      <w:szCs w:val="21"/>
                    </w:rPr>
                  </w:pPr>
                  <w:r>
                    <w:rPr>
                      <w:rFonts w:ascii="Times New Roman"/>
                      <w:szCs w:val="21"/>
                    </w:rPr>
                    <w:t>54.5</w:t>
                  </w:r>
                </w:p>
              </w:tc>
              <w:tc>
                <w:tcPr>
                  <w:tcW w:w="488" w:type="pct"/>
                  <w:noWrap w:val="0"/>
                  <w:vAlign w:val="center"/>
                </w:tcPr>
                <w:p>
                  <w:pPr>
                    <w:pStyle w:val="126"/>
                    <w:spacing w:before="24" w:after="24" w:line="240" w:lineRule="auto"/>
                    <w:rPr>
                      <w:rFonts w:ascii="Times New Roman"/>
                      <w:szCs w:val="21"/>
                    </w:rPr>
                  </w:pPr>
                  <w:r>
                    <w:rPr>
                      <w:rFonts w:ascii="Times New Roman"/>
                      <w:szCs w:val="21"/>
                    </w:rPr>
                    <w:t>52.0</w:t>
                  </w:r>
                </w:p>
              </w:tc>
              <w:tc>
                <w:tcPr>
                  <w:tcW w:w="489" w:type="pct"/>
                  <w:noWrap w:val="0"/>
                  <w:vAlign w:val="center"/>
                </w:tcPr>
                <w:p>
                  <w:pPr>
                    <w:pStyle w:val="126"/>
                    <w:spacing w:before="24" w:after="24" w:line="240" w:lineRule="auto"/>
                    <w:rPr>
                      <w:rFonts w:ascii="Times New Roman"/>
                      <w:szCs w:val="21"/>
                    </w:rPr>
                  </w:pPr>
                  <w:r>
                    <w:rPr>
                      <w:rFonts w:ascii="Times New Roman"/>
                      <w:szCs w:val="21"/>
                    </w:rPr>
                    <w:t>48.4</w:t>
                  </w:r>
                </w:p>
              </w:tc>
              <w:tc>
                <w:tcPr>
                  <w:tcW w:w="489" w:type="pct"/>
                  <w:noWrap w:val="0"/>
                  <w:vAlign w:val="center"/>
                </w:tcPr>
                <w:p>
                  <w:pPr>
                    <w:pStyle w:val="126"/>
                    <w:spacing w:before="24" w:after="24" w:line="240" w:lineRule="auto"/>
                    <w:rPr>
                      <w:rFonts w:ascii="Times New Roman"/>
                      <w:szCs w:val="21"/>
                    </w:rPr>
                  </w:pPr>
                  <w:r>
                    <w:rPr>
                      <w:rFonts w:ascii="Times New Roman"/>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2</w:t>
                  </w:r>
                </w:p>
              </w:tc>
              <w:tc>
                <w:tcPr>
                  <w:tcW w:w="560" w:type="pct"/>
                  <w:noWrap w:val="0"/>
                  <w:vAlign w:val="center"/>
                </w:tcPr>
                <w:p>
                  <w:pPr>
                    <w:pStyle w:val="126"/>
                    <w:spacing w:before="24" w:after="24" w:line="240" w:lineRule="auto"/>
                    <w:rPr>
                      <w:rFonts w:ascii="Times New Roman"/>
                      <w:szCs w:val="21"/>
                    </w:rPr>
                  </w:pPr>
                  <w:r>
                    <w:rPr>
                      <w:rFonts w:ascii="Times New Roman"/>
                      <w:szCs w:val="21"/>
                    </w:rPr>
                    <w:t>推土机</w:t>
                  </w:r>
                </w:p>
              </w:tc>
              <w:tc>
                <w:tcPr>
                  <w:tcW w:w="400" w:type="pct"/>
                  <w:noWrap w:val="0"/>
                  <w:vAlign w:val="center"/>
                </w:tcPr>
                <w:p>
                  <w:pPr>
                    <w:pStyle w:val="126"/>
                    <w:spacing w:before="24" w:after="24" w:line="240" w:lineRule="auto"/>
                    <w:rPr>
                      <w:rFonts w:ascii="Times New Roman"/>
                      <w:szCs w:val="21"/>
                    </w:rPr>
                  </w:pPr>
                  <w:r>
                    <w:rPr>
                      <w:rFonts w:ascii="Times New Roman"/>
                      <w:szCs w:val="21"/>
                    </w:rPr>
                    <w:t>86.0</w:t>
                  </w:r>
                </w:p>
              </w:tc>
              <w:tc>
                <w:tcPr>
                  <w:tcW w:w="434" w:type="pct"/>
                  <w:noWrap w:val="0"/>
                  <w:vAlign w:val="center"/>
                </w:tcPr>
                <w:p>
                  <w:pPr>
                    <w:pStyle w:val="126"/>
                    <w:spacing w:before="24" w:after="24" w:line="240" w:lineRule="auto"/>
                    <w:rPr>
                      <w:rFonts w:ascii="Times New Roman"/>
                      <w:szCs w:val="21"/>
                    </w:rPr>
                  </w:pPr>
                  <w:r>
                    <w:rPr>
                      <w:rFonts w:ascii="Times New Roman"/>
                      <w:szCs w:val="21"/>
                    </w:rPr>
                    <w:t>67.9</w:t>
                  </w:r>
                </w:p>
              </w:tc>
              <w:tc>
                <w:tcPr>
                  <w:tcW w:w="434" w:type="pct"/>
                  <w:noWrap w:val="0"/>
                  <w:vAlign w:val="center"/>
                </w:tcPr>
                <w:p>
                  <w:pPr>
                    <w:pStyle w:val="126"/>
                    <w:spacing w:before="24" w:after="24" w:line="240" w:lineRule="auto"/>
                    <w:rPr>
                      <w:rFonts w:ascii="Times New Roman"/>
                      <w:szCs w:val="21"/>
                    </w:rPr>
                  </w:pPr>
                  <w:r>
                    <w:rPr>
                      <w:rFonts w:ascii="Times New Roman"/>
                      <w:szCs w:val="21"/>
                    </w:rPr>
                    <w:t>66.0</w:t>
                  </w:r>
                </w:p>
              </w:tc>
              <w:tc>
                <w:tcPr>
                  <w:tcW w:w="434" w:type="pct"/>
                  <w:noWrap w:val="0"/>
                  <w:vAlign w:val="center"/>
                </w:tcPr>
                <w:p>
                  <w:pPr>
                    <w:pStyle w:val="126"/>
                    <w:spacing w:before="24" w:after="24" w:line="240" w:lineRule="auto"/>
                    <w:rPr>
                      <w:rFonts w:ascii="Times New Roman"/>
                      <w:szCs w:val="21"/>
                    </w:rPr>
                  </w:pPr>
                  <w:r>
                    <w:rPr>
                      <w:rFonts w:ascii="Times New Roman"/>
                      <w:szCs w:val="21"/>
                    </w:rPr>
                    <w:t>64.4</w:t>
                  </w:r>
                </w:p>
              </w:tc>
              <w:tc>
                <w:tcPr>
                  <w:tcW w:w="488" w:type="pct"/>
                  <w:noWrap w:val="0"/>
                  <w:vAlign w:val="center"/>
                </w:tcPr>
                <w:p>
                  <w:pPr>
                    <w:pStyle w:val="126"/>
                    <w:spacing w:before="24" w:after="24" w:line="240" w:lineRule="auto"/>
                    <w:rPr>
                      <w:rFonts w:ascii="Times New Roman"/>
                      <w:szCs w:val="21"/>
                    </w:rPr>
                  </w:pPr>
                  <w:r>
                    <w:rPr>
                      <w:rFonts w:ascii="Times New Roman"/>
                      <w:szCs w:val="21"/>
                    </w:rPr>
                    <w:t>60.0</w:t>
                  </w:r>
                </w:p>
              </w:tc>
              <w:tc>
                <w:tcPr>
                  <w:tcW w:w="488" w:type="pct"/>
                  <w:noWrap w:val="0"/>
                  <w:vAlign w:val="center"/>
                </w:tcPr>
                <w:p>
                  <w:pPr>
                    <w:pStyle w:val="126"/>
                    <w:spacing w:before="24" w:after="24" w:line="240" w:lineRule="auto"/>
                    <w:rPr>
                      <w:rFonts w:ascii="Times New Roman"/>
                      <w:szCs w:val="21"/>
                    </w:rPr>
                  </w:pPr>
                  <w:r>
                    <w:rPr>
                      <w:rFonts w:ascii="Times New Roman"/>
                      <w:szCs w:val="21"/>
                    </w:rPr>
                    <w:t>56.5</w:t>
                  </w:r>
                </w:p>
              </w:tc>
              <w:tc>
                <w:tcPr>
                  <w:tcW w:w="488" w:type="pct"/>
                  <w:noWrap w:val="0"/>
                  <w:vAlign w:val="center"/>
                </w:tcPr>
                <w:p>
                  <w:pPr>
                    <w:pStyle w:val="126"/>
                    <w:spacing w:before="24" w:after="24" w:line="240" w:lineRule="auto"/>
                    <w:rPr>
                      <w:rFonts w:ascii="Times New Roman"/>
                      <w:szCs w:val="21"/>
                    </w:rPr>
                  </w:pPr>
                  <w:r>
                    <w:rPr>
                      <w:rFonts w:ascii="Times New Roman"/>
                      <w:szCs w:val="21"/>
                    </w:rPr>
                    <w:t>54.0</w:t>
                  </w:r>
                </w:p>
              </w:tc>
              <w:tc>
                <w:tcPr>
                  <w:tcW w:w="489" w:type="pct"/>
                  <w:noWrap w:val="0"/>
                  <w:vAlign w:val="center"/>
                </w:tcPr>
                <w:p>
                  <w:pPr>
                    <w:pStyle w:val="126"/>
                    <w:spacing w:before="24" w:after="24" w:line="240" w:lineRule="auto"/>
                    <w:rPr>
                      <w:rFonts w:ascii="Times New Roman"/>
                      <w:szCs w:val="21"/>
                    </w:rPr>
                  </w:pPr>
                  <w:r>
                    <w:rPr>
                      <w:rFonts w:ascii="Times New Roman"/>
                      <w:szCs w:val="21"/>
                    </w:rPr>
                    <w:t>50.4</w:t>
                  </w:r>
                </w:p>
              </w:tc>
              <w:tc>
                <w:tcPr>
                  <w:tcW w:w="489" w:type="pct"/>
                  <w:noWrap w:val="0"/>
                  <w:vAlign w:val="center"/>
                </w:tcPr>
                <w:p>
                  <w:pPr>
                    <w:pStyle w:val="126"/>
                    <w:spacing w:before="24" w:after="24" w:line="240" w:lineRule="auto"/>
                    <w:rPr>
                      <w:rFonts w:ascii="Times New Roman"/>
                      <w:szCs w:val="21"/>
                    </w:rPr>
                  </w:pPr>
                  <w:r>
                    <w:rPr>
                      <w:rFonts w:ascii="Times New Roman"/>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3</w:t>
                  </w:r>
                </w:p>
              </w:tc>
              <w:tc>
                <w:tcPr>
                  <w:tcW w:w="560" w:type="pct"/>
                  <w:noWrap w:val="0"/>
                  <w:vAlign w:val="center"/>
                </w:tcPr>
                <w:p>
                  <w:pPr>
                    <w:pStyle w:val="126"/>
                    <w:spacing w:before="24" w:after="24" w:line="240" w:lineRule="auto"/>
                    <w:rPr>
                      <w:rFonts w:ascii="Times New Roman"/>
                      <w:szCs w:val="21"/>
                    </w:rPr>
                  </w:pPr>
                  <w:r>
                    <w:rPr>
                      <w:rFonts w:ascii="Times New Roman"/>
                      <w:szCs w:val="21"/>
                    </w:rPr>
                    <w:t>打夯机</w:t>
                  </w:r>
                </w:p>
              </w:tc>
              <w:tc>
                <w:tcPr>
                  <w:tcW w:w="400" w:type="pct"/>
                  <w:noWrap w:val="0"/>
                  <w:vAlign w:val="center"/>
                </w:tcPr>
                <w:p>
                  <w:pPr>
                    <w:pStyle w:val="126"/>
                    <w:spacing w:before="24" w:after="24" w:line="240" w:lineRule="auto"/>
                    <w:rPr>
                      <w:rFonts w:ascii="Times New Roman"/>
                      <w:szCs w:val="21"/>
                    </w:rPr>
                  </w:pPr>
                  <w:r>
                    <w:rPr>
                      <w:rFonts w:ascii="Times New Roman"/>
                      <w:szCs w:val="21"/>
                    </w:rPr>
                    <w:t>90.0</w:t>
                  </w:r>
                </w:p>
              </w:tc>
              <w:tc>
                <w:tcPr>
                  <w:tcW w:w="434" w:type="pct"/>
                  <w:noWrap w:val="0"/>
                  <w:vAlign w:val="center"/>
                </w:tcPr>
                <w:p>
                  <w:pPr>
                    <w:pStyle w:val="126"/>
                    <w:spacing w:before="24" w:after="24" w:line="240" w:lineRule="auto"/>
                    <w:rPr>
                      <w:rFonts w:ascii="Times New Roman"/>
                      <w:szCs w:val="21"/>
                    </w:rPr>
                  </w:pPr>
                  <w:r>
                    <w:rPr>
                      <w:rFonts w:ascii="Times New Roman"/>
                      <w:szCs w:val="21"/>
                    </w:rPr>
                    <w:t>71.9</w:t>
                  </w:r>
                </w:p>
              </w:tc>
              <w:tc>
                <w:tcPr>
                  <w:tcW w:w="434" w:type="pct"/>
                  <w:noWrap w:val="0"/>
                  <w:vAlign w:val="center"/>
                </w:tcPr>
                <w:p>
                  <w:pPr>
                    <w:pStyle w:val="126"/>
                    <w:spacing w:before="24" w:after="24" w:line="240" w:lineRule="auto"/>
                    <w:rPr>
                      <w:rFonts w:ascii="Times New Roman"/>
                      <w:szCs w:val="21"/>
                    </w:rPr>
                  </w:pPr>
                  <w:r>
                    <w:rPr>
                      <w:rFonts w:ascii="Times New Roman"/>
                      <w:szCs w:val="21"/>
                    </w:rPr>
                    <w:t>70.0</w:t>
                  </w:r>
                </w:p>
              </w:tc>
              <w:tc>
                <w:tcPr>
                  <w:tcW w:w="434" w:type="pct"/>
                  <w:noWrap w:val="0"/>
                  <w:vAlign w:val="center"/>
                </w:tcPr>
                <w:p>
                  <w:pPr>
                    <w:pStyle w:val="126"/>
                    <w:spacing w:before="24" w:after="24" w:line="240" w:lineRule="auto"/>
                    <w:rPr>
                      <w:rFonts w:ascii="Times New Roman"/>
                      <w:szCs w:val="21"/>
                    </w:rPr>
                  </w:pPr>
                  <w:r>
                    <w:rPr>
                      <w:rFonts w:ascii="Times New Roman"/>
                      <w:szCs w:val="21"/>
                    </w:rPr>
                    <w:t>68.4</w:t>
                  </w:r>
                </w:p>
              </w:tc>
              <w:tc>
                <w:tcPr>
                  <w:tcW w:w="488" w:type="pct"/>
                  <w:noWrap w:val="0"/>
                  <w:vAlign w:val="center"/>
                </w:tcPr>
                <w:p>
                  <w:pPr>
                    <w:pStyle w:val="126"/>
                    <w:spacing w:before="24" w:after="24" w:line="240" w:lineRule="auto"/>
                    <w:rPr>
                      <w:rFonts w:ascii="Times New Roman"/>
                      <w:szCs w:val="21"/>
                    </w:rPr>
                  </w:pPr>
                  <w:r>
                    <w:rPr>
                      <w:rFonts w:ascii="Times New Roman"/>
                      <w:szCs w:val="21"/>
                    </w:rPr>
                    <w:t>64.0</w:t>
                  </w:r>
                </w:p>
              </w:tc>
              <w:tc>
                <w:tcPr>
                  <w:tcW w:w="488" w:type="pct"/>
                  <w:noWrap w:val="0"/>
                  <w:vAlign w:val="center"/>
                </w:tcPr>
                <w:p>
                  <w:pPr>
                    <w:pStyle w:val="126"/>
                    <w:spacing w:before="24" w:after="24" w:line="240" w:lineRule="auto"/>
                    <w:rPr>
                      <w:rFonts w:ascii="Times New Roman"/>
                      <w:szCs w:val="21"/>
                    </w:rPr>
                  </w:pPr>
                  <w:r>
                    <w:rPr>
                      <w:rFonts w:ascii="Times New Roman"/>
                      <w:szCs w:val="21"/>
                    </w:rPr>
                    <w:t>60.5</w:t>
                  </w:r>
                </w:p>
              </w:tc>
              <w:tc>
                <w:tcPr>
                  <w:tcW w:w="488" w:type="pct"/>
                  <w:noWrap w:val="0"/>
                  <w:vAlign w:val="center"/>
                </w:tcPr>
                <w:p>
                  <w:pPr>
                    <w:pStyle w:val="126"/>
                    <w:spacing w:before="24" w:after="24" w:line="240" w:lineRule="auto"/>
                    <w:rPr>
                      <w:rFonts w:ascii="Times New Roman"/>
                      <w:szCs w:val="21"/>
                    </w:rPr>
                  </w:pPr>
                  <w:r>
                    <w:rPr>
                      <w:rFonts w:ascii="Times New Roman"/>
                      <w:szCs w:val="21"/>
                    </w:rPr>
                    <w:t>58.0</w:t>
                  </w:r>
                </w:p>
              </w:tc>
              <w:tc>
                <w:tcPr>
                  <w:tcW w:w="489" w:type="pct"/>
                  <w:noWrap w:val="0"/>
                  <w:vAlign w:val="center"/>
                </w:tcPr>
                <w:p>
                  <w:pPr>
                    <w:pStyle w:val="126"/>
                    <w:spacing w:before="24" w:after="24" w:line="240" w:lineRule="auto"/>
                    <w:rPr>
                      <w:rFonts w:ascii="Times New Roman"/>
                      <w:szCs w:val="21"/>
                    </w:rPr>
                  </w:pPr>
                  <w:r>
                    <w:rPr>
                      <w:rFonts w:ascii="Times New Roman"/>
                      <w:szCs w:val="21"/>
                    </w:rPr>
                    <w:t>54.4</w:t>
                  </w:r>
                </w:p>
              </w:tc>
              <w:tc>
                <w:tcPr>
                  <w:tcW w:w="489" w:type="pct"/>
                  <w:noWrap w:val="0"/>
                  <w:vAlign w:val="center"/>
                </w:tcPr>
                <w:p>
                  <w:pPr>
                    <w:pStyle w:val="126"/>
                    <w:spacing w:before="24" w:after="24" w:line="240" w:lineRule="auto"/>
                    <w:rPr>
                      <w:rFonts w:ascii="Times New Roman"/>
                      <w:szCs w:val="21"/>
                    </w:rPr>
                  </w:pPr>
                  <w:r>
                    <w:rPr>
                      <w:rFonts w:ascii="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4</w:t>
                  </w:r>
                </w:p>
              </w:tc>
              <w:tc>
                <w:tcPr>
                  <w:tcW w:w="560" w:type="pct"/>
                  <w:noWrap w:val="0"/>
                  <w:vAlign w:val="center"/>
                </w:tcPr>
                <w:p>
                  <w:pPr>
                    <w:pStyle w:val="126"/>
                    <w:spacing w:before="24" w:after="24" w:line="240" w:lineRule="auto"/>
                    <w:rPr>
                      <w:rFonts w:ascii="Times New Roman"/>
                      <w:szCs w:val="21"/>
                    </w:rPr>
                  </w:pPr>
                  <w:r>
                    <w:rPr>
                      <w:rFonts w:ascii="Times New Roman"/>
                      <w:szCs w:val="21"/>
                    </w:rPr>
                    <w:t>振捣器</w:t>
                  </w:r>
                </w:p>
              </w:tc>
              <w:tc>
                <w:tcPr>
                  <w:tcW w:w="400" w:type="pct"/>
                  <w:noWrap w:val="0"/>
                  <w:vAlign w:val="center"/>
                </w:tcPr>
                <w:p>
                  <w:pPr>
                    <w:pStyle w:val="126"/>
                    <w:spacing w:before="24" w:after="24" w:line="240" w:lineRule="auto"/>
                    <w:rPr>
                      <w:rFonts w:ascii="Times New Roman"/>
                      <w:szCs w:val="21"/>
                    </w:rPr>
                  </w:pPr>
                  <w:r>
                    <w:rPr>
                      <w:rFonts w:ascii="Times New Roman"/>
                      <w:szCs w:val="21"/>
                    </w:rPr>
                    <w:t>90.0</w:t>
                  </w:r>
                </w:p>
              </w:tc>
              <w:tc>
                <w:tcPr>
                  <w:tcW w:w="434" w:type="pct"/>
                  <w:noWrap w:val="0"/>
                  <w:vAlign w:val="center"/>
                </w:tcPr>
                <w:p>
                  <w:pPr>
                    <w:pStyle w:val="126"/>
                    <w:spacing w:before="24" w:after="24" w:line="240" w:lineRule="auto"/>
                    <w:rPr>
                      <w:rFonts w:ascii="Times New Roman"/>
                      <w:szCs w:val="21"/>
                    </w:rPr>
                  </w:pPr>
                  <w:r>
                    <w:rPr>
                      <w:rFonts w:ascii="Times New Roman"/>
                      <w:szCs w:val="21"/>
                    </w:rPr>
                    <w:t>71.9</w:t>
                  </w:r>
                </w:p>
              </w:tc>
              <w:tc>
                <w:tcPr>
                  <w:tcW w:w="434" w:type="pct"/>
                  <w:noWrap w:val="0"/>
                  <w:vAlign w:val="center"/>
                </w:tcPr>
                <w:p>
                  <w:pPr>
                    <w:pStyle w:val="126"/>
                    <w:spacing w:before="24" w:after="24" w:line="240" w:lineRule="auto"/>
                    <w:rPr>
                      <w:rFonts w:ascii="Times New Roman"/>
                      <w:szCs w:val="21"/>
                    </w:rPr>
                  </w:pPr>
                  <w:r>
                    <w:rPr>
                      <w:rFonts w:ascii="Times New Roman"/>
                      <w:szCs w:val="21"/>
                    </w:rPr>
                    <w:t>70.0</w:t>
                  </w:r>
                </w:p>
              </w:tc>
              <w:tc>
                <w:tcPr>
                  <w:tcW w:w="434" w:type="pct"/>
                  <w:noWrap w:val="0"/>
                  <w:vAlign w:val="center"/>
                </w:tcPr>
                <w:p>
                  <w:pPr>
                    <w:pStyle w:val="126"/>
                    <w:spacing w:before="24" w:after="24" w:line="240" w:lineRule="auto"/>
                    <w:rPr>
                      <w:rFonts w:ascii="Times New Roman"/>
                      <w:szCs w:val="21"/>
                    </w:rPr>
                  </w:pPr>
                  <w:r>
                    <w:rPr>
                      <w:rFonts w:ascii="Times New Roman"/>
                      <w:szCs w:val="21"/>
                    </w:rPr>
                    <w:t>68.4</w:t>
                  </w:r>
                </w:p>
              </w:tc>
              <w:tc>
                <w:tcPr>
                  <w:tcW w:w="488" w:type="pct"/>
                  <w:noWrap w:val="0"/>
                  <w:vAlign w:val="center"/>
                </w:tcPr>
                <w:p>
                  <w:pPr>
                    <w:pStyle w:val="126"/>
                    <w:spacing w:before="24" w:after="24" w:line="240" w:lineRule="auto"/>
                    <w:rPr>
                      <w:rFonts w:ascii="Times New Roman"/>
                      <w:szCs w:val="21"/>
                    </w:rPr>
                  </w:pPr>
                  <w:r>
                    <w:rPr>
                      <w:rFonts w:ascii="Times New Roman"/>
                      <w:szCs w:val="21"/>
                    </w:rPr>
                    <w:t>64.0</w:t>
                  </w:r>
                </w:p>
              </w:tc>
              <w:tc>
                <w:tcPr>
                  <w:tcW w:w="488" w:type="pct"/>
                  <w:noWrap w:val="0"/>
                  <w:vAlign w:val="center"/>
                </w:tcPr>
                <w:p>
                  <w:pPr>
                    <w:pStyle w:val="126"/>
                    <w:spacing w:before="24" w:after="24" w:line="240" w:lineRule="auto"/>
                    <w:rPr>
                      <w:rFonts w:ascii="Times New Roman"/>
                      <w:szCs w:val="21"/>
                    </w:rPr>
                  </w:pPr>
                  <w:r>
                    <w:rPr>
                      <w:rFonts w:ascii="Times New Roman"/>
                      <w:szCs w:val="21"/>
                    </w:rPr>
                    <w:t>60.5</w:t>
                  </w:r>
                </w:p>
              </w:tc>
              <w:tc>
                <w:tcPr>
                  <w:tcW w:w="488" w:type="pct"/>
                  <w:noWrap w:val="0"/>
                  <w:vAlign w:val="center"/>
                </w:tcPr>
                <w:p>
                  <w:pPr>
                    <w:pStyle w:val="126"/>
                    <w:spacing w:before="24" w:after="24" w:line="240" w:lineRule="auto"/>
                    <w:rPr>
                      <w:rFonts w:ascii="Times New Roman"/>
                      <w:szCs w:val="21"/>
                    </w:rPr>
                  </w:pPr>
                  <w:r>
                    <w:rPr>
                      <w:rFonts w:ascii="Times New Roman"/>
                      <w:szCs w:val="21"/>
                    </w:rPr>
                    <w:t>58.0</w:t>
                  </w:r>
                </w:p>
              </w:tc>
              <w:tc>
                <w:tcPr>
                  <w:tcW w:w="489" w:type="pct"/>
                  <w:noWrap w:val="0"/>
                  <w:vAlign w:val="center"/>
                </w:tcPr>
                <w:p>
                  <w:pPr>
                    <w:pStyle w:val="126"/>
                    <w:spacing w:before="24" w:after="24" w:line="240" w:lineRule="auto"/>
                    <w:rPr>
                      <w:rFonts w:ascii="Times New Roman"/>
                      <w:szCs w:val="21"/>
                    </w:rPr>
                  </w:pPr>
                  <w:r>
                    <w:rPr>
                      <w:rFonts w:ascii="Times New Roman"/>
                      <w:szCs w:val="21"/>
                    </w:rPr>
                    <w:t>54.4</w:t>
                  </w:r>
                </w:p>
              </w:tc>
              <w:tc>
                <w:tcPr>
                  <w:tcW w:w="489" w:type="pct"/>
                  <w:noWrap w:val="0"/>
                  <w:vAlign w:val="center"/>
                </w:tcPr>
                <w:p>
                  <w:pPr>
                    <w:pStyle w:val="126"/>
                    <w:spacing w:before="24" w:after="24" w:line="240" w:lineRule="auto"/>
                    <w:rPr>
                      <w:rFonts w:ascii="Times New Roman"/>
                      <w:szCs w:val="21"/>
                    </w:rPr>
                  </w:pPr>
                  <w:r>
                    <w:rPr>
                      <w:rFonts w:ascii="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5</w:t>
                  </w:r>
                </w:p>
              </w:tc>
              <w:tc>
                <w:tcPr>
                  <w:tcW w:w="560" w:type="pct"/>
                  <w:noWrap w:val="0"/>
                  <w:vAlign w:val="center"/>
                </w:tcPr>
                <w:p>
                  <w:pPr>
                    <w:pStyle w:val="126"/>
                    <w:spacing w:before="24" w:after="24" w:line="240" w:lineRule="auto"/>
                    <w:rPr>
                      <w:rFonts w:ascii="Times New Roman"/>
                      <w:szCs w:val="21"/>
                    </w:rPr>
                  </w:pPr>
                  <w:r>
                    <w:rPr>
                      <w:rFonts w:ascii="Times New Roman"/>
                      <w:szCs w:val="21"/>
                    </w:rPr>
                    <w:t>吊装机</w:t>
                  </w:r>
                </w:p>
              </w:tc>
              <w:tc>
                <w:tcPr>
                  <w:tcW w:w="400" w:type="pct"/>
                  <w:noWrap w:val="0"/>
                  <w:vAlign w:val="center"/>
                </w:tcPr>
                <w:p>
                  <w:pPr>
                    <w:pStyle w:val="126"/>
                    <w:spacing w:before="24" w:after="24" w:line="240" w:lineRule="auto"/>
                    <w:rPr>
                      <w:rFonts w:ascii="Times New Roman"/>
                      <w:szCs w:val="21"/>
                    </w:rPr>
                  </w:pPr>
                  <w:r>
                    <w:rPr>
                      <w:rFonts w:ascii="Times New Roman"/>
                      <w:szCs w:val="21"/>
                    </w:rPr>
                    <w:t>86.0</w:t>
                  </w:r>
                </w:p>
              </w:tc>
              <w:tc>
                <w:tcPr>
                  <w:tcW w:w="434" w:type="pct"/>
                  <w:noWrap w:val="0"/>
                  <w:vAlign w:val="center"/>
                </w:tcPr>
                <w:p>
                  <w:pPr>
                    <w:pStyle w:val="126"/>
                    <w:spacing w:before="24" w:after="24" w:line="240" w:lineRule="auto"/>
                    <w:rPr>
                      <w:rFonts w:ascii="Times New Roman"/>
                      <w:szCs w:val="21"/>
                    </w:rPr>
                  </w:pPr>
                  <w:r>
                    <w:rPr>
                      <w:rFonts w:ascii="Times New Roman"/>
                      <w:szCs w:val="21"/>
                    </w:rPr>
                    <w:t>67.9</w:t>
                  </w:r>
                </w:p>
              </w:tc>
              <w:tc>
                <w:tcPr>
                  <w:tcW w:w="434" w:type="pct"/>
                  <w:noWrap w:val="0"/>
                  <w:vAlign w:val="center"/>
                </w:tcPr>
                <w:p>
                  <w:pPr>
                    <w:pStyle w:val="126"/>
                    <w:spacing w:before="24" w:after="24" w:line="240" w:lineRule="auto"/>
                    <w:rPr>
                      <w:rFonts w:ascii="Times New Roman"/>
                      <w:szCs w:val="21"/>
                    </w:rPr>
                  </w:pPr>
                  <w:r>
                    <w:rPr>
                      <w:rFonts w:ascii="Times New Roman"/>
                      <w:szCs w:val="21"/>
                    </w:rPr>
                    <w:t>66.0</w:t>
                  </w:r>
                </w:p>
              </w:tc>
              <w:tc>
                <w:tcPr>
                  <w:tcW w:w="434" w:type="pct"/>
                  <w:noWrap w:val="0"/>
                  <w:vAlign w:val="center"/>
                </w:tcPr>
                <w:p>
                  <w:pPr>
                    <w:pStyle w:val="126"/>
                    <w:spacing w:before="24" w:after="24" w:line="240" w:lineRule="auto"/>
                    <w:rPr>
                      <w:rFonts w:ascii="Times New Roman"/>
                      <w:szCs w:val="21"/>
                    </w:rPr>
                  </w:pPr>
                  <w:r>
                    <w:rPr>
                      <w:rFonts w:ascii="Times New Roman"/>
                      <w:szCs w:val="21"/>
                    </w:rPr>
                    <w:t>64.4</w:t>
                  </w:r>
                </w:p>
              </w:tc>
              <w:tc>
                <w:tcPr>
                  <w:tcW w:w="488" w:type="pct"/>
                  <w:noWrap w:val="0"/>
                  <w:vAlign w:val="center"/>
                </w:tcPr>
                <w:p>
                  <w:pPr>
                    <w:pStyle w:val="126"/>
                    <w:spacing w:before="24" w:after="24" w:line="240" w:lineRule="auto"/>
                    <w:rPr>
                      <w:rFonts w:ascii="Times New Roman"/>
                      <w:szCs w:val="21"/>
                    </w:rPr>
                  </w:pPr>
                  <w:r>
                    <w:rPr>
                      <w:rFonts w:ascii="Times New Roman"/>
                      <w:szCs w:val="21"/>
                    </w:rPr>
                    <w:t>60.0</w:t>
                  </w:r>
                </w:p>
              </w:tc>
              <w:tc>
                <w:tcPr>
                  <w:tcW w:w="488" w:type="pct"/>
                  <w:noWrap w:val="0"/>
                  <w:vAlign w:val="center"/>
                </w:tcPr>
                <w:p>
                  <w:pPr>
                    <w:pStyle w:val="126"/>
                    <w:spacing w:before="24" w:after="24" w:line="240" w:lineRule="auto"/>
                    <w:rPr>
                      <w:rFonts w:ascii="Times New Roman"/>
                      <w:szCs w:val="21"/>
                    </w:rPr>
                  </w:pPr>
                  <w:r>
                    <w:rPr>
                      <w:rFonts w:ascii="Times New Roman"/>
                      <w:szCs w:val="21"/>
                    </w:rPr>
                    <w:t>56.5</w:t>
                  </w:r>
                </w:p>
              </w:tc>
              <w:tc>
                <w:tcPr>
                  <w:tcW w:w="488" w:type="pct"/>
                  <w:noWrap w:val="0"/>
                  <w:vAlign w:val="center"/>
                </w:tcPr>
                <w:p>
                  <w:pPr>
                    <w:pStyle w:val="126"/>
                    <w:spacing w:before="24" w:after="24" w:line="240" w:lineRule="auto"/>
                    <w:rPr>
                      <w:rFonts w:ascii="Times New Roman"/>
                      <w:szCs w:val="21"/>
                    </w:rPr>
                  </w:pPr>
                  <w:r>
                    <w:rPr>
                      <w:rFonts w:ascii="Times New Roman"/>
                      <w:szCs w:val="21"/>
                    </w:rPr>
                    <w:t>54.0</w:t>
                  </w:r>
                </w:p>
              </w:tc>
              <w:tc>
                <w:tcPr>
                  <w:tcW w:w="489" w:type="pct"/>
                  <w:noWrap w:val="0"/>
                  <w:vAlign w:val="center"/>
                </w:tcPr>
                <w:p>
                  <w:pPr>
                    <w:pStyle w:val="126"/>
                    <w:spacing w:before="24" w:after="24" w:line="240" w:lineRule="auto"/>
                    <w:rPr>
                      <w:rFonts w:ascii="Times New Roman"/>
                      <w:szCs w:val="21"/>
                    </w:rPr>
                  </w:pPr>
                  <w:r>
                    <w:rPr>
                      <w:rFonts w:ascii="Times New Roman"/>
                      <w:szCs w:val="21"/>
                    </w:rPr>
                    <w:t>50.4</w:t>
                  </w:r>
                </w:p>
              </w:tc>
              <w:tc>
                <w:tcPr>
                  <w:tcW w:w="489" w:type="pct"/>
                  <w:noWrap w:val="0"/>
                  <w:vAlign w:val="center"/>
                </w:tcPr>
                <w:p>
                  <w:pPr>
                    <w:pStyle w:val="126"/>
                    <w:spacing w:before="24" w:after="24" w:line="240" w:lineRule="auto"/>
                    <w:rPr>
                      <w:rFonts w:ascii="Times New Roman"/>
                      <w:szCs w:val="21"/>
                    </w:rPr>
                  </w:pPr>
                  <w:r>
                    <w:rPr>
                      <w:rFonts w:ascii="Times New Roman"/>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noWrap w:val="0"/>
                  <w:vAlign w:val="center"/>
                </w:tcPr>
                <w:p>
                  <w:pPr>
                    <w:pStyle w:val="126"/>
                    <w:spacing w:before="24" w:after="24" w:line="240" w:lineRule="auto"/>
                    <w:rPr>
                      <w:rFonts w:ascii="Times New Roman"/>
                      <w:szCs w:val="21"/>
                    </w:rPr>
                  </w:pPr>
                  <w:r>
                    <w:rPr>
                      <w:rFonts w:ascii="Times New Roman"/>
                      <w:szCs w:val="21"/>
                    </w:rPr>
                    <w:t>6</w:t>
                  </w:r>
                </w:p>
              </w:tc>
              <w:tc>
                <w:tcPr>
                  <w:tcW w:w="560" w:type="pct"/>
                  <w:noWrap w:val="0"/>
                  <w:vAlign w:val="center"/>
                </w:tcPr>
                <w:p>
                  <w:pPr>
                    <w:pStyle w:val="126"/>
                    <w:spacing w:before="24" w:after="24" w:line="240" w:lineRule="auto"/>
                    <w:rPr>
                      <w:rFonts w:ascii="Times New Roman"/>
                      <w:szCs w:val="21"/>
                    </w:rPr>
                  </w:pPr>
                  <w:r>
                    <w:rPr>
                      <w:rFonts w:ascii="Times New Roman"/>
                      <w:szCs w:val="21"/>
                    </w:rPr>
                    <w:t>运输车辆</w:t>
                  </w:r>
                </w:p>
              </w:tc>
              <w:tc>
                <w:tcPr>
                  <w:tcW w:w="400" w:type="pct"/>
                  <w:noWrap w:val="0"/>
                  <w:vAlign w:val="center"/>
                </w:tcPr>
                <w:p>
                  <w:pPr>
                    <w:pStyle w:val="126"/>
                    <w:spacing w:before="24" w:after="24" w:line="240" w:lineRule="auto"/>
                    <w:rPr>
                      <w:rFonts w:ascii="Times New Roman"/>
                      <w:szCs w:val="21"/>
                    </w:rPr>
                  </w:pPr>
                  <w:r>
                    <w:rPr>
                      <w:rFonts w:ascii="Times New Roman"/>
                      <w:szCs w:val="21"/>
                    </w:rPr>
                    <w:t>74.0</w:t>
                  </w:r>
                </w:p>
              </w:tc>
              <w:tc>
                <w:tcPr>
                  <w:tcW w:w="434" w:type="pct"/>
                  <w:noWrap w:val="0"/>
                  <w:vAlign w:val="center"/>
                </w:tcPr>
                <w:p>
                  <w:pPr>
                    <w:pStyle w:val="126"/>
                    <w:spacing w:before="24" w:after="24" w:line="240" w:lineRule="auto"/>
                    <w:rPr>
                      <w:rFonts w:ascii="Times New Roman"/>
                      <w:szCs w:val="21"/>
                    </w:rPr>
                  </w:pPr>
                  <w:r>
                    <w:rPr>
                      <w:rFonts w:ascii="Times New Roman"/>
                      <w:szCs w:val="21"/>
                    </w:rPr>
                    <w:t>56.0</w:t>
                  </w:r>
                </w:p>
              </w:tc>
              <w:tc>
                <w:tcPr>
                  <w:tcW w:w="434" w:type="pct"/>
                  <w:noWrap w:val="0"/>
                  <w:vAlign w:val="center"/>
                </w:tcPr>
                <w:p>
                  <w:pPr>
                    <w:pStyle w:val="126"/>
                    <w:spacing w:before="24" w:after="24" w:line="240" w:lineRule="auto"/>
                    <w:rPr>
                      <w:rFonts w:ascii="Times New Roman"/>
                      <w:szCs w:val="21"/>
                    </w:rPr>
                  </w:pPr>
                  <w:r>
                    <w:rPr>
                      <w:rFonts w:ascii="Times New Roman"/>
                      <w:szCs w:val="21"/>
                    </w:rPr>
                    <w:t>54.0</w:t>
                  </w:r>
                </w:p>
              </w:tc>
              <w:tc>
                <w:tcPr>
                  <w:tcW w:w="434" w:type="pct"/>
                  <w:noWrap w:val="0"/>
                  <w:vAlign w:val="center"/>
                </w:tcPr>
                <w:p>
                  <w:pPr>
                    <w:pStyle w:val="126"/>
                    <w:spacing w:before="24" w:after="24" w:line="240" w:lineRule="auto"/>
                    <w:rPr>
                      <w:rFonts w:ascii="Times New Roman"/>
                      <w:szCs w:val="21"/>
                    </w:rPr>
                  </w:pPr>
                  <w:r>
                    <w:rPr>
                      <w:rFonts w:ascii="Times New Roman"/>
                      <w:szCs w:val="21"/>
                    </w:rPr>
                    <w:t>52.4</w:t>
                  </w:r>
                </w:p>
              </w:tc>
              <w:tc>
                <w:tcPr>
                  <w:tcW w:w="488" w:type="pct"/>
                  <w:noWrap w:val="0"/>
                  <w:vAlign w:val="center"/>
                </w:tcPr>
                <w:p>
                  <w:pPr>
                    <w:pStyle w:val="126"/>
                    <w:spacing w:before="24" w:after="24" w:line="240" w:lineRule="auto"/>
                    <w:rPr>
                      <w:rFonts w:ascii="Times New Roman"/>
                      <w:szCs w:val="21"/>
                    </w:rPr>
                  </w:pPr>
                  <w:r>
                    <w:rPr>
                      <w:rFonts w:ascii="Times New Roman"/>
                      <w:szCs w:val="21"/>
                    </w:rPr>
                    <w:t>48.0</w:t>
                  </w:r>
                </w:p>
              </w:tc>
              <w:tc>
                <w:tcPr>
                  <w:tcW w:w="488" w:type="pct"/>
                  <w:noWrap w:val="0"/>
                  <w:vAlign w:val="center"/>
                </w:tcPr>
                <w:p>
                  <w:pPr>
                    <w:pStyle w:val="126"/>
                    <w:spacing w:before="24" w:after="24" w:line="240" w:lineRule="auto"/>
                    <w:rPr>
                      <w:rFonts w:ascii="Times New Roman"/>
                      <w:szCs w:val="21"/>
                    </w:rPr>
                  </w:pPr>
                  <w:r>
                    <w:rPr>
                      <w:rFonts w:ascii="Times New Roman"/>
                      <w:szCs w:val="21"/>
                    </w:rPr>
                    <w:t>44.5</w:t>
                  </w:r>
                </w:p>
              </w:tc>
              <w:tc>
                <w:tcPr>
                  <w:tcW w:w="488" w:type="pct"/>
                  <w:noWrap w:val="0"/>
                  <w:vAlign w:val="center"/>
                </w:tcPr>
                <w:p>
                  <w:pPr>
                    <w:pStyle w:val="126"/>
                    <w:spacing w:before="24" w:after="24" w:line="240" w:lineRule="auto"/>
                    <w:rPr>
                      <w:rFonts w:ascii="Times New Roman"/>
                      <w:szCs w:val="21"/>
                    </w:rPr>
                  </w:pPr>
                  <w:r>
                    <w:rPr>
                      <w:rFonts w:ascii="Times New Roman"/>
                      <w:szCs w:val="21"/>
                    </w:rPr>
                    <w:t>42.0</w:t>
                  </w:r>
                </w:p>
              </w:tc>
              <w:tc>
                <w:tcPr>
                  <w:tcW w:w="489" w:type="pct"/>
                  <w:noWrap w:val="0"/>
                  <w:vAlign w:val="center"/>
                </w:tcPr>
                <w:p>
                  <w:pPr>
                    <w:pStyle w:val="126"/>
                    <w:spacing w:before="24" w:after="24" w:line="240" w:lineRule="auto"/>
                    <w:rPr>
                      <w:rFonts w:ascii="Times New Roman"/>
                      <w:szCs w:val="21"/>
                    </w:rPr>
                  </w:pPr>
                  <w:r>
                    <w:rPr>
                      <w:rFonts w:ascii="Times New Roman"/>
                      <w:szCs w:val="21"/>
                    </w:rPr>
                    <w:t>38.5</w:t>
                  </w:r>
                </w:p>
              </w:tc>
              <w:tc>
                <w:tcPr>
                  <w:tcW w:w="489" w:type="pct"/>
                  <w:noWrap w:val="0"/>
                  <w:vAlign w:val="center"/>
                </w:tcPr>
                <w:p>
                  <w:pPr>
                    <w:pStyle w:val="126"/>
                    <w:spacing w:before="24" w:after="24" w:line="240" w:lineRule="auto"/>
                    <w:rPr>
                      <w:rFonts w:ascii="Times New Roman"/>
                      <w:szCs w:val="21"/>
                    </w:rPr>
                  </w:pPr>
                  <w:r>
                    <w:rPr>
                      <w:rFonts w:ascii="Times New Roman"/>
                      <w:szCs w:val="21"/>
                    </w:rPr>
                    <w:t>34.0</w:t>
                  </w:r>
                </w:p>
              </w:tc>
            </w:tr>
          </w:tbl>
          <w:p>
            <w:pPr>
              <w:overflowPunct w:val="0"/>
              <w:spacing w:line="360" w:lineRule="auto"/>
              <w:ind w:firstLine="480"/>
              <w:rPr>
                <w:kern w:val="0"/>
                <w:sz w:val="24"/>
              </w:rPr>
            </w:pPr>
            <w:r>
              <w:rPr>
                <w:kern w:val="0"/>
                <w:sz w:val="24"/>
              </w:rPr>
              <w:t>根据预测结果，本项目</w:t>
            </w:r>
            <w:r>
              <w:rPr>
                <w:rFonts w:hint="eastAsia"/>
                <w:kern w:val="0"/>
                <w:sz w:val="24"/>
              </w:rPr>
              <w:t>施工</w:t>
            </w:r>
            <w:r>
              <w:rPr>
                <w:kern w:val="0"/>
                <w:sz w:val="24"/>
              </w:rPr>
              <w:t>设备噪声昼间在50m处才能满足《建筑施工场界环境噪声排放标准》（GB12523-2011）要求，夜间需在300m处才能满足《建筑施工场界环境噪声排放标准》（GB12523-2011）要求。</w:t>
            </w:r>
          </w:p>
          <w:p>
            <w:pPr>
              <w:overflowPunct w:val="0"/>
              <w:spacing w:line="360" w:lineRule="auto"/>
              <w:ind w:firstLine="480"/>
              <w:rPr>
                <w:sz w:val="24"/>
              </w:rPr>
            </w:pPr>
            <w:r>
              <w:rPr>
                <w:sz w:val="24"/>
              </w:rPr>
              <w:t>由此可见，结合项目周边敏感点分布，本项目周边50m范围内无敏感点分布，因此昼间施工不会对周围居民点产生影响，但夜间施工将会对周围敏感点产生一定的影响，环评要求，项目应采取以下措施减少工程施工对周围环境的影响。</w:t>
            </w:r>
          </w:p>
          <w:p>
            <w:pPr>
              <w:spacing w:line="360" w:lineRule="auto"/>
              <w:ind w:firstLine="480" w:firstLineChars="200"/>
              <w:rPr>
                <w:sz w:val="24"/>
              </w:rPr>
            </w:pPr>
            <w:r>
              <w:rPr>
                <w:rFonts w:hint="eastAsia" w:ascii="宋体" w:hAnsi="宋体" w:cs="宋体"/>
                <w:sz w:val="24"/>
              </w:rPr>
              <w:t>①</w:t>
            </w:r>
            <w:r>
              <w:rPr>
                <w:sz w:val="24"/>
              </w:rPr>
              <w:t>合理进行施工平面布置。在工地布置时应考虑高噪声设备安置在离敏感点相对较远的一侧。</w:t>
            </w:r>
          </w:p>
          <w:p>
            <w:pPr>
              <w:spacing w:line="360" w:lineRule="auto"/>
              <w:ind w:firstLine="480" w:firstLineChars="200"/>
              <w:rPr>
                <w:sz w:val="24"/>
              </w:rPr>
            </w:pPr>
            <w:r>
              <w:rPr>
                <w:rFonts w:hint="eastAsia" w:ascii="宋体" w:hAnsi="宋体" w:cs="宋体"/>
                <w:sz w:val="24"/>
              </w:rPr>
              <w:t>②</w:t>
            </w:r>
            <w:r>
              <w:rPr>
                <w:sz w:val="24"/>
              </w:rPr>
              <w:t>合理安排高噪声施工作业的时间，评价要求施工期间夜间（22：00~6：00）和午间（12：00~14：00）禁止安排</w:t>
            </w:r>
            <w:r>
              <w:rPr>
                <w:rFonts w:hint="eastAsia"/>
                <w:sz w:val="24"/>
              </w:rPr>
              <w:t>高噪声</w:t>
            </w:r>
            <w:r>
              <w:rPr>
                <w:sz w:val="24"/>
              </w:rPr>
              <w:t>施工</w:t>
            </w:r>
            <w:r>
              <w:rPr>
                <w:rFonts w:hint="eastAsia"/>
                <w:sz w:val="24"/>
              </w:rPr>
              <w:t>作业</w:t>
            </w:r>
            <w:r>
              <w:rPr>
                <w:sz w:val="24"/>
              </w:rPr>
              <w:t>。</w:t>
            </w:r>
          </w:p>
          <w:p>
            <w:pPr>
              <w:spacing w:line="360" w:lineRule="auto"/>
              <w:ind w:firstLine="480" w:firstLineChars="200"/>
              <w:rPr>
                <w:sz w:val="24"/>
              </w:rPr>
            </w:pPr>
            <w:r>
              <w:rPr>
                <w:rFonts w:hint="eastAsia" w:ascii="宋体" w:hAnsi="宋体" w:cs="宋体"/>
                <w:sz w:val="24"/>
              </w:rPr>
              <w:t>③</w:t>
            </w:r>
            <w:r>
              <w:rPr>
                <w:sz w:val="24"/>
              </w:rPr>
              <w:t>严格执行《建筑施工场界环境噪声排放标准》（GB12523-2011），认真贯彻《中华人民共和国噪声污染防治法》等有关国家和地方的规定。</w:t>
            </w:r>
          </w:p>
          <w:p>
            <w:pPr>
              <w:spacing w:line="360" w:lineRule="auto"/>
              <w:ind w:firstLine="480" w:firstLineChars="200"/>
              <w:rPr>
                <w:sz w:val="24"/>
              </w:rPr>
            </w:pPr>
            <w:r>
              <w:rPr>
                <w:rFonts w:hint="eastAsia" w:ascii="宋体" w:hAnsi="宋体" w:cs="宋体"/>
                <w:sz w:val="24"/>
              </w:rPr>
              <w:t>④</w:t>
            </w:r>
            <w:r>
              <w:rPr>
                <w:sz w:val="24"/>
              </w:rPr>
              <w:t>项目施工过程中采用低噪声设备，并对其采取有效的隔声减振措施，同时也可在高噪声设备附近加设可移动的简易隔声屏，尽可能减少设备噪声对环境的影响。</w:t>
            </w:r>
          </w:p>
          <w:p>
            <w:pPr>
              <w:spacing w:line="360" w:lineRule="auto"/>
              <w:ind w:firstLine="480" w:firstLineChars="200"/>
              <w:rPr>
                <w:sz w:val="24"/>
              </w:rPr>
            </w:pPr>
            <w:r>
              <w:rPr>
                <w:rFonts w:hint="eastAsia" w:ascii="宋体" w:hAnsi="宋体" w:cs="宋体"/>
                <w:sz w:val="24"/>
              </w:rPr>
              <w:t>⑤</w:t>
            </w:r>
            <w:r>
              <w:rPr>
                <w:sz w:val="24"/>
              </w:rPr>
              <w:t>运输车辆进入现场限速行驶、并禁止鸣笛等；加强施工区附近交通管理，避免交通堵塞而增加的车辆鸣号。由于施工期间交通运输对环境影响较大，应按照有关部门的规定，确定合理的运输路线和时间；运输车辆行驶路线应尽量避开周边居民集中区等敏感点；</w:t>
            </w:r>
            <w:r>
              <w:rPr>
                <w:rFonts w:hint="eastAsia"/>
                <w:sz w:val="24"/>
              </w:rPr>
              <w:t>并</w:t>
            </w:r>
            <w:r>
              <w:rPr>
                <w:sz w:val="24"/>
              </w:rPr>
              <w:t>尽量减少夜间运输量，限制大型载重车的车速，路过居民区时应限速。</w:t>
            </w:r>
          </w:p>
          <w:p>
            <w:pPr>
              <w:spacing w:line="360" w:lineRule="auto"/>
              <w:ind w:firstLine="480" w:firstLineChars="200"/>
              <w:rPr>
                <w:sz w:val="24"/>
              </w:rPr>
            </w:pPr>
            <w:r>
              <w:rPr>
                <w:rFonts w:hint="eastAsia" w:ascii="宋体" w:hAnsi="宋体" w:cs="宋体"/>
                <w:sz w:val="24"/>
              </w:rPr>
              <w:t>⑥</w:t>
            </w:r>
            <w:r>
              <w:rPr>
                <w:sz w:val="24"/>
              </w:rPr>
              <w:t>对动力机械设备进行定期的维修、养护，避免设备因松动部件的振动或消声器的损坏而增加其工作时的声压级；设备用完后或不用时应立即关闭。</w:t>
            </w:r>
          </w:p>
          <w:p>
            <w:pPr>
              <w:spacing w:line="360" w:lineRule="auto"/>
              <w:ind w:firstLine="480" w:firstLineChars="200"/>
              <w:rPr>
                <w:sz w:val="24"/>
              </w:rPr>
            </w:pPr>
            <w:r>
              <w:rPr>
                <w:rFonts w:hint="eastAsia" w:ascii="宋体" w:hAnsi="宋体" w:cs="宋体"/>
                <w:sz w:val="24"/>
              </w:rPr>
              <w:t>⑦</w:t>
            </w:r>
            <w:r>
              <w:rPr>
                <w:sz w:val="24"/>
              </w:rPr>
              <w:t>最大限度地降低人为噪音，并在施工中应做到科学施工、文明施工。</w:t>
            </w:r>
          </w:p>
          <w:p>
            <w:pPr>
              <w:spacing w:line="360" w:lineRule="auto"/>
              <w:ind w:firstLine="480" w:firstLineChars="200"/>
              <w:rPr>
                <w:sz w:val="24"/>
              </w:rPr>
            </w:pPr>
            <w:r>
              <w:rPr>
                <w:rFonts w:hint="eastAsia" w:ascii="宋体" w:hAnsi="宋体" w:cs="宋体"/>
                <w:sz w:val="24"/>
              </w:rPr>
              <w:t>⑧</w:t>
            </w:r>
            <w:r>
              <w:rPr>
                <w:sz w:val="24"/>
              </w:rPr>
              <w:t>加强环境管理，接受环保部门环境监督：为了有效地控制施工噪声对城市环境的影响，除落实有关的控制措施外，还必须加强环境管理；根据国家和地方的有关法律、法令、条例、规定，施工单位应主动接受环保部门及相关部门的监督管理和检查；建设单位在进行工程承包时，应将有关施工噪声控制纳入承包内容，并在施工过程中委派专人负责，以确保控制施工噪声措施的实施。</w:t>
            </w:r>
          </w:p>
          <w:p>
            <w:pPr>
              <w:spacing w:line="360" w:lineRule="auto"/>
              <w:ind w:firstLine="480" w:firstLineChars="200"/>
              <w:rPr>
                <w:rFonts w:hint="eastAsia"/>
                <w:sz w:val="24"/>
              </w:rPr>
            </w:pPr>
            <w:r>
              <w:rPr>
                <w:sz w:val="24"/>
              </w:rPr>
              <w:t>在采取上述措施后，可使施工期间的场界噪声满足《建筑施工场界环境噪声排放标准》（GB12523-2011）标准要求，对周围声环境影响较小，且施工期噪声影响会随着施工的结束而结束。</w:t>
            </w:r>
          </w:p>
          <w:p>
            <w:pPr>
              <w:adjustRightInd w:val="0"/>
              <w:snapToGrid w:val="0"/>
              <w:spacing w:line="360" w:lineRule="auto"/>
              <w:ind w:firstLine="482" w:firstLineChars="200"/>
              <w:rPr>
                <w:b/>
                <w:bCs/>
                <w:sz w:val="24"/>
              </w:rPr>
            </w:pPr>
            <w:r>
              <w:rPr>
                <w:rFonts w:hint="eastAsia"/>
                <w:b/>
                <w:bCs/>
                <w:sz w:val="24"/>
              </w:rPr>
              <w:t>四</w:t>
            </w:r>
            <w:r>
              <w:rPr>
                <w:b/>
                <w:bCs/>
                <w:sz w:val="24"/>
              </w:rPr>
              <w:t>、施工期固体废物治理措施</w:t>
            </w:r>
          </w:p>
          <w:p>
            <w:pPr>
              <w:spacing w:line="360" w:lineRule="auto"/>
              <w:ind w:firstLine="480" w:firstLineChars="200"/>
              <w:rPr>
                <w:sz w:val="24"/>
              </w:rPr>
            </w:pPr>
            <w:r>
              <w:rPr>
                <w:sz w:val="24"/>
              </w:rPr>
              <w:t>本项目施工期固废主要包括废弃土石方、建筑垃圾、施工人员生活垃圾。</w:t>
            </w:r>
          </w:p>
          <w:p>
            <w:pPr>
              <w:spacing w:line="360" w:lineRule="auto"/>
              <w:ind w:firstLine="480" w:firstLineChars="200"/>
              <w:rPr>
                <w:sz w:val="24"/>
              </w:rPr>
            </w:pPr>
            <w:r>
              <w:rPr>
                <w:rFonts w:hint="eastAsia"/>
                <w:sz w:val="24"/>
              </w:rPr>
              <w:t>（1）</w:t>
            </w:r>
            <w:r>
              <w:rPr>
                <w:sz w:val="24"/>
              </w:rPr>
              <w:t>废弃土石方</w:t>
            </w:r>
          </w:p>
          <w:p>
            <w:pPr>
              <w:spacing w:line="360" w:lineRule="auto"/>
              <w:ind w:firstLine="480" w:firstLineChars="200"/>
              <w:rPr>
                <w:sz w:val="24"/>
              </w:rPr>
            </w:pPr>
            <w:r>
              <w:rPr>
                <w:sz w:val="24"/>
              </w:rPr>
              <w:t>由于项目</w:t>
            </w:r>
            <w:r>
              <w:rPr>
                <w:rFonts w:hint="eastAsia"/>
                <w:sz w:val="24"/>
              </w:rPr>
              <w:t>所在地为原临时拌合站用地，地面已进行平整，</w:t>
            </w:r>
            <w:r>
              <w:rPr>
                <w:sz w:val="24"/>
              </w:rPr>
              <w:t>因此，本项目施工期不存在大规模挖填方工程，仅基础施工过程中会产生极少量的挖方，但将全部回用于项目回填、调整场地标高和场区绿化，实现挖填平衡，无弃土产生。</w:t>
            </w:r>
          </w:p>
          <w:p>
            <w:pPr>
              <w:spacing w:line="360" w:lineRule="auto"/>
              <w:ind w:firstLine="480" w:firstLineChars="200"/>
              <w:rPr>
                <w:sz w:val="24"/>
              </w:rPr>
            </w:pPr>
            <w:r>
              <w:rPr>
                <w:sz w:val="24"/>
              </w:rPr>
              <w:t>环评要求</w:t>
            </w:r>
            <w:r>
              <w:rPr>
                <w:rFonts w:hint="eastAsia"/>
                <w:sz w:val="24"/>
              </w:rPr>
              <w:t>：</w:t>
            </w:r>
            <w:r>
              <w:rPr>
                <w:sz w:val="24"/>
              </w:rPr>
              <w:t>施工单位在开挖地基时尽可能在短时间内完成开挖、排管、回填工作，尽量减少水土流失和扬尘对区域环境的污染影响。同时</w:t>
            </w:r>
            <w:r>
              <w:rPr>
                <w:rFonts w:hint="eastAsia"/>
                <w:sz w:val="24"/>
              </w:rPr>
              <w:t>在施工过程中</w:t>
            </w:r>
            <w:r>
              <w:rPr>
                <w:sz w:val="24"/>
              </w:rPr>
              <w:t>对用于回填、场地平整和绿化的土方覆盖塑料薄膜，并修建挡土墙、排水沟，有效防止土方被雨水冲刷造成水土流失。</w:t>
            </w:r>
          </w:p>
          <w:p>
            <w:pPr>
              <w:spacing w:line="360" w:lineRule="auto"/>
              <w:ind w:firstLine="480" w:firstLineChars="200"/>
              <w:rPr>
                <w:sz w:val="24"/>
              </w:rPr>
            </w:pPr>
            <w:r>
              <w:rPr>
                <w:rFonts w:hint="eastAsia"/>
                <w:sz w:val="24"/>
              </w:rPr>
              <w:t>（2）</w:t>
            </w:r>
            <w:r>
              <w:rPr>
                <w:sz w:val="24"/>
              </w:rPr>
              <w:t>建筑垃圾</w:t>
            </w:r>
          </w:p>
          <w:p>
            <w:pPr>
              <w:spacing w:line="360" w:lineRule="auto"/>
              <w:ind w:firstLine="480" w:firstLineChars="200"/>
              <w:rPr>
                <w:sz w:val="24"/>
              </w:rPr>
            </w:pPr>
            <w:r>
              <w:rPr>
                <w:sz w:val="24"/>
              </w:rPr>
              <w:t>在进行主体工程和装饰工程施工过程中会产生</w:t>
            </w:r>
            <w:r>
              <w:rPr>
                <w:rFonts w:hint="eastAsia"/>
                <w:sz w:val="24"/>
              </w:rPr>
              <w:t>混凝土废料、废砖瓦、</w:t>
            </w:r>
            <w:r>
              <w:rPr>
                <w:sz w:val="24"/>
              </w:rPr>
              <w:t>废钢材和</w:t>
            </w:r>
            <w:r>
              <w:rPr>
                <w:rFonts w:hint="eastAsia"/>
                <w:sz w:val="24"/>
              </w:rPr>
              <w:t>废包装袋</w:t>
            </w:r>
            <w:r>
              <w:rPr>
                <w:sz w:val="24"/>
              </w:rPr>
              <w:t>等建筑垃圾，建筑垃圾产生量约</w:t>
            </w:r>
            <w:r>
              <w:rPr>
                <w:rFonts w:hint="eastAsia"/>
                <w:sz w:val="24"/>
              </w:rPr>
              <w:t>5.0</w:t>
            </w:r>
            <w:r>
              <w:rPr>
                <w:sz w:val="24"/>
              </w:rPr>
              <w:t>t。环评要求施工单位在施工现场设置建渣临时堆场</w:t>
            </w:r>
            <w:r>
              <w:rPr>
                <w:rFonts w:hint="eastAsia"/>
                <w:sz w:val="24"/>
              </w:rPr>
              <w:t>（</w:t>
            </w:r>
            <w:r>
              <w:rPr>
                <w:sz w:val="24"/>
              </w:rPr>
              <w:t>树立标示牌</w:t>
            </w:r>
            <w:r>
              <w:rPr>
                <w:rFonts w:hint="eastAsia"/>
                <w:sz w:val="24"/>
              </w:rPr>
              <w:t>）</w:t>
            </w:r>
            <w:r>
              <w:rPr>
                <w:sz w:val="24"/>
              </w:rPr>
              <w:t>并进行防雨、防泄漏处理。施工过程产生的废料首先应考虑回收利用，对钢筋、钢板、</w:t>
            </w:r>
            <w:r>
              <w:rPr>
                <w:rFonts w:hint="eastAsia"/>
                <w:sz w:val="24"/>
              </w:rPr>
              <w:t>包装袋</w:t>
            </w:r>
            <w:r>
              <w:rPr>
                <w:sz w:val="24"/>
              </w:rPr>
              <w:t>等</w:t>
            </w:r>
            <w:r>
              <w:rPr>
                <w:rFonts w:hint="eastAsia"/>
                <w:sz w:val="24"/>
              </w:rPr>
              <w:t>可回收废物</w:t>
            </w:r>
            <w:r>
              <w:rPr>
                <w:sz w:val="24"/>
              </w:rPr>
              <w:t>分类收集，交废物收购站回收处理；对不能回收的建筑垃圾，如混凝土废料、</w:t>
            </w:r>
            <w:r>
              <w:rPr>
                <w:rFonts w:hint="eastAsia"/>
                <w:sz w:val="24"/>
              </w:rPr>
              <w:t>废砖瓦</w:t>
            </w:r>
            <w:r>
              <w:rPr>
                <w:sz w:val="24"/>
              </w:rPr>
              <w:t>等应集中堆放，定时清运到</w:t>
            </w:r>
            <w:r>
              <w:rPr>
                <w:rFonts w:hint="eastAsia"/>
                <w:sz w:val="24"/>
              </w:rPr>
              <w:t>市政部门</w:t>
            </w:r>
            <w:r>
              <w:rPr>
                <w:sz w:val="24"/>
              </w:rPr>
              <w:t>指定</w:t>
            </w:r>
            <w:r>
              <w:rPr>
                <w:rFonts w:hint="eastAsia"/>
                <w:sz w:val="24"/>
              </w:rPr>
              <w:t>的</w:t>
            </w:r>
            <w:r>
              <w:rPr>
                <w:sz w:val="24"/>
              </w:rPr>
              <w:t>建筑垃圾</w:t>
            </w:r>
            <w:r>
              <w:rPr>
                <w:rFonts w:hint="eastAsia"/>
                <w:sz w:val="24"/>
              </w:rPr>
              <w:t>堆放点进行集中处置</w:t>
            </w:r>
            <w:r>
              <w:rPr>
                <w:sz w:val="24"/>
              </w:rPr>
              <w:t>。</w:t>
            </w:r>
          </w:p>
          <w:p>
            <w:pPr>
              <w:spacing w:line="360" w:lineRule="auto"/>
              <w:ind w:firstLine="480" w:firstLineChars="200"/>
              <w:rPr>
                <w:sz w:val="24"/>
              </w:rPr>
            </w:pPr>
            <w:r>
              <w:rPr>
                <w:rFonts w:hint="eastAsia"/>
                <w:sz w:val="24"/>
              </w:rPr>
              <w:t>（3）</w:t>
            </w:r>
            <w:r>
              <w:rPr>
                <w:sz w:val="24"/>
              </w:rPr>
              <w:t>施工人员生活垃圾</w:t>
            </w:r>
          </w:p>
          <w:p>
            <w:pPr>
              <w:spacing w:line="360" w:lineRule="auto"/>
              <w:ind w:firstLine="480" w:firstLineChars="200"/>
              <w:rPr>
                <w:sz w:val="24"/>
              </w:rPr>
            </w:pPr>
            <w:r>
              <w:rPr>
                <w:sz w:val="24"/>
              </w:rPr>
              <w:t>本项目施工期高峰期有施工人员约</w:t>
            </w:r>
            <w:r>
              <w:rPr>
                <w:rFonts w:hint="eastAsia"/>
                <w:sz w:val="24"/>
              </w:rPr>
              <w:t>20</w:t>
            </w:r>
            <w:r>
              <w:rPr>
                <w:sz w:val="24"/>
              </w:rPr>
              <w:t>人，生活垃圾产生量按 0.5kg/人·d计， 则施工人员生活垃圾产生量约</w:t>
            </w:r>
            <w:r>
              <w:rPr>
                <w:rFonts w:hint="eastAsia"/>
                <w:sz w:val="24"/>
              </w:rPr>
              <w:t>10</w:t>
            </w:r>
            <w:r>
              <w:rPr>
                <w:sz w:val="24"/>
              </w:rPr>
              <w:t>kg/d。环评要求施工单位袋装收集施工人员生活 垃圾，交</w:t>
            </w:r>
            <w:r>
              <w:rPr>
                <w:rFonts w:hint="eastAsia"/>
                <w:sz w:val="24"/>
              </w:rPr>
              <w:t>由</w:t>
            </w:r>
            <w:r>
              <w:rPr>
                <w:sz w:val="24"/>
              </w:rPr>
              <w:t>当地环卫部门统一清运处置，严禁就地填埋。</w:t>
            </w:r>
          </w:p>
          <w:p>
            <w:pPr>
              <w:spacing w:line="360" w:lineRule="auto"/>
              <w:ind w:firstLine="480" w:firstLineChars="200"/>
              <w:rPr>
                <w:sz w:val="24"/>
              </w:rPr>
            </w:pPr>
            <w:r>
              <w:rPr>
                <w:sz w:val="24"/>
              </w:rPr>
              <w:t>通过严格采取以上措施后，工程施工期固体废物均得到了合理处置，不会对环境造成二次污染。</w:t>
            </w:r>
          </w:p>
          <w:p>
            <w:pPr>
              <w:spacing w:line="360" w:lineRule="auto"/>
              <w:ind w:firstLine="482" w:firstLineChars="200"/>
              <w:jc w:val="left"/>
              <w:rPr>
                <w:b/>
                <w:bCs/>
                <w:sz w:val="24"/>
              </w:rPr>
            </w:pPr>
            <w:r>
              <w:rPr>
                <w:rFonts w:hint="eastAsia"/>
                <w:b/>
                <w:bCs/>
                <w:sz w:val="24"/>
              </w:rPr>
              <w:t>五</w:t>
            </w:r>
            <w:r>
              <w:rPr>
                <w:b/>
                <w:bCs/>
                <w:sz w:val="24"/>
              </w:rPr>
              <w:t>、生态环境影响分析</w:t>
            </w:r>
          </w:p>
          <w:p>
            <w:pPr>
              <w:spacing w:line="360" w:lineRule="auto"/>
              <w:ind w:firstLine="480" w:firstLineChars="200"/>
              <w:rPr>
                <w:b/>
                <w:bCs/>
                <w:sz w:val="24"/>
              </w:rPr>
            </w:pPr>
            <w:r>
              <w:rPr>
                <w:rFonts w:hint="eastAsia"/>
                <w:sz w:val="24"/>
              </w:rPr>
              <w:t>本项目拟征地范围内原为临时拌合站用地，目前拌合站设施已拆除，厂区占地范围内地面属于硬化地面，</w:t>
            </w:r>
            <w:r>
              <w:rPr>
                <w:sz w:val="24"/>
              </w:rPr>
              <w:t>不存在原生植被</w:t>
            </w:r>
            <w:r>
              <w:rPr>
                <w:rFonts w:hint="eastAsia"/>
                <w:sz w:val="24"/>
              </w:rPr>
              <w:t>，</w:t>
            </w:r>
            <w:r>
              <w:rPr>
                <w:rFonts w:hint="eastAsia"/>
                <w:kern w:val="0"/>
                <w:sz w:val="24"/>
              </w:rPr>
              <w:t>因此工程施工不会造成植被破坏，项目对生态环境的影响主要表现为</w:t>
            </w:r>
            <w:r>
              <w:rPr>
                <w:kern w:val="0"/>
                <w:sz w:val="24"/>
              </w:rPr>
              <w:t>水土流失</w:t>
            </w:r>
            <w:r>
              <w:rPr>
                <w:rFonts w:hint="eastAsia"/>
                <w:kern w:val="0"/>
                <w:sz w:val="24"/>
              </w:rPr>
              <w:t>。</w:t>
            </w:r>
          </w:p>
          <w:p>
            <w:pPr>
              <w:spacing w:line="360" w:lineRule="auto"/>
              <w:ind w:left="27" w:leftChars="13" w:firstLine="480" w:firstLineChars="200"/>
              <w:rPr>
                <w:kern w:val="0"/>
                <w:sz w:val="24"/>
              </w:rPr>
            </w:pPr>
            <w:r>
              <w:rPr>
                <w:kern w:val="0"/>
                <w:sz w:val="24"/>
              </w:rPr>
              <w:t>本项目施工过程中因工程施工占地、开挖、土方堆放等造成一定的水土流失。通常因</w:t>
            </w:r>
            <w:r>
              <w:rPr>
                <w:rFonts w:hint="eastAsia"/>
                <w:kern w:val="0"/>
                <w:sz w:val="24"/>
              </w:rPr>
              <w:t>开挖</w:t>
            </w:r>
            <w:r>
              <w:rPr>
                <w:kern w:val="0"/>
                <w:sz w:val="24"/>
              </w:rPr>
              <w:t>改变表土结构，挖出的土石方因结构松散，如果开挖期间遭遇暴雨，水土流失量将增大。水土流失的危害主要表现为降低土地生产力和水土保持功能，破坏周边生态环境，危害工程安全，影响生态效益。</w:t>
            </w:r>
          </w:p>
          <w:p>
            <w:pPr>
              <w:spacing w:line="360" w:lineRule="auto"/>
              <w:ind w:left="27" w:leftChars="13" w:firstLine="480" w:firstLineChars="200"/>
              <w:rPr>
                <w:kern w:val="0"/>
                <w:sz w:val="24"/>
              </w:rPr>
            </w:pPr>
            <w:r>
              <w:rPr>
                <w:kern w:val="0"/>
                <w:sz w:val="24"/>
              </w:rPr>
              <w:t>本项目通过施工过程中合理安排工期，避开雨季施工，施工过程中做好开挖土石方的覆盖措施以及设置截排水沟等措施，可将工程建设对水土流失的影响降至最低。</w:t>
            </w:r>
          </w:p>
          <w:p>
            <w:pPr>
              <w:spacing w:line="360" w:lineRule="auto"/>
              <w:ind w:left="27" w:leftChars="13" w:firstLine="480" w:firstLineChars="200"/>
              <w:rPr>
                <w:sz w:val="24"/>
              </w:rPr>
            </w:pPr>
            <w:r>
              <w:rPr>
                <w:kern w:val="0"/>
                <w:sz w:val="24"/>
              </w:rPr>
              <w:t>综上所述，本项目施工会对项目区生态环境产生一定的影响，通过采取相应的生态保护措施后工程对生态环境的影响可以得到减轻，工程施工期短，项目建设对生态环境影响随着施工的结束而结束。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31" w:type="dxa"/>
            <w:noWrap w:val="0"/>
            <w:tcMar>
              <w:left w:w="28" w:type="dxa"/>
              <w:right w:w="28" w:type="dxa"/>
            </w:tcMar>
            <w:vAlign w:val="center"/>
          </w:tcPr>
          <w:p>
            <w:pPr>
              <w:adjustRightInd w:val="0"/>
              <w:snapToGrid w:val="0"/>
              <w:spacing w:line="360" w:lineRule="auto"/>
              <w:jc w:val="center"/>
              <w:rPr>
                <w:b/>
                <w:sz w:val="24"/>
              </w:rPr>
            </w:pPr>
            <w:r>
              <w:rPr>
                <w:b/>
                <w:sz w:val="24"/>
              </w:rPr>
              <w:t>运营</w:t>
            </w:r>
          </w:p>
          <w:p>
            <w:pPr>
              <w:adjustRightInd w:val="0"/>
              <w:snapToGrid w:val="0"/>
              <w:spacing w:line="360" w:lineRule="auto"/>
              <w:jc w:val="center"/>
              <w:rPr>
                <w:b/>
                <w:sz w:val="24"/>
              </w:rPr>
            </w:pPr>
            <w:r>
              <w:rPr>
                <w:b/>
                <w:sz w:val="24"/>
              </w:rPr>
              <w:t>期环</w:t>
            </w:r>
          </w:p>
          <w:p>
            <w:pPr>
              <w:adjustRightInd w:val="0"/>
              <w:snapToGrid w:val="0"/>
              <w:spacing w:line="360" w:lineRule="auto"/>
              <w:jc w:val="center"/>
              <w:rPr>
                <w:b/>
                <w:sz w:val="24"/>
              </w:rPr>
            </w:pPr>
            <w:r>
              <w:rPr>
                <w:b/>
                <w:sz w:val="24"/>
              </w:rPr>
              <w:t>境影</w:t>
            </w:r>
          </w:p>
          <w:p>
            <w:pPr>
              <w:adjustRightInd w:val="0"/>
              <w:snapToGrid w:val="0"/>
              <w:spacing w:line="360" w:lineRule="auto"/>
              <w:jc w:val="center"/>
              <w:rPr>
                <w:b/>
                <w:sz w:val="24"/>
              </w:rPr>
            </w:pPr>
            <w:r>
              <w:rPr>
                <w:b/>
                <w:sz w:val="24"/>
              </w:rPr>
              <w:t>响和</w:t>
            </w:r>
          </w:p>
          <w:p>
            <w:pPr>
              <w:adjustRightInd w:val="0"/>
              <w:snapToGrid w:val="0"/>
              <w:spacing w:line="360" w:lineRule="auto"/>
              <w:jc w:val="center"/>
              <w:rPr>
                <w:b/>
                <w:sz w:val="24"/>
              </w:rPr>
            </w:pPr>
            <w:r>
              <w:rPr>
                <w:b/>
                <w:sz w:val="24"/>
              </w:rPr>
              <w:t>保护</w:t>
            </w:r>
          </w:p>
          <w:p>
            <w:pPr>
              <w:adjustRightInd w:val="0"/>
              <w:snapToGrid w:val="0"/>
              <w:spacing w:line="360" w:lineRule="auto"/>
              <w:jc w:val="center"/>
              <w:rPr>
                <w:bCs/>
                <w:szCs w:val="21"/>
              </w:rPr>
            </w:pPr>
            <w:r>
              <w:rPr>
                <w:b/>
                <w:sz w:val="24"/>
              </w:rPr>
              <w:t>措施</w:t>
            </w:r>
          </w:p>
        </w:tc>
        <w:tc>
          <w:tcPr>
            <w:tcW w:w="8650" w:type="dxa"/>
            <w:noWrap w:val="0"/>
            <w:vAlign w:val="center"/>
          </w:tcPr>
          <w:p>
            <w:pPr>
              <w:spacing w:line="360" w:lineRule="auto"/>
              <w:ind w:firstLine="480"/>
              <w:rPr>
                <w:b/>
                <w:bCs/>
                <w:kern w:val="0"/>
                <w:sz w:val="24"/>
              </w:rPr>
            </w:pPr>
            <w:bookmarkStart w:id="19" w:name="_Toc535187674"/>
            <w:r>
              <w:rPr>
                <w:b/>
                <w:bCs/>
                <w:kern w:val="0"/>
                <w:sz w:val="24"/>
              </w:rPr>
              <w:t>一、</w:t>
            </w:r>
            <w:bookmarkEnd w:id="19"/>
            <w:r>
              <w:rPr>
                <w:rFonts w:hint="eastAsia"/>
                <w:b/>
                <w:bCs/>
                <w:kern w:val="0"/>
                <w:sz w:val="24"/>
              </w:rPr>
              <w:t>废水</w:t>
            </w:r>
          </w:p>
          <w:p>
            <w:pPr>
              <w:spacing w:line="360" w:lineRule="auto"/>
              <w:ind w:firstLine="480"/>
              <w:rPr>
                <w:b/>
                <w:bCs/>
                <w:kern w:val="0"/>
                <w:sz w:val="24"/>
              </w:rPr>
            </w:pPr>
            <w:r>
              <w:rPr>
                <w:rFonts w:hint="eastAsia"/>
                <w:b/>
                <w:bCs/>
                <w:kern w:val="0"/>
                <w:sz w:val="24"/>
              </w:rPr>
              <w:t>1、运营期水污染物排放及治措施</w:t>
            </w:r>
          </w:p>
          <w:p>
            <w:pPr>
              <w:spacing w:line="360" w:lineRule="auto"/>
              <w:ind w:firstLine="480"/>
              <w:rPr>
                <w:kern w:val="0"/>
                <w:sz w:val="24"/>
              </w:rPr>
            </w:pPr>
            <w:r>
              <w:rPr>
                <w:kern w:val="0"/>
                <w:sz w:val="24"/>
              </w:rPr>
              <w:t>项目营运期废水主要为</w:t>
            </w:r>
            <w:r>
              <w:rPr>
                <w:rFonts w:hint="eastAsia"/>
                <w:kern w:val="0"/>
                <w:sz w:val="24"/>
              </w:rPr>
              <w:t>洗车废水、地面冲洗废水、</w:t>
            </w:r>
            <w:r>
              <w:rPr>
                <w:kern w:val="0"/>
                <w:sz w:val="24"/>
              </w:rPr>
              <w:t>员工及司乘人员产生的生活污水及地面初期雨水。项目绿化用水经土壤渗透吸收后不外排。</w:t>
            </w:r>
          </w:p>
          <w:p>
            <w:pPr>
              <w:spacing w:line="360" w:lineRule="auto"/>
              <w:ind w:left="102" w:right="40" w:firstLine="482"/>
              <w:rPr>
                <w:kern w:val="0"/>
                <w:sz w:val="24"/>
              </w:rPr>
            </w:pPr>
            <w:r>
              <w:rPr>
                <w:rFonts w:hint="eastAsia"/>
                <w:kern w:val="0"/>
                <w:sz w:val="24"/>
              </w:rPr>
              <w:t>（1）洗车废水</w:t>
            </w:r>
          </w:p>
          <w:p>
            <w:pPr>
              <w:spacing w:line="360" w:lineRule="auto"/>
              <w:ind w:left="102" w:right="40" w:firstLine="482"/>
              <w:rPr>
                <w:kern w:val="0"/>
                <w:sz w:val="24"/>
              </w:rPr>
            </w:pPr>
            <w:r>
              <w:rPr>
                <w:rFonts w:hint="eastAsia" w:ascii="宋体" w:hAnsi="宋体" w:cs="宋体"/>
                <w:kern w:val="0"/>
                <w:sz w:val="24"/>
              </w:rPr>
              <w:t>①</w:t>
            </w:r>
            <w:r>
              <w:rPr>
                <w:kern w:val="0"/>
                <w:sz w:val="24"/>
              </w:rPr>
              <w:t>产生情况</w:t>
            </w:r>
          </w:p>
          <w:p>
            <w:pPr>
              <w:spacing w:line="360" w:lineRule="auto"/>
              <w:ind w:left="102" w:right="40" w:firstLine="482"/>
              <w:rPr>
                <w:rFonts w:ascii="宋体" w:hAnsi="宋体" w:cs="宋体"/>
                <w:sz w:val="23"/>
                <w:szCs w:val="23"/>
              </w:rPr>
            </w:pPr>
            <w:r>
              <w:rPr>
                <w:rFonts w:hint="eastAsia"/>
                <w:kern w:val="0"/>
                <w:sz w:val="24"/>
              </w:rPr>
              <w:t>本项目设置</w:t>
            </w:r>
            <w:r>
              <w:rPr>
                <w:kern w:val="0"/>
                <w:sz w:val="24"/>
              </w:rPr>
              <w:t>通过式洗车机1台</w:t>
            </w:r>
            <w:r>
              <w:rPr>
                <w:rFonts w:hint="eastAsia"/>
                <w:kern w:val="0"/>
                <w:sz w:val="24"/>
              </w:rPr>
              <w:t>，洗车过程中仅进行水冲洗，不添加清洗剂。加油车辆</w:t>
            </w:r>
            <w:r>
              <w:rPr>
                <w:kern w:val="0"/>
                <w:sz w:val="24"/>
              </w:rPr>
              <w:t>以小型车每车加油</w:t>
            </w:r>
            <w:r>
              <w:rPr>
                <w:rFonts w:hint="eastAsia"/>
                <w:kern w:val="0"/>
                <w:sz w:val="24"/>
              </w:rPr>
              <w:t>5</w:t>
            </w:r>
            <w:r>
              <w:rPr>
                <w:kern w:val="0"/>
                <w:sz w:val="24"/>
              </w:rPr>
              <w:t>0L、载重车每车加油100L计，</w:t>
            </w:r>
            <w:r>
              <w:rPr>
                <w:rFonts w:hint="eastAsia"/>
                <w:kern w:val="0"/>
                <w:sz w:val="24"/>
              </w:rPr>
              <w:t>燃气车辆每车加气60L计，</w:t>
            </w:r>
            <w:r>
              <w:rPr>
                <w:kern w:val="0"/>
                <w:sz w:val="24"/>
              </w:rPr>
              <w:t>考虑24小时服务，根据加油加气站销售量</w:t>
            </w:r>
            <w:r>
              <w:rPr>
                <w:rFonts w:hint="eastAsia"/>
                <w:kern w:val="0"/>
                <w:sz w:val="24"/>
              </w:rPr>
              <w:t>（</w:t>
            </w:r>
            <w:r>
              <w:rPr>
                <w:kern w:val="0"/>
                <w:sz w:val="24"/>
              </w:rPr>
              <w:t>年售汽油</w:t>
            </w:r>
            <w:r>
              <w:rPr>
                <w:rFonts w:hint="eastAsia"/>
                <w:kern w:val="0"/>
                <w:sz w:val="24"/>
              </w:rPr>
              <w:t>2214</w:t>
            </w:r>
            <w:r>
              <w:rPr>
                <w:kern w:val="0"/>
                <w:sz w:val="24"/>
              </w:rPr>
              <w:t>m</w:t>
            </w:r>
            <w:r>
              <w:rPr>
                <w:rFonts w:hint="eastAsia"/>
                <w:kern w:val="0"/>
                <w:sz w:val="24"/>
                <w:vertAlign w:val="superscript"/>
              </w:rPr>
              <w:t>3</w:t>
            </w:r>
            <w:r>
              <w:rPr>
                <w:kern w:val="0"/>
                <w:sz w:val="24"/>
              </w:rPr>
              <w:t>，柴油</w:t>
            </w:r>
            <w:r>
              <w:rPr>
                <w:rFonts w:hint="eastAsia"/>
                <w:kern w:val="0"/>
                <w:sz w:val="24"/>
              </w:rPr>
              <w:t>1350</w:t>
            </w:r>
            <w:r>
              <w:rPr>
                <w:kern w:val="0"/>
                <w:sz w:val="24"/>
              </w:rPr>
              <w:t>m</w:t>
            </w:r>
            <w:r>
              <w:rPr>
                <w:kern w:val="0"/>
                <w:sz w:val="24"/>
                <w:vertAlign w:val="superscript"/>
              </w:rPr>
              <w:t>3</w:t>
            </w:r>
            <w:r>
              <w:rPr>
                <w:rFonts w:hint="eastAsia"/>
                <w:kern w:val="0"/>
                <w:sz w:val="24"/>
              </w:rPr>
              <w:t>，液化天然气2808m</w:t>
            </w:r>
            <w:r>
              <w:rPr>
                <w:kern w:val="0"/>
                <w:sz w:val="24"/>
                <w:vertAlign w:val="superscript"/>
              </w:rPr>
              <w:t>3</w:t>
            </w:r>
            <w:r>
              <w:rPr>
                <w:rFonts w:hint="eastAsia"/>
                <w:kern w:val="0"/>
                <w:sz w:val="24"/>
              </w:rPr>
              <w:t>）</w:t>
            </w:r>
            <w:r>
              <w:rPr>
                <w:kern w:val="0"/>
                <w:sz w:val="24"/>
              </w:rPr>
              <w:t>可知，加油加气站每天可给约300辆左右的汽车加油</w:t>
            </w:r>
            <w:r>
              <w:rPr>
                <w:rFonts w:hint="eastAsia"/>
                <w:kern w:val="0"/>
                <w:sz w:val="24"/>
              </w:rPr>
              <w:t>加气，加油机汽车洗车率以15%计，则洗车率约为45辆/</w:t>
            </w:r>
            <w:r>
              <w:rPr>
                <w:kern w:val="0"/>
                <w:sz w:val="24"/>
              </w:rPr>
              <w:t>d</w:t>
            </w:r>
            <w:r>
              <w:rPr>
                <w:rFonts w:hint="eastAsia"/>
                <w:kern w:val="0"/>
                <w:sz w:val="24"/>
              </w:rPr>
              <w:t>，根据</w:t>
            </w:r>
            <w:r>
              <w:rPr>
                <w:kern w:val="0"/>
                <w:sz w:val="24"/>
              </w:rPr>
              <w:t>《四川省用水定额》</w:t>
            </w:r>
            <w:r>
              <w:rPr>
                <w:rFonts w:hint="eastAsia"/>
                <w:kern w:val="0"/>
                <w:sz w:val="24"/>
              </w:rPr>
              <w:t>（川府函</w:t>
            </w:r>
            <w:r>
              <w:rPr>
                <w:kern w:val="0"/>
                <w:sz w:val="24"/>
              </w:rPr>
              <w:t>〔2021〕8号</w:t>
            </w:r>
            <w:r>
              <w:rPr>
                <w:rFonts w:hint="eastAsia"/>
                <w:kern w:val="0"/>
                <w:sz w:val="24"/>
              </w:rPr>
              <w:t>），洗车</w:t>
            </w:r>
            <w:r>
              <w:rPr>
                <w:kern w:val="0"/>
                <w:sz w:val="24"/>
              </w:rPr>
              <w:t>用水量按</w:t>
            </w:r>
            <w:r>
              <w:rPr>
                <w:rFonts w:hint="eastAsia"/>
                <w:kern w:val="0"/>
                <w:sz w:val="24"/>
              </w:rPr>
              <w:t>40</w:t>
            </w:r>
            <w:r>
              <w:rPr>
                <w:kern w:val="0"/>
                <w:sz w:val="24"/>
              </w:rPr>
              <w:t>L/</w:t>
            </w:r>
            <w:r>
              <w:rPr>
                <w:rFonts w:hint="eastAsia"/>
                <w:kern w:val="0"/>
                <w:sz w:val="24"/>
              </w:rPr>
              <w:t>辆</w:t>
            </w:r>
            <w:r>
              <w:rPr>
                <w:kern w:val="0"/>
                <w:sz w:val="24"/>
              </w:rPr>
              <w:t>·次计，则加油加气站</w:t>
            </w:r>
            <w:r>
              <w:rPr>
                <w:rFonts w:hint="eastAsia"/>
                <w:kern w:val="0"/>
                <w:sz w:val="24"/>
              </w:rPr>
              <w:t>洗车</w:t>
            </w:r>
            <w:r>
              <w:rPr>
                <w:kern w:val="0"/>
                <w:sz w:val="24"/>
              </w:rPr>
              <w:t>用水量为</w:t>
            </w:r>
            <w:r>
              <w:rPr>
                <w:rFonts w:hint="eastAsia"/>
                <w:kern w:val="0"/>
                <w:sz w:val="24"/>
              </w:rPr>
              <w:t>1.80</w:t>
            </w:r>
            <w:r>
              <w:rPr>
                <w:kern w:val="0"/>
                <w:sz w:val="24"/>
              </w:rPr>
              <w:t>m</w:t>
            </w:r>
            <w:r>
              <w:rPr>
                <w:kern w:val="0"/>
                <w:sz w:val="24"/>
                <w:vertAlign w:val="superscript"/>
              </w:rPr>
              <w:t>3</w:t>
            </w:r>
            <w:r>
              <w:rPr>
                <w:kern w:val="0"/>
                <w:sz w:val="24"/>
              </w:rPr>
              <w:t>/d，</w:t>
            </w:r>
            <w:r>
              <w:rPr>
                <w:rFonts w:hint="eastAsia"/>
                <w:kern w:val="0"/>
                <w:sz w:val="24"/>
              </w:rPr>
              <w:t>657</w:t>
            </w:r>
            <w:r>
              <w:rPr>
                <w:kern w:val="0"/>
                <w:sz w:val="24"/>
              </w:rPr>
              <w:t>m</w:t>
            </w:r>
            <w:r>
              <w:rPr>
                <w:kern w:val="0"/>
                <w:sz w:val="24"/>
                <w:vertAlign w:val="superscript"/>
              </w:rPr>
              <w:t>3</w:t>
            </w:r>
            <w:r>
              <w:rPr>
                <w:kern w:val="0"/>
                <w:sz w:val="24"/>
              </w:rPr>
              <w:t>/a。</w:t>
            </w:r>
            <w:r>
              <w:rPr>
                <w:rFonts w:hint="eastAsia"/>
                <w:kern w:val="0"/>
                <w:sz w:val="24"/>
              </w:rPr>
              <w:t>洗车废水</w:t>
            </w:r>
            <w:r>
              <w:rPr>
                <w:rFonts w:ascii="宋体" w:hAnsi="宋体" w:cs="宋体"/>
                <w:spacing w:val="2"/>
                <w:sz w:val="23"/>
                <w:szCs w:val="23"/>
              </w:rPr>
              <w:t>产污系数按</w:t>
            </w:r>
            <w:r>
              <w:rPr>
                <w:kern w:val="0"/>
                <w:sz w:val="24"/>
              </w:rPr>
              <w:t>8</w:t>
            </w:r>
            <w:r>
              <w:rPr>
                <w:rFonts w:hint="eastAsia"/>
                <w:kern w:val="0"/>
                <w:sz w:val="24"/>
              </w:rPr>
              <w:t>0</w:t>
            </w:r>
            <w:r>
              <w:rPr>
                <w:kern w:val="0"/>
                <w:sz w:val="24"/>
              </w:rPr>
              <w:t>%计，则项目</w:t>
            </w:r>
            <w:r>
              <w:rPr>
                <w:rFonts w:hint="eastAsia"/>
                <w:kern w:val="0"/>
                <w:sz w:val="24"/>
              </w:rPr>
              <w:t>洗车废水</w:t>
            </w:r>
            <w:r>
              <w:rPr>
                <w:kern w:val="0"/>
                <w:sz w:val="24"/>
              </w:rPr>
              <w:t>产生量约为 1.</w:t>
            </w:r>
            <w:r>
              <w:rPr>
                <w:rFonts w:hint="eastAsia"/>
                <w:kern w:val="0"/>
                <w:sz w:val="24"/>
              </w:rPr>
              <w:t>44</w:t>
            </w:r>
            <w:r>
              <w:rPr>
                <w:kern w:val="0"/>
                <w:sz w:val="24"/>
              </w:rPr>
              <w:t>m</w:t>
            </w:r>
            <w:r>
              <w:rPr>
                <w:kern w:val="0"/>
                <w:sz w:val="24"/>
                <w:vertAlign w:val="superscript"/>
              </w:rPr>
              <w:t>3</w:t>
            </w:r>
            <w:r>
              <w:rPr>
                <w:kern w:val="0"/>
                <w:sz w:val="24"/>
              </w:rPr>
              <w:t>/d</w:t>
            </w:r>
            <w:r>
              <w:rPr>
                <w:rFonts w:hint="eastAsia"/>
                <w:kern w:val="0"/>
                <w:sz w:val="24"/>
              </w:rPr>
              <w:t>，525.6</w:t>
            </w:r>
            <w:r>
              <w:rPr>
                <w:kern w:val="0"/>
                <w:sz w:val="24"/>
              </w:rPr>
              <w:t>m</w:t>
            </w:r>
            <w:r>
              <w:rPr>
                <w:kern w:val="0"/>
                <w:sz w:val="24"/>
                <w:vertAlign w:val="superscript"/>
              </w:rPr>
              <w:t>3</w:t>
            </w:r>
            <w:r>
              <w:rPr>
                <w:kern w:val="0"/>
                <w:sz w:val="24"/>
              </w:rPr>
              <w:t>/a。</w:t>
            </w:r>
          </w:p>
          <w:p>
            <w:pPr>
              <w:spacing w:line="360" w:lineRule="auto"/>
              <w:ind w:left="102" w:right="40" w:firstLine="482"/>
              <w:rPr>
                <w:rFonts w:ascii="宋体" w:hAnsi="宋体" w:cs="宋体"/>
                <w:sz w:val="23"/>
                <w:szCs w:val="23"/>
              </w:rPr>
            </w:pPr>
            <w:r>
              <w:rPr>
                <w:rFonts w:ascii="宋体" w:hAnsi="宋体" w:cs="宋体"/>
                <w:sz w:val="23"/>
                <w:szCs w:val="23"/>
              </w:rPr>
              <w:fldChar w:fldCharType="begin"/>
            </w:r>
            <w:r>
              <w:rPr>
                <w:rFonts w:ascii="宋体" w:hAnsi="宋体" w:cs="宋体"/>
                <w:sz w:val="23"/>
                <w:szCs w:val="23"/>
              </w:rPr>
              <w:instrText xml:space="preserve"> </w:instrText>
            </w:r>
            <w:r>
              <w:rPr>
                <w:rFonts w:hint="eastAsia" w:ascii="宋体" w:hAnsi="宋体" w:cs="宋体"/>
                <w:sz w:val="23"/>
                <w:szCs w:val="23"/>
              </w:rPr>
              <w:instrText xml:space="preserve">= 2 \* GB3</w:instrText>
            </w:r>
            <w:r>
              <w:rPr>
                <w:rFonts w:ascii="宋体" w:hAnsi="宋体" w:cs="宋体"/>
                <w:sz w:val="23"/>
                <w:szCs w:val="23"/>
              </w:rPr>
              <w:instrText xml:space="preserve"> </w:instrText>
            </w:r>
            <w:r>
              <w:rPr>
                <w:rFonts w:ascii="宋体" w:hAnsi="宋体" w:cs="宋体"/>
                <w:sz w:val="23"/>
                <w:szCs w:val="23"/>
              </w:rPr>
              <w:fldChar w:fldCharType="separate"/>
            </w:r>
            <w:r>
              <w:rPr>
                <w:rFonts w:hint="eastAsia" w:ascii="宋体" w:hAnsi="宋体" w:cs="宋体"/>
                <w:sz w:val="23"/>
                <w:szCs w:val="23"/>
              </w:rPr>
              <w:t>②</w:t>
            </w:r>
            <w:r>
              <w:rPr>
                <w:rFonts w:ascii="宋体" w:hAnsi="宋体" w:cs="宋体"/>
                <w:sz w:val="23"/>
                <w:szCs w:val="23"/>
              </w:rPr>
              <w:fldChar w:fldCharType="end"/>
            </w:r>
            <w:r>
              <w:rPr>
                <w:kern w:val="0"/>
                <w:sz w:val="24"/>
              </w:rPr>
              <w:t>治理措施</w:t>
            </w:r>
          </w:p>
          <w:p>
            <w:pPr>
              <w:pStyle w:val="647"/>
              <w:ind w:firstLine="480"/>
              <w:rPr>
                <w:rFonts w:ascii="宋体" w:hAnsi="宋体" w:cs="宋体"/>
                <w:szCs w:val="24"/>
                <w:lang w:bidi="ar"/>
              </w:rPr>
            </w:pPr>
            <w:r>
              <w:rPr>
                <w:szCs w:val="24"/>
              </w:rPr>
              <w:t>本项目站内</w:t>
            </w:r>
            <w:r>
              <w:rPr>
                <w:rFonts w:hint="eastAsia"/>
                <w:szCs w:val="24"/>
              </w:rPr>
              <w:t>洗车区设置洗车废水处理装置1套，采用2格式隔油沉淀处理工艺，单格隔油沉淀池容积不小于1.0</w:t>
            </w:r>
            <w:r>
              <w:rPr>
                <w:szCs w:val="24"/>
              </w:rPr>
              <w:t>m</w:t>
            </w:r>
            <w:r>
              <w:rPr>
                <w:rFonts w:hint="eastAsia"/>
                <w:szCs w:val="24"/>
                <w:vertAlign w:val="superscript"/>
              </w:rPr>
              <w:t>3</w:t>
            </w:r>
            <w:r>
              <w:rPr>
                <w:rFonts w:hint="eastAsia"/>
                <w:szCs w:val="24"/>
              </w:rPr>
              <w:t>，</w:t>
            </w:r>
            <w:r>
              <w:rPr>
                <w:rFonts w:hint="eastAsia"/>
              </w:rPr>
              <w:t>项目洗车废水经</w:t>
            </w:r>
            <w:r>
              <w:rPr>
                <w:rFonts w:hint="eastAsia"/>
                <w:szCs w:val="24"/>
              </w:rPr>
              <w:t>废水处理装置</w:t>
            </w:r>
            <w:r>
              <w:rPr>
                <w:rFonts w:hint="eastAsia"/>
              </w:rPr>
              <w:t>隔油沉淀处理后上清液循环使用（循环使用率约为60%），下层废水</w:t>
            </w:r>
            <w:r>
              <w:t>排入化粪池与生活污水一同</w:t>
            </w:r>
            <w:r>
              <w:rPr>
                <w:rFonts w:hint="eastAsia"/>
              </w:rPr>
              <w:t>预处理后通过市政污水管网排入达州市第二城市生活污水处理厂，</w:t>
            </w:r>
            <w:r>
              <w:rPr>
                <w:rFonts w:hint="eastAsia"/>
                <w:szCs w:val="24"/>
                <w:lang w:bidi="ar"/>
              </w:rPr>
              <w:t>处理</w:t>
            </w:r>
            <w:r>
              <w:rPr>
                <w:rFonts w:hint="eastAsia"/>
                <w:szCs w:val="24"/>
              </w:rPr>
              <w:t>达到</w:t>
            </w:r>
            <w:r>
              <w:rPr>
                <w:szCs w:val="24"/>
              </w:rPr>
              <w:t>《城镇污水处理厂污染物排放标准》（GB18981-2002）一级A标准</w:t>
            </w:r>
            <w:r>
              <w:rPr>
                <w:rFonts w:hint="eastAsia"/>
                <w:szCs w:val="24"/>
              </w:rPr>
              <w:t>后</w:t>
            </w:r>
            <w:r>
              <w:rPr>
                <w:rFonts w:hint="eastAsia" w:ascii="宋体" w:hAnsi="宋体" w:cs="宋体"/>
                <w:szCs w:val="24"/>
                <w:lang w:bidi="ar"/>
              </w:rPr>
              <w:t>排入州河。</w:t>
            </w:r>
          </w:p>
          <w:p>
            <w:pPr>
              <w:spacing w:line="360" w:lineRule="auto"/>
              <w:ind w:left="102" w:right="40" w:firstLine="482"/>
              <w:rPr>
                <w:rFonts w:ascii="宋体" w:hAnsi="宋体" w:cs="宋体"/>
                <w:sz w:val="23"/>
                <w:szCs w:val="23"/>
              </w:rPr>
            </w:pPr>
            <w:r>
              <w:rPr>
                <w:rFonts w:hint="eastAsia" w:ascii="宋体" w:hAnsi="宋体" w:cs="宋体"/>
                <w:lang w:bidi="ar"/>
              </w:rPr>
              <w:t>则洗车废水排放量约为</w:t>
            </w:r>
            <w:r>
              <w:rPr>
                <w:rFonts w:hint="eastAsia"/>
                <w:kern w:val="0"/>
                <w:sz w:val="24"/>
              </w:rPr>
              <w:t>0.58</w:t>
            </w:r>
            <w:r>
              <w:rPr>
                <w:kern w:val="0"/>
                <w:sz w:val="24"/>
              </w:rPr>
              <w:t>m</w:t>
            </w:r>
            <w:r>
              <w:rPr>
                <w:kern w:val="0"/>
                <w:sz w:val="24"/>
                <w:vertAlign w:val="superscript"/>
              </w:rPr>
              <w:t>3</w:t>
            </w:r>
            <w:r>
              <w:rPr>
                <w:kern w:val="0"/>
                <w:sz w:val="24"/>
              </w:rPr>
              <w:t>/d</w:t>
            </w:r>
            <w:r>
              <w:rPr>
                <w:rFonts w:hint="eastAsia"/>
                <w:kern w:val="0"/>
                <w:sz w:val="24"/>
              </w:rPr>
              <w:t>，211.7</w:t>
            </w:r>
            <w:r>
              <w:rPr>
                <w:kern w:val="0"/>
                <w:sz w:val="24"/>
              </w:rPr>
              <w:t>m</w:t>
            </w:r>
            <w:r>
              <w:rPr>
                <w:kern w:val="0"/>
                <w:sz w:val="24"/>
                <w:vertAlign w:val="superscript"/>
              </w:rPr>
              <w:t>3</w:t>
            </w:r>
            <w:r>
              <w:rPr>
                <w:kern w:val="0"/>
                <w:sz w:val="24"/>
              </w:rPr>
              <w:t>/a。</w:t>
            </w:r>
          </w:p>
          <w:p>
            <w:pPr>
              <w:spacing w:line="360" w:lineRule="auto"/>
              <w:ind w:left="102" w:right="40" w:firstLine="482"/>
              <w:rPr>
                <w:kern w:val="0"/>
                <w:sz w:val="24"/>
              </w:rPr>
            </w:pPr>
            <w:r>
              <w:rPr>
                <w:rFonts w:hint="eastAsia"/>
                <w:kern w:val="0"/>
                <w:sz w:val="24"/>
              </w:rPr>
              <w:t>（2）地面冲洗废水</w:t>
            </w:r>
          </w:p>
          <w:p>
            <w:pPr>
              <w:spacing w:line="360" w:lineRule="auto"/>
              <w:ind w:left="102" w:right="40" w:firstLine="482"/>
              <w:rPr>
                <w:kern w:val="0"/>
                <w:sz w:val="24"/>
              </w:rPr>
            </w:pPr>
            <w:r>
              <w:rPr>
                <w:rFonts w:hint="eastAsia" w:ascii="宋体" w:hAnsi="宋体" w:cs="宋体"/>
                <w:kern w:val="0"/>
                <w:sz w:val="24"/>
              </w:rPr>
              <w:t>①</w:t>
            </w:r>
            <w:r>
              <w:rPr>
                <w:kern w:val="0"/>
                <w:sz w:val="24"/>
              </w:rPr>
              <w:t>产生情况</w:t>
            </w:r>
          </w:p>
          <w:p>
            <w:pPr>
              <w:spacing w:line="360" w:lineRule="auto"/>
              <w:ind w:left="102" w:right="40" w:firstLine="482"/>
              <w:rPr>
                <w:rFonts w:ascii="宋体" w:hAnsi="宋体" w:cs="宋体"/>
                <w:sz w:val="23"/>
                <w:szCs w:val="23"/>
              </w:rPr>
            </w:pPr>
            <w:r>
              <w:rPr>
                <w:rFonts w:hint="eastAsia"/>
                <w:kern w:val="0"/>
                <w:sz w:val="24"/>
              </w:rPr>
              <w:t>本项目地面冲洗频次约为1次/月，站内地面冲洗区域主要为加油加气罩棚区域以及卸油区、LNG卸车区等，冲洗面积约为886</w:t>
            </w:r>
            <w:r>
              <w:rPr>
                <w:kern w:val="0"/>
                <w:sz w:val="24"/>
              </w:rPr>
              <w:t>m</w:t>
            </w:r>
            <w:r>
              <w:rPr>
                <w:rFonts w:hint="eastAsia"/>
                <w:kern w:val="0"/>
                <w:sz w:val="24"/>
                <w:vertAlign w:val="superscript"/>
              </w:rPr>
              <w:t>2</w:t>
            </w:r>
            <w:r>
              <w:rPr>
                <w:rFonts w:hint="eastAsia"/>
                <w:kern w:val="0"/>
                <w:sz w:val="24"/>
              </w:rPr>
              <w:t>，冲洗用水量参照</w:t>
            </w:r>
            <w:r>
              <w:rPr>
                <w:kern w:val="0"/>
                <w:sz w:val="24"/>
              </w:rPr>
              <w:t>《四川省用水定额》</w:t>
            </w:r>
            <w:r>
              <w:rPr>
                <w:rFonts w:hint="eastAsia"/>
                <w:kern w:val="0"/>
                <w:sz w:val="24"/>
              </w:rPr>
              <w:t>（川府函</w:t>
            </w:r>
            <w:r>
              <w:rPr>
                <w:kern w:val="0"/>
                <w:sz w:val="24"/>
              </w:rPr>
              <w:t>〔2021〕8号</w:t>
            </w:r>
            <w:r>
              <w:rPr>
                <w:rFonts w:hint="eastAsia"/>
                <w:kern w:val="0"/>
                <w:sz w:val="24"/>
              </w:rPr>
              <w:t>）中城市道路冲洗，取2.0L</w:t>
            </w:r>
            <w:r>
              <w:rPr>
                <w:kern w:val="0"/>
                <w:sz w:val="24"/>
              </w:rPr>
              <w:t>/</w:t>
            </w:r>
            <w:r>
              <w:rPr>
                <w:rFonts w:hint="eastAsia"/>
                <w:kern w:val="0"/>
                <w:sz w:val="24"/>
              </w:rPr>
              <w:t>（</w:t>
            </w:r>
            <w:r>
              <w:rPr>
                <w:kern w:val="0"/>
                <w:sz w:val="24"/>
              </w:rPr>
              <w:t>m</w:t>
            </w:r>
            <w:r>
              <w:rPr>
                <w:rFonts w:hint="eastAsia"/>
                <w:kern w:val="0"/>
                <w:sz w:val="24"/>
                <w:vertAlign w:val="superscript"/>
              </w:rPr>
              <w:t>2</w:t>
            </w:r>
            <w:r>
              <w:rPr>
                <w:kern w:val="0"/>
                <w:sz w:val="24"/>
              </w:rPr>
              <w:t>·</w:t>
            </w:r>
            <w:r>
              <w:rPr>
                <w:rFonts w:hint="eastAsia"/>
                <w:kern w:val="0"/>
                <w:sz w:val="24"/>
              </w:rPr>
              <w:t>次），则项目地面冲洗用水量约为1.77</w:t>
            </w:r>
            <w:r>
              <w:rPr>
                <w:kern w:val="0"/>
                <w:sz w:val="24"/>
              </w:rPr>
              <w:t>m</w:t>
            </w:r>
            <w:r>
              <w:rPr>
                <w:rFonts w:hint="eastAsia"/>
                <w:kern w:val="0"/>
                <w:sz w:val="24"/>
                <w:vertAlign w:val="superscript"/>
              </w:rPr>
              <w:t>3</w:t>
            </w:r>
            <w:r>
              <w:rPr>
                <w:rFonts w:hint="eastAsia"/>
                <w:kern w:val="0"/>
                <w:sz w:val="24"/>
              </w:rPr>
              <w:t>/次（折合约0.06</w:t>
            </w:r>
            <w:r>
              <w:rPr>
                <w:kern w:val="0"/>
                <w:sz w:val="24"/>
              </w:rPr>
              <w:t>m</w:t>
            </w:r>
            <w:r>
              <w:rPr>
                <w:rFonts w:hint="eastAsia"/>
                <w:kern w:val="0"/>
                <w:sz w:val="24"/>
                <w:vertAlign w:val="superscript"/>
              </w:rPr>
              <w:t>3</w:t>
            </w:r>
            <w:r>
              <w:rPr>
                <w:rFonts w:hint="eastAsia"/>
                <w:kern w:val="0"/>
                <w:sz w:val="24"/>
              </w:rPr>
              <w:t>/</w:t>
            </w:r>
            <w:r>
              <w:rPr>
                <w:kern w:val="0"/>
                <w:sz w:val="24"/>
              </w:rPr>
              <w:t>d</w:t>
            </w:r>
            <w:r>
              <w:rPr>
                <w:rFonts w:hint="eastAsia"/>
                <w:kern w:val="0"/>
                <w:sz w:val="24"/>
              </w:rPr>
              <w:t>），冲洗废水</w:t>
            </w:r>
            <w:r>
              <w:rPr>
                <w:rFonts w:ascii="宋体" w:hAnsi="宋体" w:cs="宋体"/>
                <w:spacing w:val="2"/>
                <w:sz w:val="23"/>
                <w:szCs w:val="23"/>
              </w:rPr>
              <w:t>产污系数按</w:t>
            </w:r>
            <w:r>
              <w:rPr>
                <w:kern w:val="0"/>
                <w:sz w:val="24"/>
              </w:rPr>
              <w:t>8</w:t>
            </w:r>
            <w:r>
              <w:rPr>
                <w:rFonts w:hint="eastAsia"/>
                <w:kern w:val="0"/>
                <w:sz w:val="24"/>
              </w:rPr>
              <w:t>0</w:t>
            </w:r>
            <w:r>
              <w:rPr>
                <w:kern w:val="0"/>
                <w:sz w:val="24"/>
              </w:rPr>
              <w:t>%计，则项目</w:t>
            </w:r>
            <w:r>
              <w:rPr>
                <w:rFonts w:hint="eastAsia"/>
                <w:kern w:val="0"/>
                <w:sz w:val="24"/>
              </w:rPr>
              <w:t>冲洗废水</w:t>
            </w:r>
            <w:r>
              <w:rPr>
                <w:kern w:val="0"/>
                <w:sz w:val="24"/>
              </w:rPr>
              <w:t>产生量约为</w:t>
            </w:r>
            <w:r>
              <w:rPr>
                <w:rFonts w:hint="eastAsia"/>
                <w:kern w:val="0"/>
                <w:sz w:val="24"/>
              </w:rPr>
              <w:t>1.42</w:t>
            </w:r>
            <w:r>
              <w:rPr>
                <w:kern w:val="0"/>
                <w:sz w:val="24"/>
              </w:rPr>
              <w:t>m</w:t>
            </w:r>
            <w:r>
              <w:rPr>
                <w:rFonts w:hint="eastAsia"/>
                <w:kern w:val="0"/>
                <w:sz w:val="24"/>
                <w:vertAlign w:val="superscript"/>
              </w:rPr>
              <w:t>3</w:t>
            </w:r>
            <w:r>
              <w:rPr>
                <w:rFonts w:hint="eastAsia"/>
                <w:kern w:val="0"/>
                <w:sz w:val="24"/>
              </w:rPr>
              <w:t>/次（折合约0.05</w:t>
            </w:r>
            <w:r>
              <w:rPr>
                <w:kern w:val="0"/>
                <w:sz w:val="24"/>
              </w:rPr>
              <w:t>m</w:t>
            </w:r>
            <w:r>
              <w:rPr>
                <w:rFonts w:hint="eastAsia"/>
                <w:kern w:val="0"/>
                <w:sz w:val="24"/>
                <w:vertAlign w:val="superscript"/>
              </w:rPr>
              <w:t>3</w:t>
            </w:r>
            <w:r>
              <w:rPr>
                <w:rFonts w:hint="eastAsia"/>
                <w:kern w:val="0"/>
                <w:sz w:val="24"/>
              </w:rPr>
              <w:t>/</w:t>
            </w:r>
            <w:r>
              <w:rPr>
                <w:kern w:val="0"/>
                <w:sz w:val="24"/>
              </w:rPr>
              <w:t>d</w:t>
            </w:r>
            <w:r>
              <w:rPr>
                <w:rFonts w:hint="eastAsia"/>
                <w:kern w:val="0"/>
                <w:sz w:val="24"/>
              </w:rPr>
              <w:t>）</w:t>
            </w:r>
            <w:r>
              <w:rPr>
                <w:kern w:val="0"/>
                <w:sz w:val="24"/>
              </w:rPr>
              <w:t>。</w:t>
            </w:r>
          </w:p>
          <w:p>
            <w:pPr>
              <w:spacing w:line="360" w:lineRule="auto"/>
              <w:ind w:left="102" w:right="40" w:firstLine="482"/>
              <w:rPr>
                <w:rFonts w:ascii="宋体" w:hAnsi="宋体" w:cs="宋体"/>
                <w:sz w:val="23"/>
                <w:szCs w:val="23"/>
              </w:rPr>
            </w:pPr>
            <w:r>
              <w:rPr>
                <w:rFonts w:ascii="宋体" w:hAnsi="宋体" w:cs="宋体"/>
                <w:sz w:val="23"/>
                <w:szCs w:val="23"/>
              </w:rPr>
              <w:fldChar w:fldCharType="begin"/>
            </w:r>
            <w:r>
              <w:rPr>
                <w:rFonts w:ascii="宋体" w:hAnsi="宋体" w:cs="宋体"/>
                <w:sz w:val="23"/>
                <w:szCs w:val="23"/>
              </w:rPr>
              <w:instrText xml:space="preserve"> </w:instrText>
            </w:r>
            <w:r>
              <w:rPr>
                <w:rFonts w:hint="eastAsia" w:ascii="宋体" w:hAnsi="宋体" w:cs="宋体"/>
                <w:sz w:val="23"/>
                <w:szCs w:val="23"/>
              </w:rPr>
              <w:instrText xml:space="preserve">= 2 \* GB3</w:instrText>
            </w:r>
            <w:r>
              <w:rPr>
                <w:rFonts w:ascii="宋体" w:hAnsi="宋体" w:cs="宋体"/>
                <w:sz w:val="23"/>
                <w:szCs w:val="23"/>
              </w:rPr>
              <w:instrText xml:space="preserve"> </w:instrText>
            </w:r>
            <w:r>
              <w:rPr>
                <w:rFonts w:ascii="宋体" w:hAnsi="宋体" w:cs="宋体"/>
                <w:sz w:val="23"/>
                <w:szCs w:val="23"/>
              </w:rPr>
              <w:fldChar w:fldCharType="separate"/>
            </w:r>
            <w:r>
              <w:rPr>
                <w:rFonts w:hint="eastAsia" w:ascii="宋体" w:hAnsi="宋体" w:cs="宋体"/>
                <w:sz w:val="23"/>
                <w:szCs w:val="23"/>
              </w:rPr>
              <w:t>②</w:t>
            </w:r>
            <w:r>
              <w:rPr>
                <w:rFonts w:ascii="宋体" w:hAnsi="宋体" w:cs="宋体"/>
                <w:sz w:val="23"/>
                <w:szCs w:val="23"/>
              </w:rPr>
              <w:fldChar w:fldCharType="end"/>
            </w:r>
            <w:r>
              <w:rPr>
                <w:kern w:val="0"/>
                <w:sz w:val="24"/>
              </w:rPr>
              <w:t>治理措施</w:t>
            </w:r>
          </w:p>
          <w:p>
            <w:pPr>
              <w:pStyle w:val="647"/>
              <w:ind w:firstLine="480"/>
              <w:rPr>
                <w:rFonts w:hint="eastAsia"/>
              </w:rPr>
            </w:pPr>
            <w:r>
              <w:rPr>
                <w:szCs w:val="24"/>
              </w:rPr>
              <w:t>本项目站内拟</w:t>
            </w:r>
            <w:r>
              <w:rPr>
                <w:rFonts w:hint="eastAsia"/>
              </w:rPr>
              <w:t>设置隔油池</w:t>
            </w:r>
            <w:r>
              <w:rPr>
                <w:szCs w:val="24"/>
              </w:rPr>
              <w:t>1座，容积为</w:t>
            </w:r>
            <w:r>
              <w:rPr>
                <w:rFonts w:hint="eastAsia"/>
              </w:rPr>
              <w:t>4.5</w:t>
            </w:r>
            <w:r>
              <w:rPr>
                <w:szCs w:val="24"/>
              </w:rPr>
              <w:t>m</w:t>
            </w:r>
            <w:r>
              <w:rPr>
                <w:szCs w:val="24"/>
                <w:vertAlign w:val="superscript"/>
              </w:rPr>
              <w:t>3</w:t>
            </w:r>
            <w:r>
              <w:rPr>
                <w:szCs w:val="24"/>
              </w:rPr>
              <w:t>，</w:t>
            </w:r>
            <w:r>
              <w:rPr>
                <w:rFonts w:hint="eastAsia"/>
              </w:rPr>
              <w:t>项目地面冲洗废水经隔油池隔油沉淀处理后，</w:t>
            </w:r>
            <w:r>
              <w:t>废油污定期打捞清理纳入危废管理，废水排入化粪池与生活污水一同</w:t>
            </w:r>
            <w:r>
              <w:rPr>
                <w:rFonts w:hint="eastAsia"/>
              </w:rPr>
              <w:t>预处理后通过市政污水管网排入达州市第二城市生活污水处理厂，</w:t>
            </w:r>
            <w:r>
              <w:rPr>
                <w:rFonts w:hint="eastAsia"/>
                <w:szCs w:val="24"/>
                <w:lang w:bidi="ar"/>
              </w:rPr>
              <w:t>处理</w:t>
            </w:r>
            <w:r>
              <w:rPr>
                <w:rFonts w:hint="eastAsia"/>
                <w:szCs w:val="24"/>
              </w:rPr>
              <w:t>达到</w:t>
            </w:r>
            <w:r>
              <w:rPr>
                <w:szCs w:val="24"/>
              </w:rPr>
              <w:t>《城镇污水处理厂污染物排放标准》（GB18981-2002）一级A标准</w:t>
            </w:r>
            <w:r>
              <w:rPr>
                <w:rFonts w:hint="eastAsia"/>
                <w:szCs w:val="24"/>
              </w:rPr>
              <w:t>后</w:t>
            </w:r>
            <w:r>
              <w:rPr>
                <w:rFonts w:hint="eastAsia" w:ascii="宋体" w:hAnsi="宋体" w:cs="宋体"/>
                <w:szCs w:val="24"/>
                <w:lang w:bidi="ar"/>
              </w:rPr>
              <w:t>排入州河。</w:t>
            </w:r>
          </w:p>
          <w:p>
            <w:pPr>
              <w:spacing w:line="360" w:lineRule="auto"/>
              <w:ind w:firstLine="480"/>
              <w:rPr>
                <w:kern w:val="0"/>
                <w:sz w:val="24"/>
              </w:rPr>
            </w:pPr>
            <w:r>
              <w:rPr>
                <w:rFonts w:hint="eastAsia"/>
                <w:kern w:val="0"/>
                <w:sz w:val="24"/>
              </w:rPr>
              <w:t>（3）</w:t>
            </w:r>
            <w:r>
              <w:rPr>
                <w:kern w:val="0"/>
                <w:sz w:val="24"/>
              </w:rPr>
              <w:t>员工及司乘人员产生的生活污水</w:t>
            </w:r>
          </w:p>
          <w:p>
            <w:pPr>
              <w:spacing w:line="360" w:lineRule="auto"/>
              <w:ind w:left="102" w:right="40" w:firstLine="482"/>
              <w:rPr>
                <w:kern w:val="0"/>
                <w:sz w:val="24"/>
              </w:rPr>
            </w:pPr>
            <w:r>
              <w:rPr>
                <w:rFonts w:hint="eastAsia" w:ascii="宋体" w:hAnsi="宋体" w:cs="宋体"/>
                <w:kern w:val="0"/>
                <w:sz w:val="24"/>
              </w:rPr>
              <w:t>①</w:t>
            </w:r>
            <w:r>
              <w:rPr>
                <w:kern w:val="0"/>
                <w:sz w:val="24"/>
              </w:rPr>
              <w:t>产生情况</w:t>
            </w:r>
          </w:p>
          <w:p>
            <w:pPr>
              <w:spacing w:line="360" w:lineRule="auto"/>
              <w:ind w:left="103" w:right="37" w:firstLine="482"/>
              <w:rPr>
                <w:sz w:val="24"/>
              </w:rPr>
            </w:pPr>
            <w:r>
              <w:rPr>
                <w:rFonts w:hint="eastAsia"/>
                <w:spacing w:val="2"/>
                <w:sz w:val="24"/>
              </w:rPr>
              <w:t>项目定员10人，</w:t>
            </w:r>
            <w:r>
              <w:rPr>
                <w:spacing w:val="2"/>
                <w:sz w:val="24"/>
              </w:rPr>
              <w:t>由于站内不设员工食堂，员工自行解决餐食</w:t>
            </w:r>
            <w:r>
              <w:rPr>
                <w:spacing w:val="1"/>
                <w:sz w:val="24"/>
              </w:rPr>
              <w:t>，因此，员工生活用水按</w:t>
            </w:r>
            <w:r>
              <w:rPr>
                <w:rFonts w:hint="eastAsia"/>
                <w:spacing w:val="1"/>
                <w:sz w:val="24"/>
              </w:rPr>
              <w:t>8</w:t>
            </w:r>
            <w:r>
              <w:rPr>
                <w:spacing w:val="1"/>
                <w:sz w:val="24"/>
              </w:rPr>
              <w:t>0</w:t>
            </w:r>
            <w:r>
              <w:rPr>
                <w:sz w:val="24"/>
              </w:rPr>
              <w:t>L</w:t>
            </w:r>
            <w:r>
              <w:rPr>
                <w:spacing w:val="1"/>
                <w:sz w:val="24"/>
              </w:rPr>
              <w:t>/</w:t>
            </w:r>
            <w:r>
              <w:rPr>
                <w:rFonts w:hint="eastAsia"/>
                <w:spacing w:val="1"/>
                <w:sz w:val="24"/>
              </w:rPr>
              <w:t>（</w:t>
            </w:r>
            <w:r>
              <w:rPr>
                <w:spacing w:val="1"/>
                <w:sz w:val="24"/>
              </w:rPr>
              <w:t>人·天</w:t>
            </w:r>
            <w:r>
              <w:rPr>
                <w:rFonts w:hint="eastAsia"/>
                <w:spacing w:val="1"/>
                <w:sz w:val="24"/>
              </w:rPr>
              <w:t>）</w:t>
            </w:r>
            <w:r>
              <w:rPr>
                <w:spacing w:val="1"/>
                <w:sz w:val="24"/>
              </w:rPr>
              <w:t>计，</w:t>
            </w:r>
            <w:r>
              <w:rPr>
                <w:sz w:val="24"/>
              </w:rPr>
              <w:t>则</w:t>
            </w:r>
            <w:r>
              <w:rPr>
                <w:rFonts w:hint="eastAsia"/>
                <w:sz w:val="24"/>
              </w:rPr>
              <w:t>员工</w:t>
            </w:r>
            <w:r>
              <w:rPr>
                <w:sz w:val="24"/>
              </w:rPr>
              <w:t>用水量为 0.</w:t>
            </w:r>
            <w:r>
              <w:rPr>
                <w:rFonts w:hint="eastAsia"/>
                <w:sz w:val="24"/>
              </w:rPr>
              <w:t>8</w:t>
            </w:r>
            <w:r>
              <w:rPr>
                <w:sz w:val="24"/>
              </w:rPr>
              <w:t>m</w:t>
            </w:r>
            <w:r>
              <w:rPr>
                <w:rFonts w:hint="eastAsia"/>
                <w:sz w:val="24"/>
                <w:vertAlign w:val="superscript"/>
              </w:rPr>
              <w:t>3</w:t>
            </w:r>
            <w:r>
              <w:rPr>
                <w:sz w:val="24"/>
              </w:rPr>
              <w:t>/d</w:t>
            </w:r>
            <w:r>
              <w:rPr>
                <w:rFonts w:hint="eastAsia"/>
                <w:sz w:val="24"/>
              </w:rPr>
              <w:t>，292m</w:t>
            </w:r>
            <w:r>
              <w:rPr>
                <w:sz w:val="24"/>
                <w:vertAlign w:val="superscript"/>
              </w:rPr>
              <w:t>3</w:t>
            </w:r>
            <w:r>
              <w:rPr>
                <w:sz w:val="24"/>
              </w:rPr>
              <w:t>/a</w:t>
            </w:r>
            <w:r>
              <w:rPr>
                <w:rFonts w:hint="eastAsia"/>
                <w:sz w:val="24"/>
              </w:rPr>
              <w:t>。</w:t>
            </w:r>
          </w:p>
          <w:p>
            <w:pPr>
              <w:spacing w:line="360" w:lineRule="auto"/>
              <w:ind w:left="103" w:right="37" w:firstLine="482"/>
              <w:rPr>
                <w:sz w:val="24"/>
              </w:rPr>
            </w:pPr>
            <w:r>
              <w:rPr>
                <w:rFonts w:hint="eastAsia"/>
                <w:sz w:val="24"/>
              </w:rPr>
              <w:t>司乘人员用水</w:t>
            </w:r>
            <w:r>
              <w:rPr>
                <w:kern w:val="0"/>
                <w:sz w:val="24"/>
              </w:rPr>
              <w:t>以小型车每车加油</w:t>
            </w:r>
            <w:r>
              <w:rPr>
                <w:rFonts w:hint="eastAsia"/>
                <w:kern w:val="0"/>
                <w:sz w:val="24"/>
              </w:rPr>
              <w:t>5</w:t>
            </w:r>
            <w:r>
              <w:rPr>
                <w:kern w:val="0"/>
                <w:sz w:val="24"/>
              </w:rPr>
              <w:t>0L、载重车每车加油100L计，</w:t>
            </w:r>
            <w:r>
              <w:rPr>
                <w:rFonts w:hint="eastAsia"/>
                <w:kern w:val="0"/>
                <w:sz w:val="24"/>
              </w:rPr>
              <w:t>燃气车辆每车加气60L计，</w:t>
            </w:r>
            <w:r>
              <w:rPr>
                <w:kern w:val="0"/>
                <w:sz w:val="24"/>
              </w:rPr>
              <w:t>考虑24小时服务，根据加油加气站销售量</w:t>
            </w:r>
            <w:r>
              <w:rPr>
                <w:rFonts w:hint="eastAsia"/>
                <w:kern w:val="0"/>
                <w:sz w:val="24"/>
              </w:rPr>
              <w:t>（</w:t>
            </w:r>
            <w:r>
              <w:rPr>
                <w:kern w:val="0"/>
                <w:sz w:val="24"/>
              </w:rPr>
              <w:t>年售汽油</w:t>
            </w:r>
            <w:r>
              <w:rPr>
                <w:rFonts w:hint="eastAsia"/>
                <w:kern w:val="0"/>
                <w:sz w:val="24"/>
              </w:rPr>
              <w:t>2214</w:t>
            </w:r>
            <w:r>
              <w:rPr>
                <w:kern w:val="0"/>
                <w:sz w:val="24"/>
              </w:rPr>
              <w:t>m</w:t>
            </w:r>
            <w:r>
              <w:rPr>
                <w:rFonts w:hint="eastAsia"/>
                <w:kern w:val="0"/>
                <w:sz w:val="24"/>
                <w:vertAlign w:val="superscript"/>
              </w:rPr>
              <w:t>3</w:t>
            </w:r>
            <w:r>
              <w:rPr>
                <w:kern w:val="0"/>
                <w:sz w:val="24"/>
              </w:rPr>
              <w:t>，</w:t>
            </w:r>
            <w:r>
              <w:rPr>
                <w:rFonts w:hint="eastAsia"/>
                <w:kern w:val="0"/>
                <w:sz w:val="24"/>
              </w:rPr>
              <w:t>柴油1350</w:t>
            </w:r>
            <w:r>
              <w:rPr>
                <w:kern w:val="0"/>
                <w:sz w:val="24"/>
              </w:rPr>
              <w:t>m</w:t>
            </w:r>
            <w:r>
              <w:rPr>
                <w:kern w:val="0"/>
                <w:sz w:val="24"/>
                <w:vertAlign w:val="superscript"/>
              </w:rPr>
              <w:t>3</w:t>
            </w:r>
            <w:r>
              <w:rPr>
                <w:rFonts w:hint="eastAsia"/>
                <w:kern w:val="0"/>
                <w:sz w:val="24"/>
              </w:rPr>
              <w:t>，液化天然气2808m</w:t>
            </w:r>
            <w:r>
              <w:rPr>
                <w:kern w:val="0"/>
                <w:sz w:val="24"/>
                <w:vertAlign w:val="superscript"/>
              </w:rPr>
              <w:t>3</w:t>
            </w:r>
            <w:r>
              <w:rPr>
                <w:rFonts w:hint="eastAsia"/>
                <w:kern w:val="0"/>
                <w:sz w:val="24"/>
              </w:rPr>
              <w:t>）</w:t>
            </w:r>
            <w:r>
              <w:rPr>
                <w:kern w:val="0"/>
                <w:sz w:val="24"/>
              </w:rPr>
              <w:t>可知，加油加气站每天可给约300辆左右的汽车加油</w:t>
            </w:r>
            <w:r>
              <w:rPr>
                <w:rFonts w:hint="eastAsia"/>
                <w:kern w:val="0"/>
                <w:sz w:val="24"/>
              </w:rPr>
              <w:t>加气，</w:t>
            </w:r>
            <w:r>
              <w:rPr>
                <w:spacing w:val="3"/>
                <w:sz w:val="24"/>
              </w:rPr>
              <w:t>每车按2人计算，则司乘人员约为600人/</w:t>
            </w:r>
            <w:r>
              <w:rPr>
                <w:sz w:val="24"/>
              </w:rPr>
              <w:t>d</w:t>
            </w:r>
            <w:r>
              <w:rPr>
                <w:spacing w:val="3"/>
                <w:sz w:val="24"/>
              </w:rPr>
              <w:t>，</w:t>
            </w:r>
            <w:r>
              <w:rPr>
                <w:rFonts w:hint="eastAsia"/>
                <w:spacing w:val="3"/>
                <w:sz w:val="24"/>
              </w:rPr>
              <w:t>如厕</w:t>
            </w:r>
            <w:r>
              <w:rPr>
                <w:spacing w:val="3"/>
                <w:sz w:val="24"/>
              </w:rPr>
              <w:t>人数按</w:t>
            </w:r>
            <w:r>
              <w:rPr>
                <w:spacing w:val="2"/>
                <w:sz w:val="24"/>
              </w:rPr>
              <w:t>20%计，根据</w:t>
            </w:r>
            <w:r>
              <w:rPr>
                <w:rFonts w:hint="eastAsia"/>
                <w:kern w:val="0"/>
                <w:sz w:val="24"/>
              </w:rPr>
              <w:t>（川府函</w:t>
            </w:r>
            <w:r>
              <w:rPr>
                <w:kern w:val="0"/>
                <w:sz w:val="24"/>
              </w:rPr>
              <w:t>〔2021〕8号</w:t>
            </w:r>
            <w:r>
              <w:rPr>
                <w:rFonts w:hint="eastAsia"/>
                <w:kern w:val="0"/>
                <w:sz w:val="24"/>
              </w:rPr>
              <w:t>）</w:t>
            </w:r>
            <w:r>
              <w:rPr>
                <w:spacing w:val="2"/>
                <w:sz w:val="24"/>
              </w:rPr>
              <w:t>，公共厕所用水量按6.</w:t>
            </w:r>
            <w:r>
              <w:rPr>
                <w:rFonts w:hint="eastAsia"/>
                <w:spacing w:val="1"/>
                <w:sz w:val="24"/>
              </w:rPr>
              <w:t>0</w:t>
            </w:r>
            <w:r>
              <w:rPr>
                <w:sz w:val="24"/>
              </w:rPr>
              <w:t>L/</w:t>
            </w:r>
            <w:r>
              <w:rPr>
                <w:rFonts w:hint="eastAsia"/>
                <w:sz w:val="24"/>
              </w:rPr>
              <w:t>（</w:t>
            </w:r>
            <w:r>
              <w:rPr>
                <w:spacing w:val="-1"/>
                <w:sz w:val="24"/>
              </w:rPr>
              <w:t>人</w:t>
            </w:r>
            <w:r>
              <w:rPr>
                <w:sz w:val="24"/>
              </w:rPr>
              <w:t>·次</w:t>
            </w:r>
            <w:r>
              <w:rPr>
                <w:rFonts w:hint="eastAsia"/>
                <w:sz w:val="24"/>
              </w:rPr>
              <w:t>）</w:t>
            </w:r>
            <w:r>
              <w:rPr>
                <w:sz w:val="24"/>
              </w:rPr>
              <w:t>计，则加油加气站司乘人员用水量为 0.7</w:t>
            </w:r>
            <w:r>
              <w:rPr>
                <w:rFonts w:hint="eastAsia"/>
                <w:sz w:val="24"/>
              </w:rPr>
              <w:t>2</w:t>
            </w:r>
            <w:r>
              <w:rPr>
                <w:sz w:val="24"/>
              </w:rPr>
              <w:t>m</w:t>
            </w:r>
            <w:r>
              <w:rPr>
                <w:rFonts w:hint="eastAsia"/>
                <w:sz w:val="24"/>
                <w:vertAlign w:val="superscript"/>
              </w:rPr>
              <w:t>3</w:t>
            </w:r>
            <w:r>
              <w:rPr>
                <w:sz w:val="24"/>
              </w:rPr>
              <w:t>/d，2</w:t>
            </w:r>
            <w:r>
              <w:rPr>
                <w:rFonts w:hint="eastAsia"/>
                <w:sz w:val="24"/>
              </w:rPr>
              <w:t>62.8m</w:t>
            </w:r>
            <w:r>
              <w:rPr>
                <w:sz w:val="24"/>
                <w:vertAlign w:val="superscript"/>
              </w:rPr>
              <w:t>3</w:t>
            </w:r>
            <w:r>
              <w:rPr>
                <w:sz w:val="24"/>
              </w:rPr>
              <w:t>/a。</w:t>
            </w:r>
          </w:p>
          <w:p>
            <w:pPr>
              <w:spacing w:line="360" w:lineRule="auto"/>
              <w:ind w:firstLine="480"/>
              <w:rPr>
                <w:sz w:val="24"/>
              </w:rPr>
            </w:pPr>
            <w:r>
              <w:rPr>
                <w:rFonts w:hint="eastAsia"/>
                <w:sz w:val="24"/>
              </w:rPr>
              <w:t>综上，</w:t>
            </w:r>
            <w:r>
              <w:rPr>
                <w:sz w:val="24"/>
              </w:rPr>
              <w:t>项目生活用水总用</w:t>
            </w:r>
            <w:r>
              <w:rPr>
                <w:spacing w:val="4"/>
                <w:sz w:val="24"/>
              </w:rPr>
              <w:t>水量约为</w:t>
            </w:r>
            <w:r>
              <w:rPr>
                <w:spacing w:val="2"/>
                <w:sz w:val="24"/>
              </w:rPr>
              <w:t>1.5</w:t>
            </w:r>
            <w:r>
              <w:rPr>
                <w:rFonts w:hint="eastAsia"/>
                <w:spacing w:val="2"/>
                <w:sz w:val="24"/>
              </w:rPr>
              <w:t>2</w:t>
            </w:r>
            <w:r>
              <w:rPr>
                <w:sz w:val="24"/>
              </w:rPr>
              <w:t>m</w:t>
            </w:r>
            <w:r>
              <w:rPr>
                <w:rFonts w:hint="eastAsia"/>
                <w:sz w:val="24"/>
                <w:vertAlign w:val="superscript"/>
              </w:rPr>
              <w:t>3</w:t>
            </w:r>
            <w:r>
              <w:rPr>
                <w:spacing w:val="2"/>
                <w:sz w:val="24"/>
              </w:rPr>
              <w:t>/</w:t>
            </w:r>
            <w:r>
              <w:rPr>
                <w:sz w:val="24"/>
              </w:rPr>
              <w:t>d</w:t>
            </w:r>
            <w:r>
              <w:rPr>
                <w:rFonts w:hint="eastAsia"/>
                <w:spacing w:val="2"/>
                <w:sz w:val="24"/>
              </w:rPr>
              <w:t>，554.8</w:t>
            </w:r>
            <w:r>
              <w:rPr>
                <w:sz w:val="24"/>
              </w:rPr>
              <w:t>m</w:t>
            </w:r>
            <w:r>
              <w:rPr>
                <w:rFonts w:hint="eastAsia"/>
                <w:sz w:val="24"/>
                <w:vertAlign w:val="superscript"/>
              </w:rPr>
              <w:t>3</w:t>
            </w:r>
            <w:r>
              <w:rPr>
                <w:spacing w:val="2"/>
                <w:sz w:val="24"/>
              </w:rPr>
              <w:t>/</w:t>
            </w:r>
            <w:r>
              <w:rPr>
                <w:sz w:val="24"/>
              </w:rPr>
              <w:t>a</w:t>
            </w:r>
            <w:r>
              <w:rPr>
                <w:spacing w:val="2"/>
                <w:sz w:val="24"/>
              </w:rPr>
              <w:t>，产污系数按8</w:t>
            </w:r>
            <w:r>
              <w:rPr>
                <w:rFonts w:hint="eastAsia"/>
                <w:spacing w:val="2"/>
                <w:sz w:val="24"/>
              </w:rPr>
              <w:t>0</w:t>
            </w:r>
            <w:r>
              <w:rPr>
                <w:spacing w:val="2"/>
                <w:sz w:val="24"/>
              </w:rPr>
              <w:t>%计，则项目</w:t>
            </w:r>
            <w:r>
              <w:rPr>
                <w:kern w:val="0"/>
                <w:sz w:val="24"/>
              </w:rPr>
              <w:t>员工及司乘人员产生的生活污水</w:t>
            </w:r>
            <w:r>
              <w:rPr>
                <w:spacing w:val="2"/>
                <w:sz w:val="24"/>
              </w:rPr>
              <w:t>产生量约为1.</w:t>
            </w:r>
            <w:r>
              <w:rPr>
                <w:rFonts w:hint="eastAsia"/>
                <w:spacing w:val="2"/>
                <w:sz w:val="24"/>
              </w:rPr>
              <w:t>22</w:t>
            </w:r>
            <w:r>
              <w:rPr>
                <w:sz w:val="24"/>
              </w:rPr>
              <w:t>m</w:t>
            </w:r>
            <w:r>
              <w:rPr>
                <w:rFonts w:hint="eastAsia"/>
                <w:sz w:val="24"/>
                <w:vertAlign w:val="superscript"/>
              </w:rPr>
              <w:t>3</w:t>
            </w:r>
            <w:r>
              <w:rPr>
                <w:spacing w:val="2"/>
                <w:sz w:val="24"/>
              </w:rPr>
              <w:t>/</w:t>
            </w:r>
            <w:r>
              <w:rPr>
                <w:sz w:val="24"/>
              </w:rPr>
              <w:t>d</w:t>
            </w:r>
            <w:r>
              <w:rPr>
                <w:rFonts w:hint="eastAsia"/>
                <w:spacing w:val="2"/>
                <w:sz w:val="24"/>
              </w:rPr>
              <w:t>，445.3</w:t>
            </w:r>
            <w:r>
              <w:rPr>
                <w:sz w:val="24"/>
              </w:rPr>
              <w:t>m</w:t>
            </w:r>
            <w:r>
              <w:rPr>
                <w:rFonts w:hint="eastAsia"/>
                <w:sz w:val="24"/>
                <w:vertAlign w:val="superscript"/>
              </w:rPr>
              <w:t>3</w:t>
            </w:r>
            <w:r>
              <w:rPr>
                <w:spacing w:val="2"/>
                <w:sz w:val="24"/>
              </w:rPr>
              <w:t>/</w:t>
            </w:r>
            <w:r>
              <w:rPr>
                <w:sz w:val="24"/>
              </w:rPr>
              <w:t>a</w:t>
            </w:r>
            <w:r>
              <w:rPr>
                <w:spacing w:val="2"/>
                <w:sz w:val="24"/>
              </w:rPr>
              <w:t>。</w:t>
            </w:r>
          </w:p>
          <w:p>
            <w:pPr>
              <w:spacing w:line="360" w:lineRule="auto"/>
              <w:ind w:left="102" w:right="40" w:firstLine="482"/>
              <w:rPr>
                <w:rFonts w:ascii="宋体" w:hAnsi="宋体" w:cs="宋体"/>
                <w:sz w:val="23"/>
                <w:szCs w:val="23"/>
              </w:rPr>
            </w:pPr>
            <w:r>
              <w:rPr>
                <w:rFonts w:ascii="宋体" w:hAnsi="宋体" w:cs="宋体"/>
                <w:sz w:val="23"/>
                <w:szCs w:val="23"/>
              </w:rPr>
              <w:fldChar w:fldCharType="begin"/>
            </w:r>
            <w:r>
              <w:rPr>
                <w:rFonts w:ascii="宋体" w:hAnsi="宋体" w:cs="宋体"/>
                <w:sz w:val="23"/>
                <w:szCs w:val="23"/>
              </w:rPr>
              <w:instrText xml:space="preserve"> </w:instrText>
            </w:r>
            <w:r>
              <w:rPr>
                <w:rFonts w:hint="eastAsia" w:ascii="宋体" w:hAnsi="宋体" w:cs="宋体"/>
                <w:sz w:val="23"/>
                <w:szCs w:val="23"/>
              </w:rPr>
              <w:instrText xml:space="preserve">= 2 \* GB3</w:instrText>
            </w:r>
            <w:r>
              <w:rPr>
                <w:rFonts w:ascii="宋体" w:hAnsi="宋体" w:cs="宋体"/>
                <w:sz w:val="23"/>
                <w:szCs w:val="23"/>
              </w:rPr>
              <w:instrText xml:space="preserve"> </w:instrText>
            </w:r>
            <w:r>
              <w:rPr>
                <w:rFonts w:ascii="宋体" w:hAnsi="宋体" w:cs="宋体"/>
                <w:sz w:val="23"/>
                <w:szCs w:val="23"/>
              </w:rPr>
              <w:fldChar w:fldCharType="separate"/>
            </w:r>
            <w:r>
              <w:rPr>
                <w:rFonts w:hint="eastAsia" w:ascii="宋体" w:hAnsi="宋体" w:cs="宋体"/>
                <w:sz w:val="23"/>
                <w:szCs w:val="23"/>
              </w:rPr>
              <w:t>②</w:t>
            </w:r>
            <w:r>
              <w:rPr>
                <w:rFonts w:ascii="宋体" w:hAnsi="宋体" w:cs="宋体"/>
                <w:sz w:val="23"/>
                <w:szCs w:val="23"/>
              </w:rPr>
              <w:fldChar w:fldCharType="end"/>
            </w:r>
            <w:r>
              <w:rPr>
                <w:kern w:val="0"/>
                <w:sz w:val="24"/>
              </w:rPr>
              <w:t>治理措施</w:t>
            </w:r>
          </w:p>
          <w:p>
            <w:pPr>
              <w:pStyle w:val="647"/>
              <w:ind w:firstLine="480"/>
              <w:rPr>
                <w:rFonts w:hint="eastAsia"/>
              </w:rPr>
            </w:pPr>
            <w:r>
              <w:rPr>
                <w:szCs w:val="24"/>
              </w:rPr>
              <w:t>本项目站内拟</w:t>
            </w:r>
            <w:r>
              <w:rPr>
                <w:rFonts w:hint="eastAsia"/>
              </w:rPr>
              <w:t>设置化粪池</w:t>
            </w:r>
            <w:r>
              <w:rPr>
                <w:szCs w:val="24"/>
              </w:rPr>
              <w:t>1座，容积为</w:t>
            </w:r>
            <w:r>
              <w:rPr>
                <w:rFonts w:hint="eastAsia"/>
              </w:rPr>
              <w:t>18</w:t>
            </w:r>
            <w:r>
              <w:rPr>
                <w:szCs w:val="24"/>
              </w:rPr>
              <w:t>m</w:t>
            </w:r>
            <w:r>
              <w:rPr>
                <w:szCs w:val="24"/>
                <w:vertAlign w:val="superscript"/>
              </w:rPr>
              <w:t>3</w:t>
            </w:r>
            <w:r>
              <w:rPr>
                <w:szCs w:val="24"/>
              </w:rPr>
              <w:t>，</w:t>
            </w:r>
            <w:r>
              <w:rPr>
                <w:rFonts w:hint="eastAsia"/>
              </w:rPr>
              <w:t>项目生活污水经化粪池预处理后通过市政污水管网排入达州市第二城市生活污水处理厂，</w:t>
            </w:r>
            <w:r>
              <w:rPr>
                <w:rFonts w:hint="eastAsia"/>
                <w:szCs w:val="24"/>
                <w:lang w:bidi="ar"/>
              </w:rPr>
              <w:t>处理</w:t>
            </w:r>
            <w:r>
              <w:rPr>
                <w:rFonts w:hint="eastAsia"/>
                <w:szCs w:val="24"/>
              </w:rPr>
              <w:t>达到</w:t>
            </w:r>
            <w:r>
              <w:rPr>
                <w:szCs w:val="24"/>
              </w:rPr>
              <w:t>《城镇污水处理厂污染物排放标准》（GB18981-2002）一级A标准</w:t>
            </w:r>
            <w:r>
              <w:rPr>
                <w:rFonts w:hint="eastAsia"/>
                <w:szCs w:val="24"/>
              </w:rPr>
              <w:t>后</w:t>
            </w:r>
            <w:r>
              <w:rPr>
                <w:rFonts w:hint="eastAsia" w:ascii="宋体" w:hAnsi="宋体" w:cs="宋体"/>
                <w:szCs w:val="24"/>
                <w:lang w:bidi="ar"/>
              </w:rPr>
              <w:t>排入州河。</w:t>
            </w:r>
          </w:p>
          <w:p>
            <w:pPr>
              <w:spacing w:line="360" w:lineRule="auto"/>
              <w:ind w:firstLine="480"/>
              <w:rPr>
                <w:rFonts w:hint="eastAsia"/>
                <w:kern w:val="0"/>
                <w:sz w:val="24"/>
              </w:rPr>
            </w:pPr>
            <w:r>
              <w:rPr>
                <w:rFonts w:hint="eastAsia"/>
                <w:kern w:val="0"/>
                <w:sz w:val="24"/>
              </w:rPr>
              <w:t>（4）场地初期雨水</w:t>
            </w:r>
          </w:p>
          <w:p>
            <w:pPr>
              <w:spacing w:line="360" w:lineRule="auto"/>
              <w:ind w:left="102" w:right="40" w:firstLine="482"/>
              <w:rPr>
                <w:kern w:val="0"/>
                <w:sz w:val="24"/>
              </w:rPr>
            </w:pPr>
            <w:r>
              <w:rPr>
                <w:rFonts w:hint="eastAsia" w:ascii="宋体" w:hAnsi="宋体" w:cs="宋体"/>
                <w:kern w:val="0"/>
                <w:sz w:val="24"/>
              </w:rPr>
              <w:t>①</w:t>
            </w:r>
            <w:r>
              <w:rPr>
                <w:kern w:val="0"/>
                <w:sz w:val="24"/>
              </w:rPr>
              <w:t>产生情况</w:t>
            </w:r>
          </w:p>
          <w:p>
            <w:pPr>
              <w:spacing w:line="360" w:lineRule="auto"/>
              <w:ind w:left="119" w:right="21" w:firstLine="497"/>
              <w:rPr>
                <w:sz w:val="24"/>
              </w:rPr>
            </w:pPr>
            <w:r>
              <w:rPr>
                <w:spacing w:val="17"/>
                <w:sz w:val="24"/>
              </w:rPr>
              <w:t>由</w:t>
            </w:r>
            <w:r>
              <w:rPr>
                <w:spacing w:val="10"/>
                <w:sz w:val="24"/>
              </w:rPr>
              <w:t>于加油过程中难免出现少量洒漏情况，加油区域地面会有少量油污，下雨</w:t>
            </w:r>
            <w:r>
              <w:rPr>
                <w:spacing w:val="12"/>
                <w:sz w:val="24"/>
              </w:rPr>
              <w:t>时</w:t>
            </w:r>
            <w:r>
              <w:rPr>
                <w:spacing w:val="9"/>
                <w:sz w:val="24"/>
              </w:rPr>
              <w:t>加</w:t>
            </w:r>
            <w:r>
              <w:rPr>
                <w:spacing w:val="6"/>
                <w:sz w:val="24"/>
              </w:rPr>
              <w:t>油区附近雨水径流会携带少量油污，若不处理可能会对地表水产生一定影响。</w:t>
            </w:r>
          </w:p>
          <w:p>
            <w:pPr>
              <w:spacing w:line="360" w:lineRule="auto"/>
              <w:ind w:left="108"/>
              <w:rPr>
                <w:sz w:val="24"/>
              </w:rPr>
            </w:pPr>
            <w:r>
              <w:rPr>
                <w:spacing w:val="8"/>
                <w:sz w:val="24"/>
              </w:rPr>
              <w:t>根据初期雨水量公式：</w:t>
            </w:r>
          </w:p>
          <w:p>
            <w:pPr>
              <w:spacing w:line="360" w:lineRule="auto"/>
              <w:ind w:left="4079"/>
              <w:rPr>
                <w:sz w:val="24"/>
              </w:rPr>
            </w:pPr>
            <w:r>
              <w:rPr>
                <w:position w:val="13"/>
                <w:sz w:val="24"/>
              </w:rPr>
              <w:t>Q</w:t>
            </w:r>
            <w:r>
              <w:rPr>
                <w:spacing w:val="8"/>
                <w:position w:val="13"/>
                <w:sz w:val="24"/>
              </w:rPr>
              <w:t>=</w:t>
            </w:r>
            <w:r>
              <w:rPr>
                <w:position w:val="13"/>
                <w:sz w:val="24"/>
              </w:rPr>
              <w:t>q</w:t>
            </w:r>
            <w:r>
              <w:rPr>
                <w:spacing w:val="8"/>
                <w:position w:val="13"/>
                <w:sz w:val="24"/>
              </w:rPr>
              <w:t>×ψ×</w:t>
            </w:r>
            <w:r>
              <w:rPr>
                <w:position w:val="13"/>
                <w:sz w:val="24"/>
              </w:rPr>
              <w:t>F</w:t>
            </w:r>
          </w:p>
          <w:p>
            <w:pPr>
              <w:spacing w:line="360" w:lineRule="auto"/>
              <w:ind w:firstLine="520" w:firstLineChars="200"/>
              <w:rPr>
                <w:sz w:val="24"/>
              </w:rPr>
            </w:pPr>
            <w:r>
              <w:rPr>
                <w:spacing w:val="10"/>
                <w:position w:val="3"/>
                <w:sz w:val="24"/>
              </w:rPr>
              <w:t>其</w:t>
            </w:r>
            <w:r>
              <w:rPr>
                <w:spacing w:val="5"/>
                <w:position w:val="3"/>
                <w:sz w:val="24"/>
              </w:rPr>
              <w:t>中：</w:t>
            </w:r>
            <w:r>
              <w:rPr>
                <w:position w:val="3"/>
                <w:sz w:val="24"/>
              </w:rPr>
              <w:t>Q</w:t>
            </w:r>
            <w:r>
              <w:rPr>
                <w:spacing w:val="5"/>
                <w:position w:val="3"/>
                <w:sz w:val="24"/>
              </w:rPr>
              <w:t>─雨水设计流量，单位为</w:t>
            </w:r>
            <w:r>
              <w:rPr>
                <w:rFonts w:hint="eastAsia"/>
                <w:spacing w:val="5"/>
                <w:position w:val="3"/>
                <w:sz w:val="24"/>
              </w:rPr>
              <w:t>（</w:t>
            </w:r>
            <w:r>
              <w:rPr>
                <w:position w:val="3"/>
                <w:sz w:val="24"/>
              </w:rPr>
              <w:t>L</w:t>
            </w:r>
            <w:r>
              <w:rPr>
                <w:spacing w:val="5"/>
                <w:position w:val="3"/>
                <w:sz w:val="24"/>
              </w:rPr>
              <w:t>/</w:t>
            </w:r>
            <w:r>
              <w:rPr>
                <w:position w:val="3"/>
                <w:sz w:val="24"/>
              </w:rPr>
              <w:t>s</w:t>
            </w:r>
            <w:r>
              <w:rPr>
                <w:rFonts w:hint="eastAsia"/>
                <w:spacing w:val="5"/>
                <w:position w:val="3"/>
                <w:sz w:val="24"/>
              </w:rPr>
              <w:t>）</w:t>
            </w:r>
            <w:r>
              <w:rPr>
                <w:spacing w:val="5"/>
                <w:position w:val="3"/>
                <w:sz w:val="24"/>
              </w:rPr>
              <w:t>；</w:t>
            </w:r>
          </w:p>
          <w:p>
            <w:pPr>
              <w:spacing w:line="360" w:lineRule="auto"/>
              <w:ind w:firstLine="1320" w:firstLineChars="500"/>
              <w:rPr>
                <w:sz w:val="24"/>
              </w:rPr>
            </w:pPr>
            <w:r>
              <w:rPr>
                <w:spacing w:val="12"/>
                <w:position w:val="3"/>
                <w:sz w:val="24"/>
              </w:rPr>
              <w:t>ψ</w:t>
            </w:r>
            <w:r>
              <w:rPr>
                <w:spacing w:val="9"/>
                <w:position w:val="3"/>
                <w:sz w:val="24"/>
              </w:rPr>
              <w:t>─</w:t>
            </w:r>
            <w:r>
              <w:rPr>
                <w:spacing w:val="6"/>
                <w:position w:val="3"/>
                <w:sz w:val="24"/>
              </w:rPr>
              <w:t>径流系数，取ψ=0.9；</w:t>
            </w:r>
          </w:p>
          <w:p>
            <w:pPr>
              <w:spacing w:line="360" w:lineRule="auto"/>
              <w:ind w:left="108" w:firstLine="1280" w:firstLineChars="500"/>
              <w:rPr>
                <w:spacing w:val="8"/>
                <w:sz w:val="24"/>
              </w:rPr>
            </w:pPr>
            <w:r>
              <w:rPr>
                <w:spacing w:val="8"/>
                <w:sz w:val="24"/>
              </w:rPr>
              <w:t>F─汇水面积</w:t>
            </w:r>
            <w:r>
              <w:rPr>
                <w:rFonts w:hint="eastAsia"/>
                <w:spacing w:val="8"/>
                <w:sz w:val="24"/>
              </w:rPr>
              <w:t>（</w:t>
            </w:r>
            <w:r>
              <w:rPr>
                <w:spacing w:val="8"/>
                <w:sz w:val="24"/>
              </w:rPr>
              <w:t>hm</w:t>
            </w:r>
            <w:r>
              <w:rPr>
                <w:rFonts w:hint="eastAsia"/>
                <w:spacing w:val="8"/>
                <w:sz w:val="24"/>
                <w:vertAlign w:val="superscript"/>
              </w:rPr>
              <w:t>2</w:t>
            </w:r>
            <w:r>
              <w:rPr>
                <w:rFonts w:hint="eastAsia"/>
                <w:spacing w:val="8"/>
                <w:sz w:val="24"/>
              </w:rPr>
              <w:t>）</w:t>
            </w:r>
            <w:r>
              <w:rPr>
                <w:spacing w:val="8"/>
                <w:sz w:val="24"/>
              </w:rPr>
              <w:t>，根据实际情况，以项目区除站房、绿化及罩棚的周围面积计算，为 0.2</w:t>
            </w:r>
            <w:r>
              <w:rPr>
                <w:rFonts w:hint="eastAsia"/>
                <w:spacing w:val="8"/>
                <w:sz w:val="24"/>
              </w:rPr>
              <w:t>778</w:t>
            </w:r>
            <w:r>
              <w:rPr>
                <w:spacing w:val="8"/>
                <w:sz w:val="24"/>
              </w:rPr>
              <w:t>hm</w:t>
            </w:r>
            <w:r>
              <w:rPr>
                <w:rFonts w:hint="eastAsia"/>
                <w:spacing w:val="8"/>
                <w:sz w:val="24"/>
                <w:vertAlign w:val="superscript"/>
              </w:rPr>
              <w:t>2</w:t>
            </w:r>
            <w:r>
              <w:rPr>
                <w:spacing w:val="8"/>
                <w:sz w:val="24"/>
              </w:rPr>
              <w:t>。</w:t>
            </w:r>
          </w:p>
          <w:p>
            <w:pPr>
              <w:spacing w:line="360" w:lineRule="auto"/>
              <w:ind w:left="1304"/>
              <w:rPr>
                <w:sz w:val="24"/>
              </w:rPr>
            </w:pPr>
            <w:r>
              <w:rPr>
                <w:spacing w:val="-2"/>
                <w:position w:val="3"/>
                <w:sz w:val="24"/>
              </w:rPr>
              <w:t>q—暴雨强度，单位为L/</w:t>
            </w:r>
            <w:r>
              <w:rPr>
                <w:rFonts w:hint="eastAsia"/>
                <w:spacing w:val="-2"/>
                <w:position w:val="3"/>
                <w:sz w:val="24"/>
              </w:rPr>
              <w:t>（</w:t>
            </w:r>
            <w:r>
              <w:rPr>
                <w:spacing w:val="-2"/>
                <w:position w:val="3"/>
                <w:sz w:val="24"/>
              </w:rPr>
              <w:t>s·</w:t>
            </w:r>
            <w:r>
              <w:rPr>
                <w:spacing w:val="-1"/>
                <w:position w:val="3"/>
                <w:sz w:val="24"/>
              </w:rPr>
              <w:t>h</w:t>
            </w:r>
            <w:r>
              <w:rPr>
                <w:position w:val="3"/>
                <w:sz w:val="24"/>
              </w:rPr>
              <w:t>m</w:t>
            </w:r>
            <w:r>
              <w:rPr>
                <w:rFonts w:hint="eastAsia"/>
                <w:position w:val="3"/>
                <w:sz w:val="24"/>
                <w:vertAlign w:val="superscript"/>
              </w:rPr>
              <w:t>2</w:t>
            </w:r>
            <w:r>
              <w:rPr>
                <w:rFonts w:hint="eastAsia"/>
                <w:spacing w:val="-2"/>
                <w:position w:val="3"/>
                <w:sz w:val="24"/>
              </w:rPr>
              <w:t>）</w:t>
            </w:r>
          </w:p>
          <w:p>
            <w:pPr>
              <w:spacing w:line="360" w:lineRule="auto"/>
              <w:ind w:firstLine="420" w:firstLineChars="200"/>
              <w:jc w:val="center"/>
              <w:rPr>
                <w:position w:val="13"/>
                <w:sz w:val="24"/>
              </w:rPr>
            </w:pPr>
            <w:r>
              <w:drawing>
                <wp:inline distT="0" distB="0" distL="114300" distR="114300">
                  <wp:extent cx="2004060" cy="480060"/>
                  <wp:effectExtent l="0" t="0" r="1524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9"/>
                          <a:stretch>
                            <a:fillRect/>
                          </a:stretch>
                        </pic:blipFill>
                        <pic:spPr>
                          <a:xfrm>
                            <a:off x="0" y="0"/>
                            <a:ext cx="2004060" cy="480060"/>
                          </a:xfrm>
                          <a:prstGeom prst="rect">
                            <a:avLst/>
                          </a:prstGeom>
                          <a:noFill/>
                          <a:ln>
                            <a:noFill/>
                          </a:ln>
                        </pic:spPr>
                      </pic:pic>
                    </a:graphicData>
                  </a:graphic>
                </wp:inline>
              </w:drawing>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p>
          <w:p>
            <w:pPr>
              <w:spacing w:line="360" w:lineRule="auto"/>
              <w:ind w:firstLine="480" w:firstLineChars="200"/>
              <w:rPr>
                <w:sz w:val="24"/>
              </w:rPr>
            </w:pPr>
            <w:r>
              <w:rPr>
                <w:rFonts w:hint="eastAsia"/>
                <w:position w:val="13"/>
                <w:sz w:val="24"/>
              </w:rPr>
              <w:t>式中：</w:t>
            </w:r>
            <w:r>
              <w:rPr>
                <w:position w:val="13"/>
                <w:sz w:val="24"/>
              </w:rPr>
              <w:t>t</w:t>
            </w:r>
            <w:r>
              <w:rPr>
                <w:spacing w:val="3"/>
                <w:position w:val="13"/>
                <w:sz w:val="24"/>
              </w:rPr>
              <w:t xml:space="preserve"> —降雨历时，</w:t>
            </w:r>
            <w:r>
              <w:rPr>
                <w:rFonts w:hint="eastAsia"/>
                <w:position w:val="13"/>
                <w:sz w:val="24"/>
              </w:rPr>
              <w:t>取15min</w:t>
            </w:r>
            <w:r>
              <w:rPr>
                <w:spacing w:val="2"/>
                <w:position w:val="13"/>
                <w:sz w:val="24"/>
              </w:rPr>
              <w:t>，</w:t>
            </w:r>
          </w:p>
          <w:p>
            <w:pPr>
              <w:spacing w:line="360" w:lineRule="auto"/>
              <w:ind w:firstLine="1200" w:firstLineChars="500"/>
              <w:rPr>
                <w:sz w:val="24"/>
              </w:rPr>
            </w:pPr>
            <w:r>
              <w:rPr>
                <w:sz w:val="24"/>
              </w:rPr>
              <w:t>P</w:t>
            </w:r>
            <w:r>
              <w:rPr>
                <w:spacing w:val="12"/>
                <w:sz w:val="24"/>
              </w:rPr>
              <w:t>—</w:t>
            </w:r>
            <w:r>
              <w:rPr>
                <w:spacing w:val="9"/>
                <w:sz w:val="24"/>
              </w:rPr>
              <w:t>重现期，取2年</w:t>
            </w:r>
            <w:r>
              <w:rPr>
                <w:rFonts w:hint="eastAsia"/>
                <w:spacing w:val="9"/>
                <w:sz w:val="24"/>
              </w:rPr>
              <w:t>。</w:t>
            </w:r>
          </w:p>
          <w:p>
            <w:pPr>
              <w:spacing w:line="360" w:lineRule="auto"/>
              <w:ind w:firstLine="454" w:firstLineChars="200"/>
              <w:rPr>
                <w:rFonts w:hint="eastAsia"/>
                <w:b/>
                <w:bCs/>
                <w:spacing w:val="8"/>
                <w:szCs w:val="21"/>
              </w:rPr>
            </w:pPr>
            <w:r>
              <w:rPr>
                <w:rFonts w:hint="eastAsia"/>
                <w:b/>
                <w:bCs/>
                <w:spacing w:val="8"/>
                <w:szCs w:val="21"/>
              </w:rPr>
              <w:t>注：</w:t>
            </w:r>
            <w:r>
              <w:rPr>
                <w:b/>
                <w:bCs/>
                <w:spacing w:val="8"/>
                <w:szCs w:val="21"/>
              </w:rPr>
              <w:fldChar w:fldCharType="begin"/>
            </w:r>
            <w:r>
              <w:rPr>
                <w:b/>
                <w:bCs/>
                <w:spacing w:val="8"/>
                <w:szCs w:val="21"/>
              </w:rPr>
              <w:instrText xml:space="preserve"> </w:instrText>
            </w:r>
            <w:r>
              <w:rPr>
                <w:rFonts w:hint="eastAsia"/>
                <w:b/>
                <w:bCs/>
                <w:spacing w:val="8"/>
                <w:szCs w:val="21"/>
              </w:rPr>
              <w:instrText xml:space="preserve">= 1 \* GB3</w:instrText>
            </w:r>
            <w:r>
              <w:rPr>
                <w:b/>
                <w:bCs/>
                <w:spacing w:val="8"/>
                <w:szCs w:val="21"/>
              </w:rPr>
              <w:instrText xml:space="preserve"> </w:instrText>
            </w:r>
            <w:r>
              <w:rPr>
                <w:b/>
                <w:bCs/>
                <w:spacing w:val="8"/>
                <w:szCs w:val="21"/>
              </w:rPr>
              <w:fldChar w:fldCharType="separate"/>
            </w:r>
            <w:r>
              <w:rPr>
                <w:rFonts w:hint="eastAsia"/>
                <w:b/>
                <w:bCs/>
                <w:spacing w:val="8"/>
                <w:szCs w:val="21"/>
              </w:rPr>
              <w:t>①</w:t>
            </w:r>
            <w:r>
              <w:rPr>
                <w:b/>
                <w:bCs/>
                <w:spacing w:val="8"/>
                <w:szCs w:val="21"/>
              </w:rPr>
              <w:fldChar w:fldCharType="end"/>
            </w:r>
            <w:r>
              <w:rPr>
                <w:rFonts w:hint="eastAsia"/>
                <w:b/>
                <w:bCs/>
                <w:spacing w:val="8"/>
                <w:szCs w:val="21"/>
              </w:rPr>
              <w:t>公式来源为《达州主城区暴雨强度总公式计算及对比分析》（高原山地气象研究第35卷第2期）中年最大值法暴雨强度计算公式。</w:t>
            </w:r>
          </w:p>
          <w:p>
            <w:pPr>
              <w:spacing w:line="360" w:lineRule="auto"/>
              <w:ind w:left="592"/>
              <w:rPr>
                <w:spacing w:val="-4"/>
                <w:position w:val="3"/>
                <w:sz w:val="24"/>
              </w:rPr>
            </w:pPr>
            <w:r>
              <w:rPr>
                <w:spacing w:val="-8"/>
                <w:position w:val="3"/>
                <w:sz w:val="24"/>
              </w:rPr>
              <w:t>则</w:t>
            </w:r>
            <w:r>
              <w:rPr>
                <w:spacing w:val="-4"/>
                <w:position w:val="3"/>
                <w:sz w:val="24"/>
              </w:rPr>
              <w:t>q为</w:t>
            </w:r>
            <w:r>
              <w:rPr>
                <w:rFonts w:hint="eastAsia"/>
                <w:spacing w:val="-4"/>
                <w:position w:val="3"/>
                <w:sz w:val="24"/>
              </w:rPr>
              <w:t>20.04</w:t>
            </w:r>
            <w:r>
              <w:rPr>
                <w:spacing w:val="-4"/>
                <w:position w:val="3"/>
                <w:sz w:val="24"/>
              </w:rPr>
              <w:t>L/ (s·hm</w:t>
            </w:r>
            <w:r>
              <w:rPr>
                <w:rFonts w:hint="eastAsia"/>
                <w:spacing w:val="-4"/>
                <w:position w:val="3"/>
                <w:sz w:val="24"/>
                <w:vertAlign w:val="superscript"/>
              </w:rPr>
              <w:t>2</w:t>
            </w:r>
            <w:r>
              <w:rPr>
                <w:spacing w:val="-4"/>
                <w:position w:val="3"/>
                <w:sz w:val="24"/>
              </w:rPr>
              <w:t>) ，Q为</w:t>
            </w:r>
            <w:r>
              <w:rPr>
                <w:rFonts w:hint="eastAsia"/>
                <w:spacing w:val="-4"/>
                <w:position w:val="3"/>
                <w:sz w:val="24"/>
              </w:rPr>
              <w:t>5.01</w:t>
            </w:r>
            <w:r>
              <w:rPr>
                <w:spacing w:val="-4"/>
                <w:position w:val="3"/>
                <w:sz w:val="24"/>
              </w:rPr>
              <w:t>L/s。</w:t>
            </w:r>
          </w:p>
          <w:p>
            <w:pPr>
              <w:spacing w:line="360" w:lineRule="auto"/>
              <w:ind w:left="592"/>
              <w:rPr>
                <w:sz w:val="24"/>
              </w:rPr>
            </w:pPr>
            <w:r>
              <w:rPr>
                <w:spacing w:val="-4"/>
                <w:position w:val="3"/>
                <w:sz w:val="24"/>
              </w:rPr>
              <w:t>则初期雨水量为</w:t>
            </w:r>
            <w:r>
              <w:rPr>
                <w:rFonts w:hint="eastAsia"/>
                <w:spacing w:val="-4"/>
                <w:position w:val="3"/>
                <w:sz w:val="24"/>
              </w:rPr>
              <w:t>4.5</w:t>
            </w:r>
            <w:r>
              <w:rPr>
                <w:spacing w:val="-4"/>
                <w:position w:val="3"/>
                <w:sz w:val="24"/>
              </w:rPr>
              <w:t>m</w:t>
            </w:r>
            <w:r>
              <w:rPr>
                <w:rFonts w:hint="eastAsia"/>
                <w:spacing w:val="-4"/>
                <w:position w:val="3"/>
                <w:sz w:val="24"/>
                <w:vertAlign w:val="superscript"/>
              </w:rPr>
              <w:t>3</w:t>
            </w:r>
            <w:r>
              <w:rPr>
                <w:rFonts w:hint="eastAsia"/>
                <w:spacing w:val="-4"/>
                <w:position w:val="3"/>
                <w:sz w:val="24"/>
              </w:rPr>
              <w:t>/1</w:t>
            </w:r>
            <w:r>
              <w:rPr>
                <w:spacing w:val="-4"/>
                <w:position w:val="3"/>
                <w:sz w:val="24"/>
              </w:rPr>
              <w:t>5min。</w:t>
            </w:r>
          </w:p>
          <w:p>
            <w:pPr>
              <w:spacing w:line="360" w:lineRule="auto"/>
              <w:ind w:left="592"/>
              <w:rPr>
                <w:spacing w:val="-4"/>
                <w:position w:val="3"/>
                <w:sz w:val="24"/>
              </w:rPr>
            </w:pPr>
            <w:r>
              <w:rPr>
                <w:spacing w:val="-4"/>
                <w:position w:val="3"/>
                <w:sz w:val="24"/>
              </w:rPr>
              <w:fldChar w:fldCharType="begin"/>
            </w:r>
            <w:r>
              <w:rPr>
                <w:spacing w:val="-4"/>
                <w:position w:val="3"/>
                <w:sz w:val="24"/>
              </w:rPr>
              <w:instrText xml:space="preserve"> </w:instrText>
            </w:r>
            <w:r>
              <w:rPr>
                <w:rFonts w:hint="eastAsia"/>
                <w:spacing w:val="-4"/>
                <w:position w:val="3"/>
                <w:sz w:val="24"/>
              </w:rPr>
              <w:instrText xml:space="preserve">= 2 \* GB3</w:instrText>
            </w:r>
            <w:r>
              <w:rPr>
                <w:spacing w:val="-4"/>
                <w:position w:val="3"/>
                <w:sz w:val="24"/>
              </w:rPr>
              <w:instrText xml:space="preserve"> </w:instrText>
            </w:r>
            <w:r>
              <w:rPr>
                <w:spacing w:val="-4"/>
                <w:position w:val="3"/>
                <w:sz w:val="24"/>
              </w:rPr>
              <w:fldChar w:fldCharType="separate"/>
            </w:r>
            <w:r>
              <w:rPr>
                <w:rFonts w:hint="eastAsia"/>
                <w:spacing w:val="-4"/>
                <w:position w:val="3"/>
                <w:sz w:val="24"/>
              </w:rPr>
              <w:t>②</w:t>
            </w:r>
            <w:r>
              <w:rPr>
                <w:spacing w:val="-4"/>
                <w:position w:val="3"/>
                <w:sz w:val="24"/>
              </w:rPr>
              <w:fldChar w:fldCharType="end"/>
            </w:r>
            <w:r>
              <w:rPr>
                <w:spacing w:val="-4"/>
                <w:position w:val="3"/>
                <w:sz w:val="24"/>
              </w:rPr>
              <w:t>治理措施</w:t>
            </w:r>
          </w:p>
          <w:p>
            <w:pPr>
              <w:spacing w:line="360" w:lineRule="auto"/>
              <w:ind w:left="108" w:firstLine="512" w:firstLineChars="200"/>
              <w:rPr>
                <w:spacing w:val="8"/>
                <w:sz w:val="24"/>
              </w:rPr>
            </w:pPr>
            <w:r>
              <w:rPr>
                <w:spacing w:val="8"/>
                <w:sz w:val="24"/>
              </w:rPr>
              <w:t>本项目站内排水采用雨污分流制排水系统，站内拟设置隔油池</w:t>
            </w:r>
            <w:r>
              <w:rPr>
                <w:rFonts w:hint="eastAsia"/>
                <w:spacing w:val="8"/>
                <w:sz w:val="24"/>
              </w:rPr>
              <w:t>1</w:t>
            </w:r>
            <w:r>
              <w:rPr>
                <w:spacing w:val="8"/>
                <w:sz w:val="24"/>
              </w:rPr>
              <w:t>座，容积为</w:t>
            </w:r>
            <w:r>
              <w:rPr>
                <w:rFonts w:hint="eastAsia"/>
                <w:spacing w:val="8"/>
                <w:sz w:val="24"/>
              </w:rPr>
              <w:t>4.5</w:t>
            </w:r>
            <w:r>
              <w:rPr>
                <w:spacing w:val="8"/>
                <w:sz w:val="24"/>
              </w:rPr>
              <w:t>m</w:t>
            </w:r>
            <w:r>
              <w:rPr>
                <w:spacing w:val="8"/>
                <w:sz w:val="24"/>
                <w:vertAlign w:val="superscript"/>
              </w:rPr>
              <w:t>3</w:t>
            </w:r>
            <w:r>
              <w:rPr>
                <w:spacing w:val="8"/>
                <w:sz w:val="24"/>
              </w:rPr>
              <w:t>，位于站区出口处绿化带内，站内初期雨水利用地坪自然坡度散流通过环保沟收集进入隔油池经隔油沉淀后</w:t>
            </w:r>
            <w:r>
              <w:rPr>
                <w:kern w:val="0"/>
                <w:sz w:val="24"/>
              </w:rPr>
              <w:t>排入化粪池与生活污水</w:t>
            </w:r>
            <w:r>
              <w:rPr>
                <w:rFonts w:hint="eastAsia"/>
                <w:kern w:val="0"/>
                <w:sz w:val="24"/>
              </w:rPr>
              <w:t>一起处理</w:t>
            </w:r>
            <w:r>
              <w:rPr>
                <w:spacing w:val="8"/>
                <w:sz w:val="24"/>
              </w:rPr>
              <w:t>。</w:t>
            </w:r>
          </w:p>
          <w:p>
            <w:pPr>
              <w:spacing w:line="360" w:lineRule="auto"/>
              <w:ind w:left="108" w:firstLine="512" w:firstLineChars="200"/>
              <w:rPr>
                <w:spacing w:val="8"/>
                <w:sz w:val="24"/>
              </w:rPr>
            </w:pPr>
            <w:r>
              <w:rPr>
                <w:rFonts w:hint="eastAsia"/>
                <w:spacing w:val="8"/>
                <w:sz w:val="24"/>
              </w:rPr>
              <w:t>本项目废水产排及治理情况见下表。</w:t>
            </w:r>
          </w:p>
          <w:p>
            <w:pPr>
              <w:jc w:val="center"/>
              <w:rPr>
                <w:b/>
                <w:spacing w:val="-2"/>
                <w:szCs w:val="21"/>
              </w:rPr>
            </w:pPr>
          </w:p>
          <w:p>
            <w:pPr>
              <w:jc w:val="center"/>
              <w:rPr>
                <w:b/>
                <w:spacing w:val="-2"/>
                <w:szCs w:val="21"/>
              </w:rPr>
            </w:pPr>
          </w:p>
          <w:p>
            <w:pPr>
              <w:jc w:val="center"/>
              <w:rPr>
                <w:b/>
                <w:spacing w:val="-2"/>
                <w:szCs w:val="21"/>
              </w:rPr>
            </w:pPr>
          </w:p>
          <w:p>
            <w:pPr>
              <w:jc w:val="center"/>
              <w:rPr>
                <w:b/>
                <w:spacing w:val="-2"/>
                <w:szCs w:val="21"/>
              </w:rPr>
            </w:pPr>
            <w:r>
              <w:rPr>
                <w:b/>
                <w:spacing w:val="-2"/>
                <w:szCs w:val="21"/>
              </w:rPr>
              <w:t>表4-</w:t>
            </w:r>
            <w:r>
              <w:rPr>
                <w:rFonts w:hint="eastAsia"/>
                <w:b/>
                <w:spacing w:val="-2"/>
                <w:szCs w:val="21"/>
              </w:rPr>
              <w:t>2</w:t>
            </w:r>
            <w:r>
              <w:rPr>
                <w:b/>
                <w:spacing w:val="-2"/>
                <w:szCs w:val="21"/>
              </w:rPr>
              <w:t xml:space="preserve">  本项目废水产排一览表</w:t>
            </w:r>
          </w:p>
          <w:tbl>
            <w:tblPr>
              <w:tblStyle w:val="70"/>
              <w:tblW w:w="5000" w:type="pct"/>
              <w:tblInd w:w="0" w:type="dxa"/>
              <w:tblLayout w:type="autofit"/>
              <w:tblCellMar>
                <w:top w:w="0" w:type="dxa"/>
                <w:left w:w="108" w:type="dxa"/>
                <w:bottom w:w="0" w:type="dxa"/>
                <w:right w:w="108" w:type="dxa"/>
              </w:tblCellMar>
            </w:tblPr>
            <w:tblGrid>
              <w:gridCol w:w="1078"/>
              <w:gridCol w:w="1079"/>
              <w:gridCol w:w="1079"/>
              <w:gridCol w:w="1079"/>
              <w:gridCol w:w="1506"/>
              <w:gridCol w:w="1506"/>
              <w:gridCol w:w="1075"/>
            </w:tblGrid>
            <w:tr>
              <w:tblPrEx>
                <w:tblCellMar>
                  <w:top w:w="0" w:type="dxa"/>
                  <w:left w:w="108" w:type="dxa"/>
                  <w:bottom w:w="0" w:type="dxa"/>
                  <w:right w:w="108" w:type="dxa"/>
                </w:tblCellMar>
              </w:tblPrEx>
              <w:trPr>
                <w:trHeight w:val="340" w:hRule="atLeast"/>
              </w:trPr>
              <w:tc>
                <w:tcPr>
                  <w:tcW w:w="642" w:type="pct"/>
                  <w:vMerge w:val="restart"/>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ascii="宋体" w:hAnsi="宋体" w:cs="宋体"/>
                      <w:b/>
                      <w:bCs/>
                      <w:kern w:val="0"/>
                      <w:szCs w:val="21"/>
                    </w:rPr>
                  </w:pPr>
                  <w:r>
                    <w:rPr>
                      <w:rFonts w:hint="eastAsia" w:ascii="宋体" w:hAnsi="宋体" w:cs="宋体"/>
                      <w:b/>
                      <w:bCs/>
                      <w:kern w:val="0"/>
                      <w:szCs w:val="21"/>
                    </w:rPr>
                    <w:t>废水类别</w:t>
                  </w:r>
                </w:p>
              </w:tc>
              <w:tc>
                <w:tcPr>
                  <w:tcW w:w="642" w:type="pct"/>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废水量</w:t>
                  </w:r>
                </w:p>
              </w:tc>
              <w:tc>
                <w:tcPr>
                  <w:tcW w:w="642" w:type="pct"/>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主要</w:t>
                  </w:r>
                </w:p>
              </w:tc>
              <w:tc>
                <w:tcPr>
                  <w:tcW w:w="1538" w:type="pct"/>
                  <w:gridSpan w:val="2"/>
                  <w:tcBorders>
                    <w:top w:val="single" w:color="auto" w:sz="8" w:space="0"/>
                    <w:left w:val="nil"/>
                    <w:bottom w:val="single" w:color="auto" w:sz="8" w:space="0"/>
                    <w:right w:val="single" w:color="000000"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处</w:t>
                  </w:r>
                  <w:r>
                    <w:rPr>
                      <w:b/>
                      <w:bCs/>
                      <w:kern w:val="0"/>
                      <w:szCs w:val="21"/>
                    </w:rPr>
                    <w:t xml:space="preserve"> </w:t>
                  </w:r>
                  <w:r>
                    <w:rPr>
                      <w:rFonts w:hint="eastAsia" w:ascii="宋体" w:hAnsi="宋体" w:cs="宋体"/>
                      <w:b/>
                      <w:bCs/>
                      <w:kern w:val="0"/>
                      <w:szCs w:val="21"/>
                    </w:rPr>
                    <w:t>理</w:t>
                  </w:r>
                  <w:r>
                    <w:rPr>
                      <w:b/>
                      <w:bCs/>
                      <w:kern w:val="0"/>
                      <w:szCs w:val="21"/>
                    </w:rPr>
                    <w:t xml:space="preserve"> </w:t>
                  </w:r>
                  <w:r>
                    <w:rPr>
                      <w:rFonts w:hint="eastAsia" w:ascii="宋体" w:hAnsi="宋体" w:cs="宋体"/>
                      <w:b/>
                      <w:bCs/>
                      <w:kern w:val="0"/>
                      <w:szCs w:val="21"/>
                    </w:rPr>
                    <w:t>前</w:t>
                  </w:r>
                </w:p>
              </w:tc>
              <w:tc>
                <w:tcPr>
                  <w:tcW w:w="1536" w:type="pct"/>
                  <w:gridSpan w:val="2"/>
                  <w:tcBorders>
                    <w:top w:val="single" w:color="auto" w:sz="8" w:space="0"/>
                    <w:left w:val="nil"/>
                    <w:bottom w:val="single" w:color="auto" w:sz="8" w:space="0"/>
                    <w:right w:val="single" w:color="000000"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处</w:t>
                  </w:r>
                  <w:r>
                    <w:rPr>
                      <w:b/>
                      <w:bCs/>
                      <w:kern w:val="0"/>
                      <w:szCs w:val="21"/>
                    </w:rPr>
                    <w:t xml:space="preserve"> </w:t>
                  </w:r>
                  <w:r>
                    <w:rPr>
                      <w:rFonts w:hint="eastAsia" w:ascii="宋体" w:hAnsi="宋体" w:cs="宋体"/>
                      <w:b/>
                      <w:bCs/>
                      <w:kern w:val="0"/>
                      <w:szCs w:val="21"/>
                    </w:rPr>
                    <w:t>理</w:t>
                  </w:r>
                  <w:r>
                    <w:rPr>
                      <w:b/>
                      <w:bCs/>
                      <w:kern w:val="0"/>
                      <w:szCs w:val="21"/>
                    </w:rPr>
                    <w:t xml:space="preserve"> </w:t>
                  </w:r>
                  <w:r>
                    <w:rPr>
                      <w:rFonts w:hint="eastAsia" w:ascii="宋体" w:hAnsi="宋体" w:cs="宋体"/>
                      <w:b/>
                      <w:bCs/>
                      <w:kern w:val="0"/>
                      <w:szCs w:val="21"/>
                    </w:rPr>
                    <w:t>后</w:t>
                  </w:r>
                </w:p>
              </w:tc>
            </w:tr>
            <w:tr>
              <w:tblPrEx>
                <w:tblCellMar>
                  <w:top w:w="0" w:type="dxa"/>
                  <w:left w:w="108" w:type="dxa"/>
                  <w:bottom w:w="0" w:type="dxa"/>
                  <w:right w:w="108" w:type="dxa"/>
                </w:tblCellMar>
              </w:tblPrEx>
              <w:trPr>
                <w:trHeight w:val="340" w:hRule="atLeast"/>
              </w:trPr>
              <w:tc>
                <w:tcPr>
                  <w:tcW w:w="642" w:type="pct"/>
                  <w:vMerge w:val="continue"/>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ascii="宋体" w:hAnsi="宋体" w:cs="宋体"/>
                      <w:b/>
                      <w:bCs/>
                      <w:kern w:val="0"/>
                      <w:szCs w:val="21"/>
                    </w:rPr>
                  </w:pPr>
                </w:p>
              </w:tc>
              <w:tc>
                <w:tcPr>
                  <w:tcW w:w="642" w:type="pct"/>
                  <w:vMerge w:val="restart"/>
                  <w:tcBorders>
                    <w:top w:val="nil"/>
                    <w:left w:val="nil"/>
                    <w:right w:val="single" w:color="auto" w:sz="8" w:space="0"/>
                  </w:tcBorders>
                  <w:noWrap w:val="0"/>
                  <w:vAlign w:val="center"/>
                </w:tcPr>
                <w:p>
                  <w:pPr>
                    <w:widowControl/>
                    <w:jc w:val="center"/>
                    <w:rPr>
                      <w:rFonts w:hint="eastAsia" w:eastAsia="等线"/>
                      <w:b/>
                      <w:bCs/>
                      <w:kern w:val="0"/>
                      <w:szCs w:val="21"/>
                    </w:rPr>
                  </w:pPr>
                  <w:r>
                    <w:rPr>
                      <w:rFonts w:eastAsia="等线"/>
                      <w:b/>
                      <w:bCs/>
                      <w:kern w:val="0"/>
                      <w:szCs w:val="21"/>
                    </w:rPr>
                    <w:t>m</w:t>
                  </w:r>
                  <w:r>
                    <w:rPr>
                      <w:rFonts w:eastAsia="等线"/>
                      <w:b/>
                      <w:bCs/>
                      <w:kern w:val="0"/>
                      <w:szCs w:val="21"/>
                      <w:vertAlign w:val="superscript"/>
                    </w:rPr>
                    <w:t>3</w:t>
                  </w:r>
                  <w:r>
                    <w:rPr>
                      <w:rFonts w:eastAsia="等线"/>
                      <w:b/>
                      <w:bCs/>
                      <w:kern w:val="0"/>
                      <w:szCs w:val="21"/>
                    </w:rPr>
                    <w:t>/d</w:t>
                  </w:r>
                </w:p>
              </w:tc>
              <w:tc>
                <w:tcPr>
                  <w:tcW w:w="642" w:type="pct"/>
                  <w:vMerge w:val="restart"/>
                  <w:tcBorders>
                    <w:top w:val="nil"/>
                    <w:left w:val="nil"/>
                    <w:right w:val="single" w:color="auto" w:sz="8" w:space="0"/>
                  </w:tcBorders>
                  <w:noWrap w:val="0"/>
                  <w:vAlign w:val="center"/>
                </w:tcPr>
                <w:p>
                  <w:pPr>
                    <w:widowControl/>
                    <w:jc w:val="center"/>
                    <w:rPr>
                      <w:rFonts w:ascii="宋体" w:hAnsi="宋体" w:cs="宋体"/>
                      <w:b/>
                      <w:bCs/>
                      <w:kern w:val="0"/>
                      <w:szCs w:val="21"/>
                    </w:rPr>
                  </w:pPr>
                  <w:r>
                    <w:rPr>
                      <w:rFonts w:hint="eastAsia" w:ascii="宋体" w:hAnsi="宋体" w:cs="宋体"/>
                      <w:b/>
                      <w:bCs/>
                      <w:kern w:val="0"/>
                      <w:szCs w:val="21"/>
                    </w:rPr>
                    <w:t>污染物</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排放量</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产生浓度</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排放量</w:t>
                  </w:r>
                </w:p>
              </w:tc>
              <w:tc>
                <w:tcPr>
                  <w:tcW w:w="640" w:type="pct"/>
                  <w:tcBorders>
                    <w:top w:val="nil"/>
                    <w:left w:val="nil"/>
                    <w:bottom w:val="single" w:color="auto" w:sz="8" w:space="0"/>
                    <w:right w:val="single" w:color="auto" w:sz="8" w:space="0"/>
                  </w:tcBorders>
                  <w:noWrap w:val="0"/>
                  <w:vAlign w:val="center"/>
                </w:tcPr>
                <w:p>
                  <w:pPr>
                    <w:widowControl/>
                    <w:jc w:val="center"/>
                    <w:rPr>
                      <w:rFonts w:hint="eastAsia" w:ascii="宋体" w:hAnsi="宋体" w:cs="宋体"/>
                      <w:b/>
                      <w:bCs/>
                      <w:kern w:val="0"/>
                      <w:szCs w:val="21"/>
                    </w:rPr>
                  </w:pPr>
                  <w:r>
                    <w:rPr>
                      <w:rFonts w:hint="eastAsia" w:ascii="宋体" w:hAnsi="宋体" w:cs="宋体"/>
                      <w:b/>
                      <w:bCs/>
                      <w:kern w:val="0"/>
                      <w:szCs w:val="21"/>
                    </w:rPr>
                    <w:t>排放浓度</w:t>
                  </w:r>
                </w:p>
              </w:tc>
            </w:tr>
            <w:tr>
              <w:tblPrEx>
                <w:tblCellMar>
                  <w:top w:w="0" w:type="dxa"/>
                  <w:left w:w="108" w:type="dxa"/>
                  <w:bottom w:w="0" w:type="dxa"/>
                  <w:right w:w="108" w:type="dxa"/>
                </w:tblCellMar>
              </w:tblPrEx>
              <w:trPr>
                <w:trHeight w:val="340" w:hRule="atLeast"/>
              </w:trPr>
              <w:tc>
                <w:tcPr>
                  <w:tcW w:w="642" w:type="pct"/>
                  <w:vMerge w:val="continue"/>
                  <w:tcBorders>
                    <w:top w:val="single" w:color="auto" w:sz="8" w:space="0"/>
                    <w:left w:val="single" w:color="auto" w:sz="8" w:space="0"/>
                    <w:bottom w:val="single" w:color="000000" w:sz="8" w:space="0"/>
                    <w:right w:val="single" w:color="auto" w:sz="8" w:space="0"/>
                  </w:tcBorders>
                  <w:noWrap w:val="0"/>
                  <w:vAlign w:val="center"/>
                </w:tcPr>
                <w:p>
                  <w:pPr>
                    <w:widowControl/>
                    <w:jc w:val="center"/>
                    <w:rPr>
                      <w:rFonts w:ascii="宋体" w:hAnsi="宋体" w:cs="宋体"/>
                      <w:b/>
                      <w:bCs/>
                      <w:kern w:val="0"/>
                      <w:szCs w:val="21"/>
                    </w:rPr>
                  </w:pPr>
                </w:p>
              </w:tc>
              <w:tc>
                <w:tcPr>
                  <w:tcW w:w="642" w:type="pct"/>
                  <w:vMerge w:val="continue"/>
                  <w:tcBorders>
                    <w:left w:val="nil"/>
                    <w:bottom w:val="single" w:color="auto" w:sz="8" w:space="0"/>
                    <w:right w:val="single" w:color="auto" w:sz="8" w:space="0"/>
                  </w:tcBorders>
                  <w:noWrap w:val="0"/>
                  <w:vAlign w:val="center"/>
                </w:tcPr>
                <w:p>
                  <w:pPr>
                    <w:widowControl/>
                    <w:jc w:val="center"/>
                    <w:rPr>
                      <w:rFonts w:hint="eastAsia" w:ascii="等线" w:hAnsi="等线" w:eastAsia="等线" w:cs="宋体"/>
                      <w:kern w:val="0"/>
                      <w:sz w:val="22"/>
                      <w:szCs w:val="22"/>
                    </w:rPr>
                  </w:pPr>
                </w:p>
              </w:tc>
              <w:tc>
                <w:tcPr>
                  <w:tcW w:w="642" w:type="pct"/>
                  <w:vMerge w:val="continue"/>
                  <w:tcBorders>
                    <w:left w:val="nil"/>
                    <w:bottom w:val="single" w:color="auto" w:sz="8" w:space="0"/>
                    <w:right w:val="single" w:color="auto" w:sz="8" w:space="0"/>
                  </w:tcBorders>
                  <w:noWrap w:val="0"/>
                  <w:vAlign w:val="center"/>
                </w:tcPr>
                <w:p>
                  <w:pPr>
                    <w:widowControl/>
                    <w:jc w:val="center"/>
                    <w:rPr>
                      <w:rFonts w:hint="eastAsia" w:ascii="等线" w:hAnsi="等线" w:eastAsia="等线" w:cs="宋体"/>
                      <w:kern w:val="0"/>
                      <w:sz w:val="22"/>
                      <w:szCs w:val="22"/>
                    </w:rPr>
                  </w:pP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b/>
                      <w:bCs/>
                      <w:kern w:val="0"/>
                      <w:szCs w:val="21"/>
                    </w:rPr>
                  </w:pPr>
                  <w:r>
                    <w:rPr>
                      <w:rFonts w:eastAsia="等线"/>
                      <w:b/>
                      <w:bCs/>
                      <w:kern w:val="0"/>
                      <w:szCs w:val="21"/>
                    </w:rPr>
                    <w:t>kg/d</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b/>
                      <w:bCs/>
                      <w:kern w:val="0"/>
                      <w:szCs w:val="21"/>
                    </w:rPr>
                  </w:pPr>
                  <w:r>
                    <w:rPr>
                      <w:rFonts w:eastAsia="等线"/>
                      <w:b/>
                      <w:bCs/>
                      <w:kern w:val="0"/>
                      <w:szCs w:val="21"/>
                    </w:rPr>
                    <w:t>mg/L</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b/>
                      <w:bCs/>
                      <w:kern w:val="0"/>
                      <w:szCs w:val="21"/>
                    </w:rPr>
                  </w:pPr>
                  <w:r>
                    <w:rPr>
                      <w:rFonts w:eastAsia="等线"/>
                      <w:b/>
                      <w:bCs/>
                      <w:kern w:val="0"/>
                      <w:szCs w:val="21"/>
                    </w:rPr>
                    <w:t>kg/d</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b/>
                      <w:bCs/>
                      <w:kern w:val="0"/>
                      <w:szCs w:val="21"/>
                    </w:rPr>
                  </w:pPr>
                  <w:r>
                    <w:rPr>
                      <w:rFonts w:eastAsia="等线"/>
                      <w:b/>
                      <w:bCs/>
                      <w:kern w:val="0"/>
                      <w:szCs w:val="21"/>
                    </w:rPr>
                    <w:t>mg/L</w:t>
                  </w:r>
                </w:p>
              </w:tc>
            </w:tr>
            <w:tr>
              <w:tblPrEx>
                <w:tblCellMar>
                  <w:top w:w="0" w:type="dxa"/>
                  <w:left w:w="108" w:type="dxa"/>
                  <w:bottom w:w="0" w:type="dxa"/>
                  <w:right w:w="108" w:type="dxa"/>
                </w:tblCellMar>
              </w:tblPrEx>
              <w:trPr>
                <w:trHeight w:val="340" w:hRule="atLeast"/>
              </w:trPr>
              <w:tc>
                <w:tcPr>
                  <w:tcW w:w="642" w:type="pct"/>
                  <w:vMerge w:val="restart"/>
                  <w:tcBorders>
                    <w:top w:val="nil"/>
                    <w:left w:val="single" w:color="auto" w:sz="8" w:space="0"/>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洗车废水</w:t>
                  </w:r>
                </w:p>
              </w:tc>
              <w:tc>
                <w:tcPr>
                  <w:tcW w:w="642" w:type="pct"/>
                  <w:vMerge w:val="restart"/>
                  <w:tcBorders>
                    <w:top w:val="nil"/>
                    <w:left w:val="single" w:color="auto" w:sz="8" w:space="0"/>
                    <w:right w:val="single" w:color="auto" w:sz="8" w:space="0"/>
                  </w:tcBorders>
                  <w:noWrap w:val="0"/>
                  <w:vAlign w:val="center"/>
                </w:tcPr>
                <w:p>
                  <w:pPr>
                    <w:widowControl/>
                    <w:jc w:val="center"/>
                    <w:rPr>
                      <w:rFonts w:hint="eastAsia" w:eastAsia="等线"/>
                      <w:kern w:val="0"/>
                      <w:szCs w:val="21"/>
                    </w:rPr>
                  </w:pPr>
                  <w:r>
                    <w:rPr>
                      <w:rFonts w:hint="eastAsia" w:eastAsia="等线"/>
                      <w:kern w:val="0"/>
                      <w:szCs w:val="21"/>
                    </w:rPr>
                    <w:t>0.58</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pH*</w:t>
                  </w:r>
                </w:p>
              </w:tc>
              <w:tc>
                <w:tcPr>
                  <w:tcW w:w="1538"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hint="eastAsia" w:eastAsia="等线"/>
                      <w:kern w:val="0"/>
                      <w:szCs w:val="21"/>
                    </w:rPr>
                    <w:t>6~9</w:t>
                  </w:r>
                </w:p>
              </w:tc>
              <w:tc>
                <w:tcPr>
                  <w:tcW w:w="1536"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hint="eastAsia" w:eastAsia="等线"/>
                      <w:kern w:val="0"/>
                      <w:szCs w:val="21"/>
                    </w:rPr>
                    <w:t>6~9</w:t>
                  </w:r>
                </w:p>
              </w:tc>
            </w:tr>
            <w:tr>
              <w:tblPrEx>
                <w:tblCellMar>
                  <w:top w:w="0" w:type="dxa"/>
                  <w:left w:w="108" w:type="dxa"/>
                  <w:bottom w:w="0" w:type="dxa"/>
                  <w:right w:w="108" w:type="dxa"/>
                </w:tblCellMar>
              </w:tblPrEx>
              <w:trPr>
                <w:trHeight w:val="340" w:hRule="atLeast"/>
              </w:trPr>
              <w:tc>
                <w:tcPr>
                  <w:tcW w:w="642" w:type="pct"/>
                  <w:vMerge w:val="continue"/>
                  <w:tcBorders>
                    <w:left w:val="single" w:color="auto"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left w:val="single" w:color="auto"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SS</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0.174</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300</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0.116</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200</w:t>
                  </w:r>
                </w:p>
              </w:tc>
            </w:tr>
            <w:tr>
              <w:tblPrEx>
                <w:tblCellMar>
                  <w:top w:w="0" w:type="dxa"/>
                  <w:left w:w="108" w:type="dxa"/>
                  <w:bottom w:w="0" w:type="dxa"/>
                  <w:right w:w="108" w:type="dxa"/>
                </w:tblCellMar>
              </w:tblPrEx>
              <w:trPr>
                <w:trHeight w:val="340" w:hRule="atLeast"/>
              </w:trPr>
              <w:tc>
                <w:tcPr>
                  <w:tcW w:w="642" w:type="pct"/>
                  <w:vMerge w:val="continue"/>
                  <w:tcBorders>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hint="eastAsia" w:eastAsia="等线"/>
                      <w:kern w:val="0"/>
                      <w:szCs w:val="21"/>
                    </w:rPr>
                    <w:t>石油类</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0.029</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50</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0.01</w:t>
                  </w:r>
                  <w:r>
                    <w:rPr>
                      <w:rFonts w:hint="eastAsia" w:eastAsia="等线"/>
                      <w:szCs w:val="21"/>
                    </w:rPr>
                    <w:t>2</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20</w:t>
                  </w:r>
                </w:p>
              </w:tc>
            </w:tr>
            <w:tr>
              <w:tblPrEx>
                <w:tblCellMar>
                  <w:top w:w="0" w:type="dxa"/>
                  <w:left w:w="108" w:type="dxa"/>
                  <w:bottom w:w="0" w:type="dxa"/>
                  <w:right w:w="108" w:type="dxa"/>
                </w:tblCellMar>
              </w:tblPrEx>
              <w:trPr>
                <w:trHeight w:val="340" w:hRule="atLeast"/>
              </w:trPr>
              <w:tc>
                <w:tcPr>
                  <w:tcW w:w="642" w:type="pct"/>
                  <w:vMerge w:val="restart"/>
                  <w:tcBorders>
                    <w:top w:val="nil"/>
                    <w:left w:val="single" w:color="auto" w:sz="8" w:space="0"/>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地面冲洗废水</w:t>
                  </w:r>
                </w:p>
              </w:tc>
              <w:tc>
                <w:tcPr>
                  <w:tcW w:w="642" w:type="pct"/>
                  <w:vMerge w:val="restart"/>
                  <w:tcBorders>
                    <w:top w:val="nil"/>
                    <w:left w:val="single" w:color="auto" w:sz="8" w:space="0"/>
                    <w:right w:val="single" w:color="auto" w:sz="8" w:space="0"/>
                  </w:tcBorders>
                  <w:noWrap w:val="0"/>
                  <w:vAlign w:val="center"/>
                </w:tcPr>
                <w:p>
                  <w:pPr>
                    <w:widowControl/>
                    <w:jc w:val="center"/>
                    <w:rPr>
                      <w:rFonts w:hint="eastAsia" w:eastAsia="等线"/>
                      <w:kern w:val="0"/>
                      <w:szCs w:val="21"/>
                    </w:rPr>
                  </w:pPr>
                  <w:r>
                    <w:rPr>
                      <w:rFonts w:hint="eastAsia" w:eastAsia="等线"/>
                      <w:kern w:val="0"/>
                      <w:szCs w:val="21"/>
                    </w:rPr>
                    <w:t>0.05</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pH*</w:t>
                  </w:r>
                </w:p>
              </w:tc>
              <w:tc>
                <w:tcPr>
                  <w:tcW w:w="1538"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hint="eastAsia" w:eastAsia="等线"/>
                      <w:kern w:val="0"/>
                      <w:szCs w:val="21"/>
                    </w:rPr>
                    <w:t>6~9</w:t>
                  </w:r>
                </w:p>
              </w:tc>
              <w:tc>
                <w:tcPr>
                  <w:tcW w:w="1536"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hint="eastAsia" w:eastAsia="等线"/>
                      <w:kern w:val="0"/>
                      <w:szCs w:val="21"/>
                    </w:rPr>
                    <w:t>6~9</w:t>
                  </w:r>
                </w:p>
              </w:tc>
            </w:tr>
            <w:tr>
              <w:tblPrEx>
                <w:tblCellMar>
                  <w:top w:w="0" w:type="dxa"/>
                  <w:left w:w="108" w:type="dxa"/>
                  <w:bottom w:w="0" w:type="dxa"/>
                  <w:right w:w="108" w:type="dxa"/>
                </w:tblCellMar>
              </w:tblPrEx>
              <w:trPr>
                <w:trHeight w:val="340" w:hRule="atLeast"/>
              </w:trPr>
              <w:tc>
                <w:tcPr>
                  <w:tcW w:w="642" w:type="pct"/>
                  <w:vMerge w:val="continue"/>
                  <w:tcBorders>
                    <w:left w:val="single" w:color="auto"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left w:val="single" w:color="auto"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SS</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0.015</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300</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0.01</w:t>
                  </w:r>
                </w:p>
              </w:tc>
              <w:tc>
                <w:tcPr>
                  <w:tcW w:w="640"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200</w:t>
                  </w:r>
                </w:p>
              </w:tc>
            </w:tr>
            <w:tr>
              <w:tblPrEx>
                <w:tblCellMar>
                  <w:top w:w="0" w:type="dxa"/>
                  <w:left w:w="108" w:type="dxa"/>
                  <w:bottom w:w="0" w:type="dxa"/>
                  <w:right w:w="108" w:type="dxa"/>
                </w:tblCellMar>
              </w:tblPrEx>
              <w:trPr>
                <w:trHeight w:val="340" w:hRule="atLeast"/>
              </w:trPr>
              <w:tc>
                <w:tcPr>
                  <w:tcW w:w="642" w:type="pct"/>
                  <w:vMerge w:val="continue"/>
                  <w:tcBorders>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hint="eastAsia" w:eastAsia="等线"/>
                      <w:kern w:val="0"/>
                      <w:szCs w:val="21"/>
                    </w:rPr>
                    <w:t>石油类</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0.003</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50</w:t>
                  </w:r>
                </w:p>
              </w:tc>
              <w:tc>
                <w:tcPr>
                  <w:tcW w:w="896"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0.001</w:t>
                  </w:r>
                </w:p>
              </w:tc>
              <w:tc>
                <w:tcPr>
                  <w:tcW w:w="640"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20</w:t>
                  </w:r>
                </w:p>
              </w:tc>
            </w:tr>
            <w:tr>
              <w:tblPrEx>
                <w:tblCellMar>
                  <w:top w:w="0" w:type="dxa"/>
                  <w:left w:w="108" w:type="dxa"/>
                  <w:bottom w:w="0" w:type="dxa"/>
                  <w:right w:w="108" w:type="dxa"/>
                </w:tblCellMar>
              </w:tblPrEx>
              <w:trPr>
                <w:trHeight w:val="340" w:hRule="atLeast"/>
              </w:trPr>
              <w:tc>
                <w:tcPr>
                  <w:tcW w:w="642" w:type="pct"/>
                  <w:vMerge w:val="restart"/>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生活污水</w:t>
                  </w:r>
                </w:p>
              </w:tc>
              <w:tc>
                <w:tcPr>
                  <w:tcW w:w="642" w:type="pct"/>
                  <w:vMerge w:val="restart"/>
                  <w:tcBorders>
                    <w:top w:val="nil"/>
                    <w:left w:val="single" w:color="auto" w:sz="8" w:space="0"/>
                    <w:bottom w:val="single" w:color="000000" w:sz="8" w:space="0"/>
                    <w:right w:val="single" w:color="auto" w:sz="8" w:space="0"/>
                  </w:tcBorders>
                  <w:noWrap w:val="0"/>
                  <w:vAlign w:val="center"/>
                </w:tcPr>
                <w:p>
                  <w:pPr>
                    <w:widowControl/>
                    <w:jc w:val="center"/>
                    <w:rPr>
                      <w:rFonts w:hint="eastAsia" w:eastAsia="等线"/>
                      <w:kern w:val="0"/>
                      <w:szCs w:val="21"/>
                    </w:rPr>
                  </w:pPr>
                  <w:r>
                    <w:rPr>
                      <w:rFonts w:hint="eastAsia" w:eastAsia="等线"/>
                      <w:kern w:val="0"/>
                      <w:szCs w:val="21"/>
                    </w:rPr>
                    <w:t>1.22</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pH*</w:t>
                  </w:r>
                </w:p>
              </w:tc>
              <w:tc>
                <w:tcPr>
                  <w:tcW w:w="1538"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hint="eastAsia" w:eastAsia="等线"/>
                      <w:kern w:val="0"/>
                      <w:szCs w:val="21"/>
                    </w:rPr>
                    <w:t>6~9</w:t>
                  </w:r>
                </w:p>
              </w:tc>
              <w:tc>
                <w:tcPr>
                  <w:tcW w:w="1536" w:type="pct"/>
                  <w:gridSpan w:val="2"/>
                  <w:tcBorders>
                    <w:top w:val="single" w:color="auto" w:sz="8" w:space="0"/>
                    <w:left w:val="nil"/>
                    <w:bottom w:val="single" w:color="auto" w:sz="8" w:space="0"/>
                    <w:right w:val="single" w:color="000000" w:sz="8" w:space="0"/>
                  </w:tcBorders>
                  <w:noWrap w:val="0"/>
                  <w:vAlign w:val="center"/>
                </w:tcPr>
                <w:p>
                  <w:pPr>
                    <w:widowControl/>
                    <w:jc w:val="center"/>
                    <w:rPr>
                      <w:rFonts w:eastAsia="等线"/>
                      <w:kern w:val="0"/>
                      <w:szCs w:val="21"/>
                    </w:rPr>
                  </w:pPr>
                  <w:r>
                    <w:rPr>
                      <w:rFonts w:eastAsia="等线"/>
                      <w:kern w:val="0"/>
                      <w:szCs w:val="21"/>
                    </w:rPr>
                    <w:t>6~9</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COD</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0.61</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500</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0.488</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400</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BOD</w:t>
                  </w:r>
                  <w:r>
                    <w:rPr>
                      <w:rFonts w:eastAsia="等线"/>
                      <w:kern w:val="0"/>
                      <w:szCs w:val="21"/>
                      <w:vertAlign w:val="subscript"/>
                    </w:rPr>
                    <w:t>5</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0.366</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300</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0.305</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250</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NH</w:t>
                  </w:r>
                  <w:r>
                    <w:rPr>
                      <w:rFonts w:hint="eastAsia" w:ascii="宋体" w:hAnsi="宋体"/>
                      <w:kern w:val="0"/>
                      <w:sz w:val="22"/>
                      <w:szCs w:val="22"/>
                      <w:vertAlign w:val="subscript"/>
                    </w:rPr>
                    <w:t>3</w:t>
                  </w:r>
                  <w:r>
                    <w:rPr>
                      <w:rFonts w:eastAsia="等线"/>
                      <w:kern w:val="0"/>
                      <w:szCs w:val="21"/>
                    </w:rPr>
                    <w:t>-N</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0.055</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45</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0.055</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45</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总磷</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0.010</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8</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0.010</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8</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ascii="宋体" w:hAnsi="宋体" w:cs="宋体"/>
                      <w:kern w:val="0"/>
                      <w:szCs w:val="21"/>
                    </w:rPr>
                  </w:pPr>
                  <w:r>
                    <w:rPr>
                      <w:rFonts w:hint="eastAsia" w:ascii="宋体" w:hAnsi="宋体" w:cs="宋体"/>
                      <w:kern w:val="0"/>
                      <w:szCs w:val="21"/>
                    </w:rPr>
                    <w:t>总氮</w:t>
                  </w:r>
                </w:p>
              </w:tc>
              <w:tc>
                <w:tcPr>
                  <w:tcW w:w="642" w:type="pct"/>
                  <w:tcBorders>
                    <w:top w:val="nil"/>
                    <w:left w:val="nil"/>
                    <w:bottom w:val="single" w:color="auto" w:sz="8" w:space="0"/>
                    <w:right w:val="single" w:color="auto" w:sz="8" w:space="0"/>
                  </w:tcBorders>
                  <w:noWrap w:val="0"/>
                  <w:vAlign w:val="center"/>
                </w:tcPr>
                <w:p>
                  <w:pPr>
                    <w:widowControl/>
                    <w:jc w:val="center"/>
                    <w:rPr>
                      <w:rFonts w:hint="eastAsia" w:eastAsia="等线"/>
                      <w:kern w:val="0"/>
                      <w:szCs w:val="21"/>
                    </w:rPr>
                  </w:pPr>
                  <w:r>
                    <w:rPr>
                      <w:rFonts w:eastAsia="等线"/>
                      <w:szCs w:val="21"/>
                    </w:rPr>
                    <w:t>0.061</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50</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0.061</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50</w:t>
                  </w:r>
                </w:p>
              </w:tc>
            </w:tr>
            <w:tr>
              <w:tblPrEx>
                <w:tblCellMar>
                  <w:top w:w="0" w:type="dxa"/>
                  <w:left w:w="108" w:type="dxa"/>
                  <w:bottom w:w="0" w:type="dxa"/>
                  <w:right w:w="108" w:type="dxa"/>
                </w:tblCellMar>
              </w:tblPrEx>
              <w:trPr>
                <w:trHeight w:val="340" w:hRule="atLeast"/>
              </w:trPr>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ascii="宋体" w:hAnsi="宋体" w:cs="宋体"/>
                      <w:kern w:val="0"/>
                      <w:szCs w:val="21"/>
                    </w:rPr>
                  </w:pPr>
                </w:p>
              </w:tc>
              <w:tc>
                <w:tcPr>
                  <w:tcW w:w="642" w:type="pct"/>
                  <w:vMerge w:val="continue"/>
                  <w:tcBorders>
                    <w:top w:val="nil"/>
                    <w:left w:val="single" w:color="auto" w:sz="8" w:space="0"/>
                    <w:bottom w:val="single" w:color="000000" w:sz="8" w:space="0"/>
                    <w:right w:val="single" w:color="auto" w:sz="8" w:space="0"/>
                  </w:tcBorders>
                  <w:noWrap w:val="0"/>
                  <w:vAlign w:val="center"/>
                </w:tcPr>
                <w:p>
                  <w:pPr>
                    <w:widowControl/>
                    <w:jc w:val="center"/>
                    <w:rPr>
                      <w:rFonts w:eastAsia="等线"/>
                      <w:kern w:val="0"/>
                      <w:szCs w:val="21"/>
                    </w:rPr>
                  </w:pP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kern w:val="0"/>
                      <w:szCs w:val="21"/>
                    </w:rPr>
                    <w:t>SS</w:t>
                  </w:r>
                </w:p>
              </w:tc>
              <w:tc>
                <w:tcPr>
                  <w:tcW w:w="642"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0.488</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400</w:t>
                  </w:r>
                </w:p>
              </w:tc>
              <w:tc>
                <w:tcPr>
                  <w:tcW w:w="896"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0.366</w:t>
                  </w:r>
                </w:p>
              </w:tc>
              <w:tc>
                <w:tcPr>
                  <w:tcW w:w="640" w:type="pct"/>
                  <w:tcBorders>
                    <w:top w:val="nil"/>
                    <w:left w:val="nil"/>
                    <w:bottom w:val="single" w:color="auto" w:sz="8" w:space="0"/>
                    <w:right w:val="single" w:color="auto" w:sz="8" w:space="0"/>
                  </w:tcBorders>
                  <w:noWrap w:val="0"/>
                  <w:vAlign w:val="center"/>
                </w:tcPr>
                <w:p>
                  <w:pPr>
                    <w:widowControl/>
                    <w:jc w:val="center"/>
                    <w:rPr>
                      <w:rFonts w:eastAsia="等线"/>
                      <w:kern w:val="0"/>
                      <w:szCs w:val="21"/>
                    </w:rPr>
                  </w:pPr>
                  <w:r>
                    <w:rPr>
                      <w:rFonts w:eastAsia="等线"/>
                      <w:szCs w:val="21"/>
                    </w:rPr>
                    <w:t>300</w:t>
                  </w:r>
                </w:p>
              </w:tc>
            </w:tr>
          </w:tbl>
          <w:p>
            <w:pPr>
              <w:widowControl/>
              <w:spacing w:before="120" w:beforeLines="50" w:line="360" w:lineRule="auto"/>
              <w:ind w:firstLine="482" w:firstLineChars="200"/>
              <w:jc w:val="left"/>
              <w:rPr>
                <w:b/>
                <w:bCs/>
                <w:kern w:val="0"/>
                <w:sz w:val="24"/>
                <w:lang w:bidi="ar"/>
              </w:rPr>
            </w:pPr>
            <w:r>
              <w:rPr>
                <w:rFonts w:hint="eastAsia"/>
                <w:b/>
                <w:bCs/>
                <w:kern w:val="0"/>
                <w:sz w:val="24"/>
                <w:lang w:bidi="ar"/>
              </w:rPr>
              <w:t>2、废水排放基本信息</w:t>
            </w:r>
          </w:p>
          <w:p>
            <w:pPr>
              <w:widowControl/>
              <w:spacing w:line="360" w:lineRule="auto"/>
              <w:ind w:firstLine="482" w:firstLineChars="200"/>
              <w:jc w:val="left"/>
              <w:rPr>
                <w:b/>
                <w:bCs/>
                <w:kern w:val="0"/>
                <w:sz w:val="24"/>
                <w:lang w:bidi="ar"/>
              </w:rPr>
            </w:pPr>
            <w:r>
              <w:rPr>
                <w:rFonts w:hint="eastAsia"/>
                <w:b/>
                <w:bCs/>
                <w:kern w:val="0"/>
                <w:sz w:val="24"/>
                <w:lang w:bidi="ar"/>
              </w:rPr>
              <w:t>①</w:t>
            </w:r>
            <w:r>
              <w:rPr>
                <w:b/>
                <w:bCs/>
                <w:sz w:val="24"/>
              </w:rPr>
              <w:t>废水类别、污染物及治理设施信息</w:t>
            </w:r>
          </w:p>
          <w:p>
            <w:pPr>
              <w:jc w:val="center"/>
              <w:rPr>
                <w:b/>
                <w:spacing w:val="-2"/>
                <w:szCs w:val="21"/>
              </w:rPr>
            </w:pPr>
            <w:r>
              <w:rPr>
                <w:b/>
                <w:spacing w:val="-2"/>
                <w:szCs w:val="21"/>
              </w:rPr>
              <w:t>表</w:t>
            </w:r>
            <w:r>
              <w:rPr>
                <w:rFonts w:hint="eastAsia"/>
                <w:b/>
                <w:spacing w:val="-2"/>
                <w:szCs w:val="21"/>
              </w:rPr>
              <w:t>4-3</w:t>
            </w:r>
            <w:r>
              <w:rPr>
                <w:b/>
                <w:spacing w:val="-2"/>
                <w:szCs w:val="21"/>
              </w:rPr>
              <w:t xml:space="preserve"> 废水类别、污染物及治理设施信息表</w:t>
            </w:r>
          </w:p>
          <w:tbl>
            <w:tblPr>
              <w:tblStyle w:val="7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0"/>
              <w:gridCol w:w="728"/>
              <w:gridCol w:w="1653"/>
              <w:gridCol w:w="1046"/>
              <w:gridCol w:w="682"/>
              <w:gridCol w:w="941"/>
              <w:gridCol w:w="1103"/>
              <w:gridCol w:w="850"/>
              <w:gridCol w:w="8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Merge w:val="restart"/>
                  <w:noWrap w:val="0"/>
                  <w:vAlign w:val="center"/>
                </w:tcPr>
                <w:p>
                  <w:pPr>
                    <w:pStyle w:val="69"/>
                    <w:spacing w:line="240" w:lineRule="auto"/>
                    <w:ind w:firstLine="0" w:firstLineChars="0"/>
                    <w:jc w:val="center"/>
                    <w:rPr>
                      <w:b/>
                      <w:bCs/>
                      <w:sz w:val="21"/>
                      <w:szCs w:val="21"/>
                    </w:rPr>
                  </w:pPr>
                  <w:r>
                    <w:rPr>
                      <w:b/>
                      <w:bCs/>
                      <w:sz w:val="21"/>
                      <w:szCs w:val="21"/>
                    </w:rPr>
                    <w:t>序号</w:t>
                  </w:r>
                </w:p>
              </w:tc>
              <w:tc>
                <w:tcPr>
                  <w:tcW w:w="434" w:type="pct"/>
                  <w:vMerge w:val="restart"/>
                  <w:noWrap w:val="0"/>
                  <w:vAlign w:val="center"/>
                </w:tcPr>
                <w:p>
                  <w:pPr>
                    <w:pStyle w:val="69"/>
                    <w:spacing w:line="240" w:lineRule="auto"/>
                    <w:ind w:firstLine="0" w:firstLineChars="0"/>
                    <w:jc w:val="center"/>
                    <w:rPr>
                      <w:b/>
                      <w:bCs/>
                      <w:sz w:val="21"/>
                      <w:szCs w:val="21"/>
                    </w:rPr>
                  </w:pPr>
                  <w:r>
                    <w:rPr>
                      <w:b/>
                      <w:bCs/>
                      <w:sz w:val="21"/>
                      <w:szCs w:val="21"/>
                    </w:rPr>
                    <w:t>废水类别</w:t>
                  </w:r>
                </w:p>
              </w:tc>
              <w:tc>
                <w:tcPr>
                  <w:tcW w:w="986" w:type="pct"/>
                  <w:vMerge w:val="restart"/>
                  <w:noWrap w:val="0"/>
                  <w:vAlign w:val="center"/>
                </w:tcPr>
                <w:p>
                  <w:pPr>
                    <w:pStyle w:val="69"/>
                    <w:spacing w:line="240" w:lineRule="auto"/>
                    <w:ind w:firstLine="0" w:firstLineChars="0"/>
                    <w:jc w:val="center"/>
                    <w:rPr>
                      <w:b/>
                      <w:bCs/>
                      <w:sz w:val="21"/>
                      <w:szCs w:val="21"/>
                    </w:rPr>
                  </w:pPr>
                  <w:r>
                    <w:rPr>
                      <w:b/>
                      <w:bCs/>
                      <w:sz w:val="21"/>
                      <w:szCs w:val="21"/>
                    </w:rPr>
                    <w:t>污染物种类</w:t>
                  </w:r>
                </w:p>
              </w:tc>
              <w:tc>
                <w:tcPr>
                  <w:tcW w:w="624" w:type="pct"/>
                  <w:vMerge w:val="restart"/>
                  <w:noWrap w:val="0"/>
                  <w:vAlign w:val="center"/>
                </w:tcPr>
                <w:p>
                  <w:pPr>
                    <w:pStyle w:val="69"/>
                    <w:spacing w:line="240" w:lineRule="auto"/>
                    <w:ind w:firstLine="0" w:firstLineChars="0"/>
                    <w:jc w:val="center"/>
                    <w:rPr>
                      <w:b/>
                      <w:bCs/>
                      <w:sz w:val="21"/>
                      <w:szCs w:val="21"/>
                    </w:rPr>
                  </w:pPr>
                  <w:r>
                    <w:rPr>
                      <w:b/>
                      <w:bCs/>
                      <w:sz w:val="21"/>
                      <w:szCs w:val="21"/>
                    </w:rPr>
                    <w:t>排放去向</w:t>
                  </w:r>
                </w:p>
              </w:tc>
              <w:tc>
                <w:tcPr>
                  <w:tcW w:w="407" w:type="pct"/>
                  <w:vMerge w:val="restart"/>
                  <w:noWrap w:val="0"/>
                  <w:vAlign w:val="center"/>
                </w:tcPr>
                <w:p>
                  <w:pPr>
                    <w:pStyle w:val="69"/>
                    <w:spacing w:line="240" w:lineRule="auto"/>
                    <w:ind w:firstLine="0" w:firstLineChars="0"/>
                    <w:jc w:val="center"/>
                    <w:rPr>
                      <w:b/>
                      <w:bCs/>
                      <w:sz w:val="21"/>
                      <w:szCs w:val="21"/>
                    </w:rPr>
                  </w:pPr>
                  <w:r>
                    <w:rPr>
                      <w:b/>
                      <w:bCs/>
                      <w:sz w:val="21"/>
                      <w:szCs w:val="21"/>
                    </w:rPr>
                    <w:t>排放规律</w:t>
                  </w:r>
                </w:p>
              </w:tc>
              <w:tc>
                <w:tcPr>
                  <w:tcW w:w="1725" w:type="pct"/>
                  <w:gridSpan w:val="3"/>
                  <w:noWrap w:val="0"/>
                  <w:vAlign w:val="center"/>
                </w:tcPr>
                <w:p>
                  <w:pPr>
                    <w:pStyle w:val="69"/>
                    <w:spacing w:line="240" w:lineRule="auto"/>
                    <w:ind w:firstLine="0" w:firstLineChars="0"/>
                    <w:jc w:val="center"/>
                    <w:rPr>
                      <w:b/>
                      <w:bCs/>
                      <w:sz w:val="21"/>
                      <w:szCs w:val="21"/>
                    </w:rPr>
                  </w:pPr>
                  <w:r>
                    <w:rPr>
                      <w:b/>
                      <w:bCs/>
                      <w:sz w:val="21"/>
                      <w:szCs w:val="21"/>
                    </w:rPr>
                    <w:t>污染治理设施</w:t>
                  </w:r>
                </w:p>
              </w:tc>
              <w:tc>
                <w:tcPr>
                  <w:tcW w:w="536" w:type="pct"/>
                  <w:vMerge w:val="restart"/>
                  <w:noWrap w:val="0"/>
                  <w:vAlign w:val="center"/>
                </w:tcPr>
                <w:p>
                  <w:pPr>
                    <w:pStyle w:val="69"/>
                    <w:spacing w:line="240" w:lineRule="auto"/>
                    <w:ind w:firstLine="0" w:firstLineChars="0"/>
                    <w:jc w:val="center"/>
                    <w:rPr>
                      <w:b/>
                      <w:bCs/>
                      <w:sz w:val="21"/>
                      <w:szCs w:val="21"/>
                    </w:rPr>
                  </w:pPr>
                  <w:r>
                    <w:rPr>
                      <w:b/>
                      <w:bCs/>
                      <w:sz w:val="21"/>
                      <w:szCs w:val="21"/>
                    </w:rPr>
                    <w:t>是否为可行技术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Merge w:val="continue"/>
                  <w:noWrap w:val="0"/>
                  <w:vAlign w:val="center"/>
                </w:tcPr>
                <w:p>
                  <w:pPr>
                    <w:pStyle w:val="69"/>
                    <w:spacing w:line="240" w:lineRule="auto"/>
                    <w:ind w:firstLine="0" w:firstLineChars="0"/>
                    <w:jc w:val="center"/>
                    <w:rPr>
                      <w:sz w:val="21"/>
                      <w:szCs w:val="21"/>
                    </w:rPr>
                  </w:pPr>
                </w:p>
              </w:tc>
              <w:tc>
                <w:tcPr>
                  <w:tcW w:w="434" w:type="pct"/>
                  <w:vMerge w:val="continue"/>
                  <w:noWrap w:val="0"/>
                  <w:vAlign w:val="center"/>
                </w:tcPr>
                <w:p>
                  <w:pPr>
                    <w:pStyle w:val="69"/>
                    <w:spacing w:line="240" w:lineRule="auto"/>
                    <w:ind w:firstLine="0" w:firstLineChars="0"/>
                    <w:jc w:val="center"/>
                    <w:rPr>
                      <w:sz w:val="21"/>
                      <w:szCs w:val="21"/>
                    </w:rPr>
                  </w:pPr>
                </w:p>
              </w:tc>
              <w:tc>
                <w:tcPr>
                  <w:tcW w:w="986" w:type="pct"/>
                  <w:vMerge w:val="continue"/>
                  <w:noWrap w:val="0"/>
                  <w:vAlign w:val="center"/>
                </w:tcPr>
                <w:p>
                  <w:pPr>
                    <w:pStyle w:val="69"/>
                    <w:spacing w:line="240" w:lineRule="auto"/>
                    <w:ind w:firstLine="0" w:firstLineChars="0"/>
                    <w:jc w:val="center"/>
                    <w:rPr>
                      <w:sz w:val="21"/>
                      <w:szCs w:val="21"/>
                    </w:rPr>
                  </w:pPr>
                </w:p>
              </w:tc>
              <w:tc>
                <w:tcPr>
                  <w:tcW w:w="624" w:type="pct"/>
                  <w:vMerge w:val="continue"/>
                  <w:noWrap w:val="0"/>
                  <w:vAlign w:val="center"/>
                </w:tcPr>
                <w:p>
                  <w:pPr>
                    <w:pStyle w:val="69"/>
                    <w:spacing w:line="240" w:lineRule="auto"/>
                    <w:ind w:firstLine="0" w:firstLineChars="0"/>
                    <w:jc w:val="center"/>
                    <w:rPr>
                      <w:sz w:val="21"/>
                      <w:szCs w:val="21"/>
                    </w:rPr>
                  </w:pPr>
                </w:p>
              </w:tc>
              <w:tc>
                <w:tcPr>
                  <w:tcW w:w="407" w:type="pct"/>
                  <w:vMerge w:val="continue"/>
                  <w:noWrap w:val="0"/>
                  <w:vAlign w:val="center"/>
                </w:tcPr>
                <w:p>
                  <w:pPr>
                    <w:pStyle w:val="69"/>
                    <w:spacing w:line="240" w:lineRule="auto"/>
                    <w:ind w:firstLine="0" w:firstLineChars="0"/>
                    <w:jc w:val="center"/>
                    <w:rPr>
                      <w:sz w:val="21"/>
                      <w:szCs w:val="21"/>
                    </w:rPr>
                  </w:pPr>
                </w:p>
              </w:tc>
              <w:tc>
                <w:tcPr>
                  <w:tcW w:w="561" w:type="pct"/>
                  <w:noWrap w:val="0"/>
                  <w:vAlign w:val="center"/>
                </w:tcPr>
                <w:p>
                  <w:pPr>
                    <w:pStyle w:val="69"/>
                    <w:spacing w:line="240" w:lineRule="auto"/>
                    <w:ind w:firstLine="0" w:firstLineChars="0"/>
                    <w:jc w:val="center"/>
                    <w:rPr>
                      <w:b/>
                      <w:bCs/>
                      <w:sz w:val="21"/>
                      <w:szCs w:val="21"/>
                    </w:rPr>
                  </w:pPr>
                  <w:r>
                    <w:rPr>
                      <w:b/>
                      <w:bCs/>
                      <w:sz w:val="21"/>
                      <w:szCs w:val="21"/>
                    </w:rPr>
                    <w:t>编号</w:t>
                  </w:r>
                </w:p>
              </w:tc>
              <w:tc>
                <w:tcPr>
                  <w:tcW w:w="658" w:type="pct"/>
                  <w:noWrap w:val="0"/>
                  <w:vAlign w:val="center"/>
                </w:tcPr>
                <w:p>
                  <w:pPr>
                    <w:pStyle w:val="69"/>
                    <w:spacing w:line="240" w:lineRule="auto"/>
                    <w:ind w:firstLine="0" w:firstLineChars="0"/>
                    <w:jc w:val="center"/>
                    <w:rPr>
                      <w:b/>
                      <w:bCs/>
                      <w:sz w:val="21"/>
                      <w:szCs w:val="21"/>
                    </w:rPr>
                  </w:pPr>
                  <w:r>
                    <w:rPr>
                      <w:b/>
                      <w:bCs/>
                      <w:sz w:val="21"/>
                      <w:szCs w:val="21"/>
                    </w:rPr>
                    <w:t>名称</w:t>
                  </w:r>
                </w:p>
              </w:tc>
              <w:tc>
                <w:tcPr>
                  <w:tcW w:w="507" w:type="pct"/>
                  <w:noWrap w:val="0"/>
                  <w:vAlign w:val="center"/>
                </w:tcPr>
                <w:p>
                  <w:pPr>
                    <w:pStyle w:val="69"/>
                    <w:spacing w:line="240" w:lineRule="auto"/>
                    <w:ind w:firstLine="0" w:firstLineChars="0"/>
                    <w:jc w:val="center"/>
                    <w:rPr>
                      <w:b/>
                      <w:bCs/>
                      <w:sz w:val="21"/>
                      <w:szCs w:val="21"/>
                    </w:rPr>
                  </w:pPr>
                  <w:r>
                    <w:rPr>
                      <w:b/>
                      <w:bCs/>
                      <w:sz w:val="21"/>
                      <w:szCs w:val="21"/>
                    </w:rPr>
                    <w:t>工艺</w:t>
                  </w:r>
                </w:p>
              </w:tc>
              <w:tc>
                <w:tcPr>
                  <w:tcW w:w="536" w:type="pct"/>
                  <w:vMerge w:val="continue"/>
                  <w:noWrap w:val="0"/>
                  <w:vAlign w:val="center"/>
                </w:tcPr>
                <w:p>
                  <w:pPr>
                    <w:pStyle w:val="69"/>
                    <w:spacing w:line="240" w:lineRule="auto"/>
                    <w:ind w:firstLine="0" w:firstLineChars="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noWrap w:val="0"/>
                  <w:vAlign w:val="center"/>
                </w:tcPr>
                <w:p>
                  <w:pPr>
                    <w:pStyle w:val="69"/>
                    <w:spacing w:line="240" w:lineRule="auto"/>
                    <w:ind w:firstLine="0" w:firstLineChars="0"/>
                    <w:jc w:val="center"/>
                    <w:rPr>
                      <w:sz w:val="21"/>
                      <w:szCs w:val="21"/>
                    </w:rPr>
                  </w:pPr>
                  <w:r>
                    <w:rPr>
                      <w:sz w:val="21"/>
                      <w:szCs w:val="21"/>
                    </w:rPr>
                    <w:t>1</w:t>
                  </w:r>
                </w:p>
              </w:tc>
              <w:tc>
                <w:tcPr>
                  <w:tcW w:w="434" w:type="pct"/>
                  <w:noWrap w:val="0"/>
                  <w:vAlign w:val="center"/>
                </w:tcPr>
                <w:p>
                  <w:pPr>
                    <w:pStyle w:val="69"/>
                    <w:spacing w:line="240" w:lineRule="auto"/>
                    <w:ind w:firstLine="0" w:firstLineChars="0"/>
                    <w:jc w:val="center"/>
                    <w:rPr>
                      <w:sz w:val="21"/>
                      <w:szCs w:val="21"/>
                    </w:rPr>
                  </w:pPr>
                  <w:r>
                    <w:rPr>
                      <w:rFonts w:hint="eastAsia"/>
                      <w:sz w:val="21"/>
                      <w:szCs w:val="21"/>
                    </w:rPr>
                    <w:t>洗车废水</w:t>
                  </w:r>
                </w:p>
              </w:tc>
              <w:tc>
                <w:tcPr>
                  <w:tcW w:w="986" w:type="pct"/>
                  <w:noWrap w:val="0"/>
                  <w:vAlign w:val="center"/>
                </w:tcPr>
                <w:p>
                  <w:pPr>
                    <w:pStyle w:val="69"/>
                    <w:spacing w:line="240" w:lineRule="auto"/>
                    <w:ind w:firstLine="0" w:firstLineChars="0"/>
                    <w:jc w:val="center"/>
                    <w:rPr>
                      <w:sz w:val="21"/>
                      <w:szCs w:val="21"/>
                    </w:rPr>
                  </w:pPr>
                  <w:r>
                    <w:rPr>
                      <w:sz w:val="21"/>
                      <w:szCs w:val="21"/>
                    </w:rPr>
                    <w:t>SS、</w:t>
                  </w:r>
                  <w:r>
                    <w:rPr>
                      <w:rFonts w:hint="eastAsia"/>
                      <w:sz w:val="21"/>
                      <w:szCs w:val="21"/>
                    </w:rPr>
                    <w:t>石油类</w:t>
                  </w:r>
                </w:p>
              </w:tc>
              <w:tc>
                <w:tcPr>
                  <w:tcW w:w="624" w:type="pct"/>
                  <w:vMerge w:val="restart"/>
                  <w:noWrap w:val="0"/>
                  <w:vAlign w:val="center"/>
                </w:tcPr>
                <w:p>
                  <w:pPr>
                    <w:pStyle w:val="69"/>
                    <w:spacing w:line="240" w:lineRule="auto"/>
                    <w:ind w:firstLine="0" w:firstLineChars="0"/>
                    <w:jc w:val="center"/>
                    <w:rPr>
                      <w:sz w:val="21"/>
                      <w:szCs w:val="21"/>
                    </w:rPr>
                  </w:pPr>
                  <w:r>
                    <w:rPr>
                      <w:sz w:val="21"/>
                      <w:szCs w:val="21"/>
                      <w:lang w:bidi="ar"/>
                    </w:rPr>
                    <w:t>达州市第二城市生活污水处理厂</w:t>
                  </w:r>
                </w:p>
              </w:tc>
              <w:tc>
                <w:tcPr>
                  <w:tcW w:w="407" w:type="pct"/>
                  <w:vMerge w:val="restart"/>
                  <w:noWrap w:val="0"/>
                  <w:vAlign w:val="center"/>
                </w:tcPr>
                <w:p>
                  <w:pPr>
                    <w:pStyle w:val="69"/>
                    <w:spacing w:line="240" w:lineRule="auto"/>
                    <w:ind w:firstLine="0" w:firstLineChars="0"/>
                    <w:jc w:val="center"/>
                    <w:rPr>
                      <w:sz w:val="21"/>
                      <w:szCs w:val="21"/>
                    </w:rPr>
                  </w:pPr>
                  <w:r>
                    <w:rPr>
                      <w:sz w:val="21"/>
                      <w:szCs w:val="21"/>
                    </w:rPr>
                    <w:t>间歇排放</w:t>
                  </w:r>
                </w:p>
              </w:tc>
              <w:tc>
                <w:tcPr>
                  <w:tcW w:w="561" w:type="pct"/>
                  <w:noWrap w:val="0"/>
                  <w:vAlign w:val="center"/>
                </w:tcPr>
                <w:p>
                  <w:pPr>
                    <w:pStyle w:val="69"/>
                    <w:spacing w:line="240" w:lineRule="auto"/>
                    <w:ind w:firstLine="0" w:firstLineChars="0"/>
                    <w:jc w:val="center"/>
                    <w:rPr>
                      <w:sz w:val="21"/>
                      <w:szCs w:val="21"/>
                    </w:rPr>
                  </w:pPr>
                  <w:r>
                    <w:rPr>
                      <w:sz w:val="21"/>
                      <w:szCs w:val="21"/>
                    </w:rPr>
                    <w:t>TW001</w:t>
                  </w:r>
                </w:p>
              </w:tc>
              <w:tc>
                <w:tcPr>
                  <w:tcW w:w="658" w:type="pct"/>
                  <w:noWrap w:val="0"/>
                  <w:vAlign w:val="center"/>
                </w:tcPr>
                <w:p>
                  <w:pPr>
                    <w:pStyle w:val="69"/>
                    <w:spacing w:line="240" w:lineRule="auto"/>
                    <w:ind w:firstLine="0" w:firstLineChars="0"/>
                    <w:jc w:val="center"/>
                    <w:rPr>
                      <w:sz w:val="21"/>
                      <w:szCs w:val="21"/>
                    </w:rPr>
                  </w:pPr>
                  <w:r>
                    <w:rPr>
                      <w:sz w:val="21"/>
                      <w:szCs w:val="21"/>
                    </w:rPr>
                    <w:t>隔油池</w:t>
                  </w:r>
                </w:p>
              </w:tc>
              <w:tc>
                <w:tcPr>
                  <w:tcW w:w="507" w:type="pct"/>
                  <w:noWrap w:val="0"/>
                  <w:vAlign w:val="center"/>
                </w:tcPr>
                <w:p>
                  <w:pPr>
                    <w:pStyle w:val="69"/>
                    <w:spacing w:line="240" w:lineRule="auto"/>
                    <w:ind w:firstLine="0" w:firstLineChars="0"/>
                    <w:jc w:val="center"/>
                    <w:rPr>
                      <w:sz w:val="21"/>
                      <w:szCs w:val="21"/>
                    </w:rPr>
                  </w:pPr>
                  <w:r>
                    <w:rPr>
                      <w:rFonts w:hint="eastAsia"/>
                      <w:sz w:val="21"/>
                      <w:szCs w:val="21"/>
                    </w:rPr>
                    <w:t>隔油、沉淀</w:t>
                  </w:r>
                </w:p>
              </w:tc>
              <w:tc>
                <w:tcPr>
                  <w:tcW w:w="536" w:type="pct"/>
                  <w:noWrap w:val="0"/>
                  <w:vAlign w:val="center"/>
                </w:tcPr>
                <w:p>
                  <w:pPr>
                    <w:pStyle w:val="69"/>
                    <w:spacing w:line="240" w:lineRule="auto"/>
                    <w:ind w:firstLine="0" w:firstLineChars="0"/>
                    <w:jc w:val="center"/>
                    <w:rPr>
                      <w:sz w:val="21"/>
                      <w:szCs w:val="21"/>
                    </w:rPr>
                  </w:pPr>
                  <w:r>
                    <w:rPr>
                      <w:sz w:val="21"/>
                      <w:szCs w:val="21"/>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noWrap w:val="0"/>
                  <w:vAlign w:val="center"/>
                </w:tcPr>
                <w:p>
                  <w:pPr>
                    <w:pStyle w:val="69"/>
                    <w:spacing w:line="240" w:lineRule="auto"/>
                    <w:ind w:firstLine="0" w:firstLineChars="0"/>
                    <w:jc w:val="center"/>
                    <w:rPr>
                      <w:sz w:val="21"/>
                      <w:szCs w:val="21"/>
                    </w:rPr>
                  </w:pPr>
                  <w:r>
                    <w:rPr>
                      <w:sz w:val="21"/>
                      <w:szCs w:val="21"/>
                    </w:rPr>
                    <w:t>2</w:t>
                  </w:r>
                </w:p>
              </w:tc>
              <w:tc>
                <w:tcPr>
                  <w:tcW w:w="434" w:type="pct"/>
                  <w:noWrap w:val="0"/>
                  <w:vAlign w:val="center"/>
                </w:tcPr>
                <w:p>
                  <w:pPr>
                    <w:pStyle w:val="69"/>
                    <w:spacing w:line="240" w:lineRule="auto"/>
                    <w:ind w:firstLine="0" w:firstLineChars="0"/>
                    <w:jc w:val="center"/>
                    <w:rPr>
                      <w:sz w:val="21"/>
                      <w:szCs w:val="21"/>
                    </w:rPr>
                  </w:pPr>
                  <w:r>
                    <w:rPr>
                      <w:rFonts w:hint="eastAsia"/>
                      <w:sz w:val="21"/>
                      <w:szCs w:val="21"/>
                    </w:rPr>
                    <w:t>地面冲洗</w:t>
                  </w:r>
                  <w:r>
                    <w:rPr>
                      <w:sz w:val="21"/>
                      <w:szCs w:val="21"/>
                    </w:rPr>
                    <w:t>废水</w:t>
                  </w:r>
                </w:p>
              </w:tc>
              <w:tc>
                <w:tcPr>
                  <w:tcW w:w="986" w:type="pct"/>
                  <w:noWrap w:val="0"/>
                  <w:vAlign w:val="center"/>
                </w:tcPr>
                <w:p>
                  <w:pPr>
                    <w:pStyle w:val="69"/>
                    <w:spacing w:line="240" w:lineRule="auto"/>
                    <w:ind w:firstLine="0" w:firstLineChars="0"/>
                    <w:jc w:val="center"/>
                    <w:rPr>
                      <w:rFonts w:hint="eastAsia"/>
                      <w:sz w:val="21"/>
                      <w:szCs w:val="21"/>
                    </w:rPr>
                  </w:pPr>
                  <w:r>
                    <w:rPr>
                      <w:sz w:val="21"/>
                      <w:szCs w:val="21"/>
                    </w:rPr>
                    <w:t>SS、</w:t>
                  </w:r>
                  <w:r>
                    <w:rPr>
                      <w:rFonts w:hint="eastAsia"/>
                      <w:sz w:val="21"/>
                      <w:szCs w:val="21"/>
                    </w:rPr>
                    <w:t>石油类</w:t>
                  </w:r>
                </w:p>
              </w:tc>
              <w:tc>
                <w:tcPr>
                  <w:tcW w:w="624" w:type="pct"/>
                  <w:vMerge w:val="continue"/>
                  <w:noWrap w:val="0"/>
                  <w:vAlign w:val="center"/>
                </w:tcPr>
                <w:p>
                  <w:pPr>
                    <w:pStyle w:val="69"/>
                    <w:spacing w:line="240" w:lineRule="auto"/>
                    <w:ind w:firstLine="0" w:firstLineChars="0"/>
                    <w:jc w:val="center"/>
                    <w:rPr>
                      <w:sz w:val="21"/>
                      <w:szCs w:val="21"/>
                    </w:rPr>
                  </w:pPr>
                </w:p>
              </w:tc>
              <w:tc>
                <w:tcPr>
                  <w:tcW w:w="407" w:type="pct"/>
                  <w:vMerge w:val="continue"/>
                  <w:noWrap w:val="0"/>
                  <w:vAlign w:val="center"/>
                </w:tcPr>
                <w:p>
                  <w:pPr>
                    <w:pStyle w:val="69"/>
                    <w:spacing w:line="240" w:lineRule="auto"/>
                    <w:ind w:firstLine="0" w:firstLineChars="0"/>
                    <w:jc w:val="center"/>
                    <w:rPr>
                      <w:sz w:val="21"/>
                      <w:szCs w:val="21"/>
                    </w:rPr>
                  </w:pPr>
                </w:p>
              </w:tc>
              <w:tc>
                <w:tcPr>
                  <w:tcW w:w="561" w:type="pct"/>
                  <w:noWrap w:val="0"/>
                  <w:vAlign w:val="center"/>
                </w:tcPr>
                <w:p>
                  <w:pPr>
                    <w:pStyle w:val="69"/>
                    <w:spacing w:line="240" w:lineRule="auto"/>
                    <w:ind w:firstLine="0" w:firstLineChars="0"/>
                    <w:jc w:val="center"/>
                    <w:rPr>
                      <w:sz w:val="21"/>
                      <w:szCs w:val="21"/>
                    </w:rPr>
                  </w:pPr>
                  <w:r>
                    <w:rPr>
                      <w:sz w:val="21"/>
                      <w:szCs w:val="21"/>
                    </w:rPr>
                    <w:t>TW00</w:t>
                  </w:r>
                  <w:r>
                    <w:rPr>
                      <w:rFonts w:hint="eastAsia"/>
                      <w:sz w:val="21"/>
                      <w:szCs w:val="21"/>
                    </w:rPr>
                    <w:t>1</w:t>
                  </w:r>
                </w:p>
              </w:tc>
              <w:tc>
                <w:tcPr>
                  <w:tcW w:w="658" w:type="pct"/>
                  <w:noWrap w:val="0"/>
                  <w:vAlign w:val="center"/>
                </w:tcPr>
                <w:p>
                  <w:pPr>
                    <w:pStyle w:val="69"/>
                    <w:spacing w:line="240" w:lineRule="auto"/>
                    <w:ind w:firstLine="0" w:firstLineChars="0"/>
                    <w:jc w:val="center"/>
                    <w:rPr>
                      <w:sz w:val="21"/>
                      <w:szCs w:val="21"/>
                    </w:rPr>
                  </w:pPr>
                  <w:r>
                    <w:rPr>
                      <w:sz w:val="21"/>
                      <w:szCs w:val="21"/>
                    </w:rPr>
                    <w:t>隔油池</w:t>
                  </w:r>
                </w:p>
              </w:tc>
              <w:tc>
                <w:tcPr>
                  <w:tcW w:w="507" w:type="pct"/>
                  <w:noWrap w:val="0"/>
                  <w:vAlign w:val="center"/>
                </w:tcPr>
                <w:p>
                  <w:pPr>
                    <w:pStyle w:val="69"/>
                    <w:spacing w:line="240" w:lineRule="auto"/>
                    <w:ind w:firstLine="0" w:firstLineChars="0"/>
                    <w:jc w:val="center"/>
                    <w:rPr>
                      <w:sz w:val="21"/>
                      <w:szCs w:val="21"/>
                    </w:rPr>
                  </w:pPr>
                  <w:r>
                    <w:rPr>
                      <w:rFonts w:hint="eastAsia"/>
                      <w:sz w:val="21"/>
                      <w:szCs w:val="21"/>
                    </w:rPr>
                    <w:t>隔油、沉淀</w:t>
                  </w:r>
                </w:p>
              </w:tc>
              <w:tc>
                <w:tcPr>
                  <w:tcW w:w="536" w:type="pct"/>
                  <w:noWrap w:val="0"/>
                  <w:vAlign w:val="center"/>
                </w:tcPr>
                <w:p>
                  <w:pPr>
                    <w:pStyle w:val="69"/>
                    <w:spacing w:line="240" w:lineRule="auto"/>
                    <w:ind w:firstLine="0" w:firstLineChars="0"/>
                    <w:jc w:val="center"/>
                    <w:rPr>
                      <w:sz w:val="21"/>
                      <w:szCs w:val="21"/>
                    </w:rPr>
                  </w:pPr>
                  <w:r>
                    <w:rPr>
                      <w:sz w:val="21"/>
                      <w:szCs w:val="21"/>
                    </w:rPr>
                    <w:t>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noWrap w:val="0"/>
                  <w:vAlign w:val="center"/>
                </w:tcPr>
                <w:p>
                  <w:pPr>
                    <w:pStyle w:val="69"/>
                    <w:spacing w:line="240" w:lineRule="auto"/>
                    <w:ind w:firstLine="0" w:firstLineChars="0"/>
                    <w:jc w:val="center"/>
                    <w:rPr>
                      <w:sz w:val="21"/>
                      <w:szCs w:val="21"/>
                    </w:rPr>
                  </w:pPr>
                  <w:r>
                    <w:rPr>
                      <w:sz w:val="21"/>
                      <w:szCs w:val="21"/>
                    </w:rPr>
                    <w:t>3</w:t>
                  </w:r>
                </w:p>
              </w:tc>
              <w:tc>
                <w:tcPr>
                  <w:tcW w:w="434" w:type="pct"/>
                  <w:noWrap w:val="0"/>
                  <w:vAlign w:val="center"/>
                </w:tcPr>
                <w:p>
                  <w:pPr>
                    <w:pStyle w:val="69"/>
                    <w:spacing w:line="240" w:lineRule="auto"/>
                    <w:ind w:firstLine="0" w:firstLineChars="0"/>
                    <w:jc w:val="center"/>
                    <w:rPr>
                      <w:sz w:val="21"/>
                      <w:szCs w:val="21"/>
                    </w:rPr>
                  </w:pPr>
                  <w:r>
                    <w:rPr>
                      <w:rFonts w:hint="eastAsia"/>
                      <w:sz w:val="21"/>
                      <w:szCs w:val="21"/>
                    </w:rPr>
                    <w:t>生活污水</w:t>
                  </w:r>
                </w:p>
              </w:tc>
              <w:tc>
                <w:tcPr>
                  <w:tcW w:w="986" w:type="pct"/>
                  <w:noWrap w:val="0"/>
                  <w:vAlign w:val="center"/>
                </w:tcPr>
                <w:p>
                  <w:pPr>
                    <w:pStyle w:val="69"/>
                    <w:spacing w:line="240" w:lineRule="auto"/>
                    <w:ind w:firstLine="0" w:firstLineChars="0"/>
                    <w:jc w:val="center"/>
                    <w:rPr>
                      <w:sz w:val="21"/>
                      <w:szCs w:val="21"/>
                    </w:rPr>
                  </w:pPr>
                  <w:r>
                    <w:rPr>
                      <w:sz w:val="21"/>
                      <w:szCs w:val="21"/>
                    </w:rPr>
                    <w:t>pH、COD</w:t>
                  </w:r>
                  <w:r>
                    <w:rPr>
                      <w:sz w:val="21"/>
                      <w:szCs w:val="21"/>
                      <w:vertAlign w:val="subscript"/>
                    </w:rPr>
                    <w:t>Cr</w:t>
                  </w:r>
                  <w:r>
                    <w:rPr>
                      <w:sz w:val="21"/>
                      <w:szCs w:val="21"/>
                    </w:rPr>
                    <w:t>、BOD</w:t>
                  </w:r>
                  <w:r>
                    <w:rPr>
                      <w:sz w:val="21"/>
                      <w:szCs w:val="21"/>
                      <w:vertAlign w:val="subscript"/>
                    </w:rPr>
                    <w:t>5</w:t>
                  </w:r>
                  <w:r>
                    <w:rPr>
                      <w:sz w:val="21"/>
                      <w:szCs w:val="21"/>
                    </w:rPr>
                    <w:t>、SS、NH</w:t>
                  </w:r>
                  <w:r>
                    <w:rPr>
                      <w:sz w:val="21"/>
                      <w:szCs w:val="21"/>
                      <w:vertAlign w:val="subscript"/>
                    </w:rPr>
                    <w:t>3</w:t>
                  </w:r>
                  <w:r>
                    <w:rPr>
                      <w:sz w:val="21"/>
                      <w:szCs w:val="21"/>
                    </w:rPr>
                    <w:t>-N</w:t>
                  </w:r>
                  <w:r>
                    <w:rPr>
                      <w:rFonts w:hint="eastAsia"/>
                      <w:sz w:val="21"/>
                      <w:szCs w:val="21"/>
                    </w:rPr>
                    <w:t>、总磷、总氮</w:t>
                  </w:r>
                </w:p>
              </w:tc>
              <w:tc>
                <w:tcPr>
                  <w:tcW w:w="624" w:type="pct"/>
                  <w:vMerge w:val="continue"/>
                  <w:noWrap w:val="0"/>
                  <w:vAlign w:val="center"/>
                </w:tcPr>
                <w:p>
                  <w:pPr>
                    <w:pStyle w:val="69"/>
                    <w:spacing w:line="240" w:lineRule="auto"/>
                    <w:ind w:firstLine="0" w:firstLineChars="0"/>
                    <w:jc w:val="center"/>
                    <w:rPr>
                      <w:sz w:val="21"/>
                      <w:szCs w:val="21"/>
                    </w:rPr>
                  </w:pPr>
                </w:p>
              </w:tc>
              <w:tc>
                <w:tcPr>
                  <w:tcW w:w="407" w:type="pct"/>
                  <w:vMerge w:val="continue"/>
                  <w:noWrap w:val="0"/>
                  <w:vAlign w:val="center"/>
                </w:tcPr>
                <w:p>
                  <w:pPr>
                    <w:pStyle w:val="69"/>
                    <w:spacing w:line="240" w:lineRule="auto"/>
                    <w:ind w:firstLine="0" w:firstLineChars="0"/>
                    <w:jc w:val="center"/>
                    <w:rPr>
                      <w:sz w:val="21"/>
                      <w:szCs w:val="21"/>
                    </w:rPr>
                  </w:pPr>
                </w:p>
              </w:tc>
              <w:tc>
                <w:tcPr>
                  <w:tcW w:w="561" w:type="pct"/>
                  <w:noWrap w:val="0"/>
                  <w:vAlign w:val="center"/>
                </w:tcPr>
                <w:p>
                  <w:pPr>
                    <w:pStyle w:val="69"/>
                    <w:spacing w:line="240" w:lineRule="auto"/>
                    <w:ind w:firstLine="0" w:firstLineChars="0"/>
                    <w:jc w:val="center"/>
                    <w:rPr>
                      <w:sz w:val="21"/>
                      <w:szCs w:val="21"/>
                    </w:rPr>
                  </w:pPr>
                  <w:r>
                    <w:rPr>
                      <w:sz w:val="21"/>
                      <w:szCs w:val="21"/>
                    </w:rPr>
                    <w:t>TW00</w:t>
                  </w:r>
                  <w:r>
                    <w:rPr>
                      <w:rFonts w:hint="eastAsia"/>
                      <w:sz w:val="21"/>
                      <w:szCs w:val="21"/>
                    </w:rPr>
                    <w:t>2</w:t>
                  </w:r>
                </w:p>
              </w:tc>
              <w:tc>
                <w:tcPr>
                  <w:tcW w:w="658" w:type="pct"/>
                  <w:noWrap w:val="0"/>
                  <w:vAlign w:val="center"/>
                </w:tcPr>
                <w:p>
                  <w:pPr>
                    <w:pStyle w:val="69"/>
                    <w:spacing w:line="240" w:lineRule="auto"/>
                    <w:ind w:firstLine="0" w:firstLineChars="0"/>
                    <w:jc w:val="center"/>
                    <w:rPr>
                      <w:sz w:val="21"/>
                      <w:szCs w:val="21"/>
                      <w:lang w:bidi="ar"/>
                    </w:rPr>
                  </w:pPr>
                  <w:r>
                    <w:rPr>
                      <w:rFonts w:hint="eastAsia"/>
                      <w:sz w:val="21"/>
                      <w:szCs w:val="21"/>
                      <w:lang w:bidi="ar"/>
                    </w:rPr>
                    <w:t>化粪池</w:t>
                  </w:r>
                </w:p>
              </w:tc>
              <w:tc>
                <w:tcPr>
                  <w:tcW w:w="507" w:type="pct"/>
                  <w:noWrap w:val="0"/>
                  <w:vAlign w:val="center"/>
                </w:tcPr>
                <w:p>
                  <w:pPr>
                    <w:pStyle w:val="69"/>
                    <w:spacing w:line="240" w:lineRule="auto"/>
                    <w:ind w:firstLine="0" w:firstLineChars="0"/>
                    <w:jc w:val="center"/>
                    <w:rPr>
                      <w:sz w:val="21"/>
                      <w:szCs w:val="21"/>
                      <w:lang w:bidi="ar"/>
                    </w:rPr>
                  </w:pPr>
                  <w:r>
                    <w:rPr>
                      <w:sz w:val="21"/>
                      <w:szCs w:val="21"/>
                    </w:rPr>
                    <w:t>生物厌氧</w:t>
                  </w:r>
                </w:p>
              </w:tc>
              <w:tc>
                <w:tcPr>
                  <w:tcW w:w="536" w:type="pct"/>
                  <w:noWrap w:val="0"/>
                  <w:vAlign w:val="center"/>
                </w:tcPr>
                <w:p>
                  <w:pPr>
                    <w:pStyle w:val="69"/>
                    <w:spacing w:line="240" w:lineRule="auto"/>
                    <w:ind w:firstLine="0" w:firstLineChars="0"/>
                    <w:jc w:val="center"/>
                    <w:rPr>
                      <w:sz w:val="21"/>
                      <w:szCs w:val="21"/>
                    </w:rPr>
                  </w:pPr>
                  <w:r>
                    <w:rPr>
                      <w:sz w:val="21"/>
                      <w:szCs w:val="21"/>
                    </w:rPr>
                    <w:t>是</w:t>
                  </w:r>
                </w:p>
              </w:tc>
            </w:tr>
          </w:tbl>
          <w:p>
            <w:pPr>
              <w:widowControl/>
              <w:numPr>
                <w:ilvl w:val="0"/>
                <w:numId w:val="9"/>
              </w:numPr>
              <w:spacing w:line="360" w:lineRule="auto"/>
              <w:jc w:val="left"/>
              <w:rPr>
                <w:b/>
                <w:bCs/>
                <w:sz w:val="24"/>
              </w:rPr>
            </w:pPr>
            <w:r>
              <w:rPr>
                <w:rFonts w:hint="eastAsia"/>
                <w:b/>
                <w:bCs/>
                <w:sz w:val="24"/>
              </w:rPr>
              <w:t>排放口基本信息</w:t>
            </w:r>
          </w:p>
          <w:p>
            <w:pPr>
              <w:adjustRightInd w:val="0"/>
              <w:snapToGrid w:val="0"/>
              <w:jc w:val="center"/>
              <w:rPr>
                <w:b/>
                <w:spacing w:val="-2"/>
                <w:szCs w:val="21"/>
              </w:rPr>
            </w:pPr>
            <w:r>
              <w:rPr>
                <w:b/>
                <w:spacing w:val="-2"/>
                <w:szCs w:val="21"/>
              </w:rPr>
              <w:t>表</w:t>
            </w:r>
            <w:r>
              <w:rPr>
                <w:rFonts w:hint="eastAsia"/>
                <w:b/>
                <w:spacing w:val="-2"/>
                <w:szCs w:val="21"/>
              </w:rPr>
              <w:t>4</w:t>
            </w:r>
            <w:r>
              <w:rPr>
                <w:b/>
                <w:spacing w:val="-2"/>
                <w:szCs w:val="21"/>
              </w:rPr>
              <w:t>-</w:t>
            </w:r>
            <w:r>
              <w:rPr>
                <w:rFonts w:hint="eastAsia"/>
                <w:b/>
                <w:spacing w:val="-2"/>
                <w:szCs w:val="21"/>
              </w:rPr>
              <w:t>4 排放口基本情况表</w:t>
            </w:r>
          </w:p>
          <w:tbl>
            <w:tblPr>
              <w:tblStyle w:val="7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36"/>
              <w:gridCol w:w="661"/>
              <w:gridCol w:w="920"/>
              <w:gridCol w:w="647"/>
              <w:gridCol w:w="887"/>
              <w:gridCol w:w="887"/>
              <w:gridCol w:w="842"/>
              <w:gridCol w:w="20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30" w:type="pct"/>
                  <w:vMerge w:val="restart"/>
                  <w:noWrap w:val="0"/>
                  <w:vAlign w:val="center"/>
                </w:tcPr>
                <w:p>
                  <w:pPr>
                    <w:adjustRightInd w:val="0"/>
                    <w:snapToGrid w:val="0"/>
                    <w:spacing w:line="25" w:lineRule="atLeast"/>
                    <w:jc w:val="center"/>
                    <w:rPr>
                      <w:b/>
                      <w:bCs/>
                      <w:kern w:val="0"/>
                      <w:szCs w:val="21"/>
                    </w:rPr>
                  </w:pPr>
                  <w:r>
                    <w:rPr>
                      <w:rFonts w:hint="eastAsia"/>
                      <w:b/>
                      <w:bCs/>
                      <w:kern w:val="0"/>
                      <w:szCs w:val="21"/>
                    </w:rPr>
                    <w:t>产污环节</w:t>
                  </w:r>
                </w:p>
              </w:tc>
              <w:tc>
                <w:tcPr>
                  <w:tcW w:w="439" w:type="pct"/>
                  <w:vMerge w:val="restart"/>
                  <w:noWrap w:val="0"/>
                  <w:vAlign w:val="center"/>
                </w:tcPr>
                <w:p>
                  <w:pPr>
                    <w:adjustRightInd w:val="0"/>
                    <w:snapToGrid w:val="0"/>
                    <w:spacing w:line="25" w:lineRule="atLeast"/>
                    <w:jc w:val="center"/>
                    <w:rPr>
                      <w:b/>
                      <w:bCs/>
                      <w:kern w:val="0"/>
                      <w:szCs w:val="21"/>
                    </w:rPr>
                  </w:pPr>
                  <w:r>
                    <w:rPr>
                      <w:rFonts w:hint="eastAsia"/>
                      <w:b/>
                      <w:bCs/>
                      <w:kern w:val="0"/>
                      <w:szCs w:val="21"/>
                    </w:rPr>
                    <w:t>类别</w:t>
                  </w:r>
                </w:p>
              </w:tc>
              <w:tc>
                <w:tcPr>
                  <w:tcW w:w="394" w:type="pct"/>
                  <w:vMerge w:val="restart"/>
                  <w:noWrap w:val="0"/>
                  <w:vAlign w:val="center"/>
                </w:tcPr>
                <w:p>
                  <w:pPr>
                    <w:adjustRightInd w:val="0"/>
                    <w:snapToGrid w:val="0"/>
                    <w:spacing w:line="25" w:lineRule="atLeast"/>
                    <w:jc w:val="center"/>
                    <w:rPr>
                      <w:b/>
                      <w:bCs/>
                      <w:kern w:val="0"/>
                      <w:szCs w:val="21"/>
                    </w:rPr>
                  </w:pPr>
                  <w:r>
                    <w:rPr>
                      <w:rFonts w:hint="eastAsia"/>
                      <w:b/>
                      <w:bCs/>
                      <w:kern w:val="0"/>
                      <w:szCs w:val="21"/>
                    </w:rPr>
                    <w:t>排放方式</w:t>
                  </w:r>
                </w:p>
              </w:tc>
              <w:tc>
                <w:tcPr>
                  <w:tcW w:w="549" w:type="pct"/>
                  <w:vMerge w:val="restart"/>
                  <w:noWrap w:val="0"/>
                  <w:vAlign w:val="center"/>
                </w:tcPr>
                <w:p>
                  <w:pPr>
                    <w:adjustRightInd w:val="0"/>
                    <w:snapToGrid w:val="0"/>
                    <w:spacing w:line="25" w:lineRule="atLeast"/>
                    <w:jc w:val="center"/>
                    <w:rPr>
                      <w:b/>
                      <w:bCs/>
                      <w:kern w:val="0"/>
                      <w:szCs w:val="21"/>
                      <w:vertAlign w:val="superscript"/>
                    </w:rPr>
                  </w:pPr>
                  <w:r>
                    <w:rPr>
                      <w:rFonts w:hint="eastAsia"/>
                      <w:b/>
                      <w:bCs/>
                      <w:kern w:val="0"/>
                      <w:szCs w:val="21"/>
                    </w:rPr>
                    <w:t>排放去向</w:t>
                  </w:r>
                </w:p>
              </w:tc>
              <w:tc>
                <w:tcPr>
                  <w:tcW w:w="386" w:type="pct"/>
                  <w:vMerge w:val="restart"/>
                  <w:noWrap w:val="0"/>
                  <w:vAlign w:val="center"/>
                </w:tcPr>
                <w:p>
                  <w:pPr>
                    <w:adjustRightInd w:val="0"/>
                    <w:snapToGrid w:val="0"/>
                    <w:spacing w:line="25" w:lineRule="atLeast"/>
                    <w:jc w:val="center"/>
                    <w:rPr>
                      <w:b/>
                      <w:bCs/>
                      <w:kern w:val="0"/>
                      <w:szCs w:val="21"/>
                    </w:rPr>
                  </w:pPr>
                  <w:r>
                    <w:rPr>
                      <w:rFonts w:hint="eastAsia"/>
                      <w:b/>
                      <w:bCs/>
                      <w:kern w:val="0"/>
                      <w:szCs w:val="21"/>
                    </w:rPr>
                    <w:t>排放规律</w:t>
                  </w:r>
                </w:p>
              </w:tc>
              <w:tc>
                <w:tcPr>
                  <w:tcW w:w="2802" w:type="pct"/>
                  <w:gridSpan w:val="4"/>
                  <w:noWrap w:val="0"/>
                  <w:vAlign w:val="center"/>
                </w:tcPr>
                <w:p>
                  <w:pPr>
                    <w:adjustRightInd w:val="0"/>
                    <w:snapToGrid w:val="0"/>
                    <w:spacing w:line="25" w:lineRule="atLeast"/>
                    <w:jc w:val="center"/>
                    <w:rPr>
                      <w:rFonts w:hint="eastAsia"/>
                      <w:b/>
                      <w:bCs/>
                      <w:kern w:val="0"/>
                      <w:szCs w:val="21"/>
                    </w:rPr>
                  </w:pPr>
                  <w:r>
                    <w:rPr>
                      <w:rFonts w:hint="eastAsia"/>
                      <w:b/>
                      <w:bCs/>
                      <w:kern w:val="0"/>
                      <w:szCs w:val="21"/>
                    </w:rPr>
                    <w:t>排放口情况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30" w:type="pct"/>
                  <w:vMerge w:val="continue"/>
                  <w:noWrap w:val="0"/>
                  <w:vAlign w:val="center"/>
                </w:tcPr>
                <w:p>
                  <w:pPr>
                    <w:adjustRightInd w:val="0"/>
                    <w:snapToGrid w:val="0"/>
                    <w:spacing w:line="25" w:lineRule="atLeast"/>
                    <w:jc w:val="center"/>
                    <w:rPr>
                      <w:kern w:val="0"/>
                      <w:szCs w:val="21"/>
                    </w:rPr>
                  </w:pPr>
                </w:p>
              </w:tc>
              <w:tc>
                <w:tcPr>
                  <w:tcW w:w="439" w:type="pct"/>
                  <w:vMerge w:val="continue"/>
                  <w:noWrap w:val="0"/>
                  <w:vAlign w:val="center"/>
                </w:tcPr>
                <w:p>
                  <w:pPr>
                    <w:adjustRightInd w:val="0"/>
                    <w:snapToGrid w:val="0"/>
                    <w:spacing w:line="25" w:lineRule="atLeast"/>
                    <w:jc w:val="center"/>
                    <w:rPr>
                      <w:kern w:val="0"/>
                      <w:szCs w:val="21"/>
                    </w:rPr>
                  </w:pPr>
                </w:p>
              </w:tc>
              <w:tc>
                <w:tcPr>
                  <w:tcW w:w="394" w:type="pct"/>
                  <w:vMerge w:val="continue"/>
                  <w:noWrap w:val="0"/>
                  <w:vAlign w:val="center"/>
                </w:tcPr>
                <w:p>
                  <w:pPr>
                    <w:adjustRightInd w:val="0"/>
                    <w:snapToGrid w:val="0"/>
                    <w:spacing w:line="25" w:lineRule="atLeast"/>
                    <w:jc w:val="center"/>
                    <w:rPr>
                      <w:kern w:val="0"/>
                      <w:szCs w:val="21"/>
                    </w:rPr>
                  </w:pPr>
                </w:p>
              </w:tc>
              <w:tc>
                <w:tcPr>
                  <w:tcW w:w="549" w:type="pct"/>
                  <w:vMerge w:val="continue"/>
                  <w:noWrap w:val="0"/>
                  <w:vAlign w:val="center"/>
                </w:tcPr>
                <w:p>
                  <w:pPr>
                    <w:widowControl/>
                    <w:jc w:val="center"/>
                    <w:rPr>
                      <w:kern w:val="0"/>
                      <w:szCs w:val="21"/>
                    </w:rPr>
                  </w:pPr>
                </w:p>
              </w:tc>
              <w:tc>
                <w:tcPr>
                  <w:tcW w:w="386" w:type="pct"/>
                  <w:vMerge w:val="continue"/>
                  <w:noWrap w:val="0"/>
                  <w:vAlign w:val="center"/>
                </w:tcPr>
                <w:p>
                  <w:pPr>
                    <w:widowControl/>
                    <w:jc w:val="center"/>
                    <w:rPr>
                      <w:kern w:val="0"/>
                      <w:szCs w:val="21"/>
                    </w:rPr>
                  </w:pPr>
                </w:p>
              </w:tc>
              <w:tc>
                <w:tcPr>
                  <w:tcW w:w="529" w:type="pct"/>
                  <w:noWrap w:val="0"/>
                  <w:vAlign w:val="center"/>
                </w:tcPr>
                <w:p>
                  <w:pPr>
                    <w:jc w:val="center"/>
                    <w:rPr>
                      <w:b/>
                      <w:bCs/>
                      <w:szCs w:val="21"/>
                    </w:rPr>
                  </w:pPr>
                  <w:r>
                    <w:rPr>
                      <w:rFonts w:hint="eastAsia"/>
                      <w:b/>
                      <w:bCs/>
                      <w:szCs w:val="21"/>
                    </w:rPr>
                    <w:t>编号</w:t>
                  </w:r>
                </w:p>
              </w:tc>
              <w:tc>
                <w:tcPr>
                  <w:tcW w:w="529" w:type="pct"/>
                  <w:noWrap w:val="0"/>
                  <w:vAlign w:val="center"/>
                </w:tcPr>
                <w:p>
                  <w:pPr>
                    <w:widowControl/>
                    <w:jc w:val="center"/>
                    <w:rPr>
                      <w:b/>
                      <w:bCs/>
                      <w:kern w:val="0"/>
                      <w:szCs w:val="21"/>
                    </w:rPr>
                  </w:pPr>
                  <w:r>
                    <w:rPr>
                      <w:rFonts w:hint="eastAsia"/>
                      <w:b/>
                      <w:bCs/>
                      <w:kern w:val="0"/>
                      <w:szCs w:val="21"/>
                    </w:rPr>
                    <w:t>名称</w:t>
                  </w:r>
                </w:p>
              </w:tc>
              <w:tc>
                <w:tcPr>
                  <w:tcW w:w="502" w:type="pct"/>
                  <w:noWrap w:val="0"/>
                  <w:vAlign w:val="center"/>
                </w:tcPr>
                <w:p>
                  <w:pPr>
                    <w:widowControl/>
                    <w:jc w:val="center"/>
                    <w:rPr>
                      <w:b/>
                      <w:bCs/>
                      <w:kern w:val="0"/>
                      <w:szCs w:val="21"/>
                    </w:rPr>
                  </w:pPr>
                  <w:r>
                    <w:rPr>
                      <w:rFonts w:hint="eastAsia"/>
                      <w:b/>
                      <w:bCs/>
                      <w:kern w:val="0"/>
                      <w:szCs w:val="21"/>
                    </w:rPr>
                    <w:t>类型</w:t>
                  </w:r>
                </w:p>
              </w:tc>
              <w:tc>
                <w:tcPr>
                  <w:tcW w:w="1242" w:type="pct"/>
                  <w:noWrap w:val="0"/>
                  <w:vAlign w:val="center"/>
                </w:tcPr>
                <w:p>
                  <w:pPr>
                    <w:widowControl/>
                    <w:jc w:val="center"/>
                    <w:rPr>
                      <w:b/>
                      <w:bCs/>
                      <w:kern w:val="0"/>
                      <w:szCs w:val="21"/>
                    </w:rPr>
                  </w:pPr>
                  <w:r>
                    <w:rPr>
                      <w:rFonts w:hint="eastAsia"/>
                      <w:b/>
                      <w:bCs/>
                      <w:kern w:val="0"/>
                      <w:szCs w:val="21"/>
                    </w:rPr>
                    <w:t>坐标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30" w:type="pct"/>
                  <w:noWrap w:val="0"/>
                  <w:vAlign w:val="center"/>
                </w:tcPr>
                <w:p>
                  <w:pPr>
                    <w:adjustRightInd w:val="0"/>
                    <w:snapToGrid w:val="0"/>
                    <w:spacing w:line="25" w:lineRule="atLeast"/>
                    <w:jc w:val="center"/>
                    <w:rPr>
                      <w:kern w:val="0"/>
                      <w:szCs w:val="21"/>
                    </w:rPr>
                  </w:pPr>
                  <w:r>
                    <w:rPr>
                      <w:rFonts w:hint="eastAsia"/>
                      <w:szCs w:val="21"/>
                    </w:rPr>
                    <w:t>洗车</w:t>
                  </w:r>
                </w:p>
              </w:tc>
              <w:tc>
                <w:tcPr>
                  <w:tcW w:w="439" w:type="pct"/>
                  <w:noWrap w:val="0"/>
                  <w:vAlign w:val="center"/>
                </w:tcPr>
                <w:p>
                  <w:pPr>
                    <w:adjustRightInd w:val="0"/>
                    <w:snapToGrid w:val="0"/>
                    <w:spacing w:line="25" w:lineRule="atLeast"/>
                    <w:jc w:val="center"/>
                    <w:rPr>
                      <w:kern w:val="0"/>
                      <w:szCs w:val="21"/>
                    </w:rPr>
                  </w:pPr>
                  <w:r>
                    <w:rPr>
                      <w:rFonts w:hint="eastAsia"/>
                      <w:szCs w:val="21"/>
                    </w:rPr>
                    <w:t>洗车废水</w:t>
                  </w:r>
                </w:p>
              </w:tc>
              <w:tc>
                <w:tcPr>
                  <w:tcW w:w="394" w:type="pct"/>
                  <w:vMerge w:val="restart"/>
                  <w:noWrap w:val="0"/>
                  <w:vAlign w:val="center"/>
                </w:tcPr>
                <w:p>
                  <w:pPr>
                    <w:adjustRightInd w:val="0"/>
                    <w:snapToGrid w:val="0"/>
                    <w:spacing w:line="25" w:lineRule="atLeast"/>
                    <w:jc w:val="center"/>
                    <w:rPr>
                      <w:kern w:val="0"/>
                      <w:szCs w:val="21"/>
                    </w:rPr>
                  </w:pPr>
                  <w:r>
                    <w:rPr>
                      <w:rFonts w:hint="eastAsia"/>
                      <w:kern w:val="0"/>
                      <w:szCs w:val="21"/>
                    </w:rPr>
                    <w:t>间接排放</w:t>
                  </w:r>
                </w:p>
              </w:tc>
              <w:tc>
                <w:tcPr>
                  <w:tcW w:w="549" w:type="pct"/>
                  <w:vMerge w:val="restart"/>
                  <w:noWrap w:val="0"/>
                  <w:vAlign w:val="center"/>
                </w:tcPr>
                <w:p>
                  <w:pPr>
                    <w:widowControl/>
                    <w:jc w:val="center"/>
                    <w:rPr>
                      <w:kern w:val="0"/>
                      <w:szCs w:val="21"/>
                    </w:rPr>
                  </w:pPr>
                  <w:r>
                    <w:rPr>
                      <w:kern w:val="0"/>
                      <w:szCs w:val="21"/>
                      <w:lang w:bidi="ar"/>
                    </w:rPr>
                    <w:t>达州市第二</w:t>
                  </w:r>
                  <w:r>
                    <w:rPr>
                      <w:rFonts w:hint="eastAsia"/>
                      <w:kern w:val="0"/>
                      <w:szCs w:val="21"/>
                      <w:lang w:bidi="ar"/>
                    </w:rPr>
                    <w:t>城市生活</w:t>
                  </w:r>
                  <w:r>
                    <w:rPr>
                      <w:kern w:val="0"/>
                      <w:szCs w:val="21"/>
                      <w:lang w:bidi="ar"/>
                    </w:rPr>
                    <w:t>污水处理厂</w:t>
                  </w:r>
                </w:p>
              </w:tc>
              <w:tc>
                <w:tcPr>
                  <w:tcW w:w="386" w:type="pct"/>
                  <w:vMerge w:val="restart"/>
                  <w:noWrap w:val="0"/>
                  <w:vAlign w:val="center"/>
                </w:tcPr>
                <w:p>
                  <w:pPr>
                    <w:widowControl/>
                    <w:jc w:val="center"/>
                    <w:rPr>
                      <w:kern w:val="0"/>
                      <w:szCs w:val="21"/>
                    </w:rPr>
                  </w:pPr>
                  <w:r>
                    <w:rPr>
                      <w:rFonts w:hint="eastAsia"/>
                      <w:szCs w:val="21"/>
                    </w:rPr>
                    <w:t>连续</w:t>
                  </w:r>
                  <w:r>
                    <w:rPr>
                      <w:szCs w:val="21"/>
                    </w:rPr>
                    <w:t>排放</w:t>
                  </w:r>
                </w:p>
              </w:tc>
              <w:tc>
                <w:tcPr>
                  <w:tcW w:w="529" w:type="pct"/>
                  <w:vMerge w:val="restart"/>
                  <w:noWrap w:val="0"/>
                  <w:vAlign w:val="center"/>
                </w:tcPr>
                <w:p>
                  <w:pPr>
                    <w:widowControl/>
                    <w:jc w:val="center"/>
                    <w:rPr>
                      <w:kern w:val="0"/>
                      <w:szCs w:val="21"/>
                    </w:rPr>
                  </w:pPr>
                  <w:r>
                    <w:rPr>
                      <w:rFonts w:hint="eastAsia"/>
                      <w:kern w:val="0"/>
                      <w:szCs w:val="21"/>
                    </w:rPr>
                    <w:t>DW001</w:t>
                  </w:r>
                </w:p>
              </w:tc>
              <w:tc>
                <w:tcPr>
                  <w:tcW w:w="529" w:type="pct"/>
                  <w:vMerge w:val="restart"/>
                  <w:noWrap w:val="0"/>
                  <w:vAlign w:val="center"/>
                </w:tcPr>
                <w:p>
                  <w:pPr>
                    <w:widowControl/>
                    <w:jc w:val="center"/>
                    <w:rPr>
                      <w:kern w:val="0"/>
                      <w:szCs w:val="21"/>
                    </w:rPr>
                  </w:pPr>
                  <w:r>
                    <w:rPr>
                      <w:rFonts w:hint="eastAsia"/>
                      <w:kern w:val="0"/>
                      <w:szCs w:val="21"/>
                    </w:rPr>
                    <w:t>废水总排口</w:t>
                  </w:r>
                </w:p>
              </w:tc>
              <w:tc>
                <w:tcPr>
                  <w:tcW w:w="502" w:type="pct"/>
                  <w:vMerge w:val="restart"/>
                  <w:noWrap w:val="0"/>
                  <w:vAlign w:val="center"/>
                </w:tcPr>
                <w:p>
                  <w:pPr>
                    <w:widowControl/>
                    <w:jc w:val="center"/>
                    <w:rPr>
                      <w:kern w:val="0"/>
                      <w:szCs w:val="21"/>
                    </w:rPr>
                  </w:pPr>
                  <w:r>
                    <w:rPr>
                      <w:rFonts w:hint="eastAsia"/>
                      <w:kern w:val="0"/>
                      <w:szCs w:val="21"/>
                    </w:rPr>
                    <w:t>一般排放口</w:t>
                  </w:r>
                </w:p>
              </w:tc>
              <w:tc>
                <w:tcPr>
                  <w:tcW w:w="1242" w:type="pct"/>
                  <w:vMerge w:val="restart"/>
                  <w:noWrap w:val="0"/>
                  <w:vAlign w:val="center"/>
                </w:tcPr>
                <w:p>
                  <w:pPr>
                    <w:widowControl/>
                    <w:jc w:val="center"/>
                    <w:rPr>
                      <w:kern w:val="0"/>
                      <w:szCs w:val="21"/>
                    </w:rPr>
                  </w:pPr>
                  <w:r>
                    <w:rPr>
                      <w:rFonts w:hint="eastAsia"/>
                      <w:kern w:val="0"/>
                      <w:szCs w:val="21"/>
                    </w:rPr>
                    <w:t>东经：107.525736°北纬：31.236967°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30" w:type="pct"/>
                  <w:noWrap w:val="0"/>
                  <w:vAlign w:val="center"/>
                </w:tcPr>
                <w:p>
                  <w:pPr>
                    <w:adjustRightInd w:val="0"/>
                    <w:snapToGrid w:val="0"/>
                    <w:spacing w:line="25" w:lineRule="atLeast"/>
                    <w:jc w:val="center"/>
                    <w:rPr>
                      <w:kern w:val="0"/>
                      <w:szCs w:val="21"/>
                    </w:rPr>
                  </w:pPr>
                  <w:r>
                    <w:rPr>
                      <w:rFonts w:hint="eastAsia"/>
                      <w:szCs w:val="21"/>
                    </w:rPr>
                    <w:t>地面冲洗</w:t>
                  </w:r>
                </w:p>
              </w:tc>
              <w:tc>
                <w:tcPr>
                  <w:tcW w:w="439" w:type="pct"/>
                  <w:noWrap w:val="0"/>
                  <w:vAlign w:val="center"/>
                </w:tcPr>
                <w:p>
                  <w:pPr>
                    <w:adjustRightInd w:val="0"/>
                    <w:snapToGrid w:val="0"/>
                    <w:spacing w:line="25" w:lineRule="atLeast"/>
                    <w:jc w:val="center"/>
                    <w:rPr>
                      <w:kern w:val="0"/>
                      <w:szCs w:val="21"/>
                    </w:rPr>
                  </w:pPr>
                  <w:r>
                    <w:rPr>
                      <w:rFonts w:hint="eastAsia"/>
                      <w:szCs w:val="21"/>
                    </w:rPr>
                    <w:t>地面冲洗</w:t>
                  </w:r>
                  <w:r>
                    <w:rPr>
                      <w:kern w:val="0"/>
                      <w:szCs w:val="21"/>
                    </w:rPr>
                    <w:t>废水</w:t>
                  </w:r>
                </w:p>
              </w:tc>
              <w:tc>
                <w:tcPr>
                  <w:tcW w:w="394" w:type="pct"/>
                  <w:vMerge w:val="continue"/>
                  <w:noWrap w:val="0"/>
                  <w:vAlign w:val="center"/>
                </w:tcPr>
                <w:p>
                  <w:pPr>
                    <w:adjustRightInd w:val="0"/>
                    <w:snapToGrid w:val="0"/>
                    <w:spacing w:line="25" w:lineRule="atLeast"/>
                    <w:jc w:val="center"/>
                    <w:rPr>
                      <w:kern w:val="0"/>
                      <w:szCs w:val="21"/>
                    </w:rPr>
                  </w:pPr>
                </w:p>
              </w:tc>
              <w:tc>
                <w:tcPr>
                  <w:tcW w:w="549" w:type="pct"/>
                  <w:vMerge w:val="continue"/>
                  <w:noWrap w:val="0"/>
                  <w:vAlign w:val="center"/>
                </w:tcPr>
                <w:p>
                  <w:pPr>
                    <w:widowControl/>
                    <w:jc w:val="center"/>
                    <w:rPr>
                      <w:kern w:val="0"/>
                      <w:szCs w:val="21"/>
                    </w:rPr>
                  </w:pPr>
                </w:p>
              </w:tc>
              <w:tc>
                <w:tcPr>
                  <w:tcW w:w="386" w:type="pct"/>
                  <w:vMerge w:val="continue"/>
                  <w:noWrap w:val="0"/>
                  <w:vAlign w:val="center"/>
                </w:tcPr>
                <w:p>
                  <w:pPr>
                    <w:widowControl/>
                    <w:jc w:val="center"/>
                    <w:rPr>
                      <w:kern w:val="0"/>
                      <w:szCs w:val="21"/>
                    </w:rPr>
                  </w:pPr>
                </w:p>
              </w:tc>
              <w:tc>
                <w:tcPr>
                  <w:tcW w:w="529" w:type="pct"/>
                  <w:vMerge w:val="continue"/>
                  <w:noWrap w:val="0"/>
                  <w:vAlign w:val="center"/>
                </w:tcPr>
                <w:p>
                  <w:pPr>
                    <w:widowControl/>
                    <w:jc w:val="center"/>
                    <w:rPr>
                      <w:kern w:val="0"/>
                      <w:szCs w:val="21"/>
                    </w:rPr>
                  </w:pPr>
                </w:p>
              </w:tc>
              <w:tc>
                <w:tcPr>
                  <w:tcW w:w="529" w:type="pct"/>
                  <w:vMerge w:val="continue"/>
                  <w:noWrap w:val="0"/>
                  <w:vAlign w:val="center"/>
                </w:tcPr>
                <w:p>
                  <w:pPr>
                    <w:widowControl/>
                    <w:jc w:val="center"/>
                    <w:rPr>
                      <w:kern w:val="0"/>
                      <w:szCs w:val="21"/>
                    </w:rPr>
                  </w:pPr>
                </w:p>
              </w:tc>
              <w:tc>
                <w:tcPr>
                  <w:tcW w:w="502" w:type="pct"/>
                  <w:vMerge w:val="continue"/>
                  <w:noWrap w:val="0"/>
                  <w:vAlign w:val="center"/>
                </w:tcPr>
                <w:p>
                  <w:pPr>
                    <w:widowControl/>
                    <w:jc w:val="center"/>
                    <w:rPr>
                      <w:kern w:val="0"/>
                      <w:szCs w:val="21"/>
                    </w:rPr>
                  </w:pPr>
                </w:p>
              </w:tc>
              <w:tc>
                <w:tcPr>
                  <w:tcW w:w="1242" w:type="pct"/>
                  <w:vMerge w:val="continue"/>
                  <w:noWrap w:val="0"/>
                  <w:vAlign w:val="center"/>
                </w:tcPr>
                <w:p>
                  <w:pPr>
                    <w:widowControl/>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30" w:type="pct"/>
                  <w:noWrap w:val="0"/>
                  <w:vAlign w:val="center"/>
                </w:tcPr>
                <w:p>
                  <w:pPr>
                    <w:adjustRightInd w:val="0"/>
                    <w:snapToGrid w:val="0"/>
                    <w:spacing w:line="25" w:lineRule="atLeast"/>
                    <w:jc w:val="center"/>
                    <w:rPr>
                      <w:kern w:val="0"/>
                      <w:szCs w:val="21"/>
                    </w:rPr>
                  </w:pPr>
                  <w:r>
                    <w:rPr>
                      <w:rFonts w:hint="eastAsia"/>
                      <w:szCs w:val="21"/>
                    </w:rPr>
                    <w:t>员工及司乘人员用水</w:t>
                  </w:r>
                </w:p>
              </w:tc>
              <w:tc>
                <w:tcPr>
                  <w:tcW w:w="439" w:type="pct"/>
                  <w:noWrap w:val="0"/>
                  <w:vAlign w:val="center"/>
                </w:tcPr>
                <w:p>
                  <w:pPr>
                    <w:adjustRightInd w:val="0"/>
                    <w:snapToGrid w:val="0"/>
                    <w:spacing w:line="25" w:lineRule="atLeast"/>
                    <w:jc w:val="center"/>
                    <w:rPr>
                      <w:kern w:val="0"/>
                      <w:szCs w:val="21"/>
                    </w:rPr>
                  </w:pPr>
                  <w:r>
                    <w:rPr>
                      <w:rFonts w:hint="eastAsia"/>
                      <w:szCs w:val="21"/>
                    </w:rPr>
                    <w:t>生活污水</w:t>
                  </w:r>
                </w:p>
              </w:tc>
              <w:tc>
                <w:tcPr>
                  <w:tcW w:w="394" w:type="pct"/>
                  <w:vMerge w:val="continue"/>
                  <w:noWrap w:val="0"/>
                  <w:vAlign w:val="center"/>
                </w:tcPr>
                <w:p>
                  <w:pPr>
                    <w:adjustRightInd w:val="0"/>
                    <w:snapToGrid w:val="0"/>
                    <w:spacing w:line="25" w:lineRule="atLeast"/>
                    <w:jc w:val="center"/>
                    <w:rPr>
                      <w:kern w:val="0"/>
                      <w:szCs w:val="21"/>
                    </w:rPr>
                  </w:pPr>
                </w:p>
              </w:tc>
              <w:tc>
                <w:tcPr>
                  <w:tcW w:w="549" w:type="pct"/>
                  <w:vMerge w:val="continue"/>
                  <w:noWrap w:val="0"/>
                  <w:vAlign w:val="center"/>
                </w:tcPr>
                <w:p>
                  <w:pPr>
                    <w:widowControl/>
                    <w:jc w:val="center"/>
                    <w:rPr>
                      <w:kern w:val="0"/>
                      <w:szCs w:val="21"/>
                    </w:rPr>
                  </w:pPr>
                </w:p>
              </w:tc>
              <w:tc>
                <w:tcPr>
                  <w:tcW w:w="386" w:type="pct"/>
                  <w:vMerge w:val="continue"/>
                  <w:noWrap w:val="0"/>
                  <w:vAlign w:val="center"/>
                </w:tcPr>
                <w:p>
                  <w:pPr>
                    <w:widowControl/>
                    <w:jc w:val="center"/>
                    <w:rPr>
                      <w:kern w:val="0"/>
                      <w:szCs w:val="21"/>
                    </w:rPr>
                  </w:pPr>
                </w:p>
              </w:tc>
              <w:tc>
                <w:tcPr>
                  <w:tcW w:w="529" w:type="pct"/>
                  <w:vMerge w:val="continue"/>
                  <w:noWrap w:val="0"/>
                  <w:vAlign w:val="center"/>
                </w:tcPr>
                <w:p>
                  <w:pPr>
                    <w:widowControl/>
                    <w:jc w:val="center"/>
                    <w:rPr>
                      <w:kern w:val="0"/>
                      <w:szCs w:val="21"/>
                    </w:rPr>
                  </w:pPr>
                </w:p>
              </w:tc>
              <w:tc>
                <w:tcPr>
                  <w:tcW w:w="529" w:type="pct"/>
                  <w:vMerge w:val="continue"/>
                  <w:noWrap w:val="0"/>
                  <w:vAlign w:val="center"/>
                </w:tcPr>
                <w:p>
                  <w:pPr>
                    <w:widowControl/>
                    <w:jc w:val="center"/>
                    <w:rPr>
                      <w:kern w:val="0"/>
                      <w:szCs w:val="21"/>
                    </w:rPr>
                  </w:pPr>
                </w:p>
              </w:tc>
              <w:tc>
                <w:tcPr>
                  <w:tcW w:w="502" w:type="pct"/>
                  <w:vMerge w:val="continue"/>
                  <w:noWrap w:val="0"/>
                  <w:vAlign w:val="center"/>
                </w:tcPr>
                <w:p>
                  <w:pPr>
                    <w:widowControl/>
                    <w:jc w:val="center"/>
                    <w:rPr>
                      <w:kern w:val="0"/>
                      <w:szCs w:val="21"/>
                    </w:rPr>
                  </w:pPr>
                </w:p>
              </w:tc>
              <w:tc>
                <w:tcPr>
                  <w:tcW w:w="1242" w:type="pct"/>
                  <w:vMerge w:val="continue"/>
                  <w:noWrap w:val="0"/>
                  <w:vAlign w:val="center"/>
                </w:tcPr>
                <w:p>
                  <w:pPr>
                    <w:widowControl/>
                    <w:jc w:val="center"/>
                    <w:rPr>
                      <w:kern w:val="0"/>
                      <w:szCs w:val="21"/>
                    </w:rPr>
                  </w:pPr>
                </w:p>
              </w:tc>
            </w:tr>
          </w:tbl>
          <w:p>
            <w:pPr>
              <w:widowControl/>
              <w:spacing w:before="120" w:beforeLines="50" w:line="360" w:lineRule="auto"/>
              <w:ind w:firstLine="482" w:firstLineChars="200"/>
              <w:jc w:val="left"/>
            </w:pPr>
            <w:r>
              <w:rPr>
                <w:rFonts w:hint="eastAsia"/>
                <w:b/>
                <w:bCs/>
                <w:kern w:val="0"/>
                <w:sz w:val="24"/>
                <w:lang w:bidi="ar"/>
              </w:rPr>
              <w:t>3</w:t>
            </w:r>
            <w:r>
              <w:rPr>
                <w:b/>
                <w:bCs/>
                <w:kern w:val="0"/>
                <w:sz w:val="24"/>
                <w:lang w:bidi="ar"/>
              </w:rPr>
              <w:t>、依托污水处理设施的环境可行性评价</w:t>
            </w:r>
          </w:p>
          <w:p>
            <w:pPr>
              <w:widowControl/>
              <w:spacing w:line="360" w:lineRule="auto"/>
              <w:ind w:firstLine="480" w:firstLineChars="200"/>
              <w:jc w:val="left"/>
              <w:rPr>
                <w:sz w:val="24"/>
              </w:rPr>
            </w:pPr>
            <w:r>
              <w:rPr>
                <w:sz w:val="24"/>
              </w:rPr>
              <w:t>达州市第二污水处理厂</w:t>
            </w:r>
            <w:r>
              <w:rPr>
                <w:kern w:val="0"/>
                <w:sz w:val="24"/>
                <w:lang w:bidi="ar"/>
              </w:rPr>
              <w:t>位于达州市天然气能源化工产业园区周家坝，</w:t>
            </w:r>
            <w:r>
              <w:rPr>
                <w:sz w:val="24"/>
              </w:rPr>
              <w:t>设计总规模为10万m</w:t>
            </w:r>
            <w:r>
              <w:rPr>
                <w:sz w:val="24"/>
                <w:vertAlign w:val="superscript"/>
              </w:rPr>
              <w:t>3</w:t>
            </w:r>
            <w:r>
              <w:rPr>
                <w:sz w:val="24"/>
              </w:rPr>
              <w:t>/d（一期5万m</w:t>
            </w:r>
            <w:r>
              <w:rPr>
                <w:sz w:val="24"/>
                <w:vertAlign w:val="superscript"/>
              </w:rPr>
              <w:t>3</w:t>
            </w:r>
            <w:r>
              <w:rPr>
                <w:sz w:val="24"/>
              </w:rPr>
              <w:t>/d、二期5万m</w:t>
            </w:r>
            <w:r>
              <w:rPr>
                <w:sz w:val="24"/>
                <w:vertAlign w:val="superscript"/>
              </w:rPr>
              <w:t>3</w:t>
            </w:r>
            <w:r>
              <w:rPr>
                <w:sz w:val="24"/>
              </w:rPr>
              <w:t>/d），采用改良型</w:t>
            </w:r>
            <w:r>
              <w:rPr>
                <w:bCs/>
                <w:sz w:val="24"/>
              </w:rPr>
              <w:t>A</w:t>
            </w:r>
            <w:r>
              <w:rPr>
                <w:bCs/>
                <w:sz w:val="24"/>
                <w:vertAlign w:val="superscript"/>
              </w:rPr>
              <w:t>2</w:t>
            </w:r>
            <w:r>
              <w:rPr>
                <w:rFonts w:hint="eastAsia"/>
                <w:bCs/>
                <w:sz w:val="24"/>
              </w:rPr>
              <w:t>/</w:t>
            </w:r>
            <w:r>
              <w:rPr>
                <w:bCs/>
                <w:sz w:val="24"/>
              </w:rPr>
              <w:t>O工艺，</w:t>
            </w:r>
            <w:r>
              <w:rPr>
                <w:kern w:val="0"/>
                <w:sz w:val="24"/>
                <w:lang w:bidi="ar"/>
              </w:rPr>
              <w:t>服务范围主要包括张家坝、三里坪、翠屏山、小河嘴、西南职业教育园、杨柳、长田新区及南城所产生的生活污水，出水水质满足《城镇污水处理厂污染物排放标准》（GB18918-2002）中一级A标准后排放进入州河。2015年，其一期工程</w:t>
            </w:r>
            <w:r>
              <w:rPr>
                <w:sz w:val="24"/>
              </w:rPr>
              <w:t>取得了原四川省环保厅出具的《关于达州市第二城市污水处理工程环境影响报告书的批复》（川环审批〔2015〕81号），并进行了验收。2019年，其二期工程取得了达州市生态环境局出具的《关于达州市第二城市污水处理厂二期工程项目环境影响评价报告表的批复》（达市环函〔2019〕539号），并进行了验收。</w:t>
            </w:r>
          </w:p>
          <w:p>
            <w:pPr>
              <w:widowControl/>
              <w:spacing w:line="360" w:lineRule="auto"/>
              <w:ind w:firstLine="480" w:firstLineChars="200"/>
              <w:jc w:val="left"/>
              <w:rPr>
                <w:sz w:val="24"/>
              </w:rPr>
            </w:pPr>
            <w:r>
              <w:rPr>
                <w:sz w:val="24"/>
              </w:rPr>
              <w:t>本项目运营期的废水总排放量为</w:t>
            </w:r>
            <w:r>
              <w:rPr>
                <w:rFonts w:hint="eastAsia"/>
                <w:kern w:val="0"/>
                <w:sz w:val="24"/>
                <w:lang w:bidi="ar"/>
              </w:rPr>
              <w:t>1.85</w:t>
            </w:r>
            <w:r>
              <w:rPr>
                <w:kern w:val="0"/>
                <w:sz w:val="24"/>
                <w:lang w:bidi="ar"/>
              </w:rPr>
              <w:t>m</w:t>
            </w:r>
            <w:r>
              <w:rPr>
                <w:kern w:val="0"/>
                <w:sz w:val="24"/>
                <w:vertAlign w:val="superscript"/>
                <w:lang w:bidi="ar"/>
              </w:rPr>
              <w:t>3</w:t>
            </w:r>
            <w:r>
              <w:rPr>
                <w:kern w:val="0"/>
                <w:sz w:val="24"/>
                <w:lang w:bidi="ar"/>
              </w:rPr>
              <w:t>/</w:t>
            </w:r>
            <w:r>
              <w:rPr>
                <w:rFonts w:hint="eastAsia"/>
                <w:kern w:val="0"/>
                <w:sz w:val="24"/>
                <w:lang w:bidi="ar"/>
              </w:rPr>
              <w:t>d</w:t>
            </w:r>
            <w:r>
              <w:rPr>
                <w:rFonts w:hint="eastAsia"/>
                <w:sz w:val="24"/>
              </w:rPr>
              <w:t>，</w:t>
            </w:r>
            <w:r>
              <w:rPr>
                <w:sz w:val="24"/>
              </w:rPr>
              <w:t>占达州市第二</w:t>
            </w:r>
            <w:r>
              <w:rPr>
                <w:rFonts w:hint="eastAsia"/>
                <w:sz w:val="24"/>
              </w:rPr>
              <w:t>城市</w:t>
            </w:r>
            <w:r>
              <w:rPr>
                <w:sz w:val="24"/>
              </w:rPr>
              <w:t>污水处理厂现状处理能力的</w:t>
            </w:r>
            <w:r>
              <w:rPr>
                <w:rFonts w:hint="eastAsia"/>
                <w:sz w:val="24"/>
              </w:rPr>
              <w:t>0.0019</w:t>
            </w:r>
            <w:r>
              <w:rPr>
                <w:sz w:val="24"/>
              </w:rPr>
              <w:t>%，且本项目位于达州市通川区</w:t>
            </w:r>
            <w:r>
              <w:rPr>
                <w:rFonts w:hint="eastAsia"/>
                <w:sz w:val="24"/>
              </w:rPr>
              <w:t>张家坝片区</w:t>
            </w:r>
            <w:r>
              <w:rPr>
                <w:sz w:val="24"/>
              </w:rPr>
              <w:t>，属于达州市第二</w:t>
            </w:r>
            <w:r>
              <w:rPr>
                <w:rFonts w:hint="eastAsia"/>
                <w:sz w:val="24"/>
              </w:rPr>
              <w:t>城市</w:t>
            </w:r>
            <w:r>
              <w:rPr>
                <w:sz w:val="24"/>
              </w:rPr>
              <w:t>污水处理厂的纳污范围。根据调查，项目南面道路下的污水管网已建成，项目废水能够顺利接入城市污水管道。根据工程分析，项目废水经处理后的排水水质能够满足《污水综合排放标准》</w:t>
            </w:r>
            <w:r>
              <w:rPr>
                <w:rFonts w:hint="eastAsia"/>
                <w:sz w:val="24"/>
              </w:rPr>
              <w:t>（</w:t>
            </w:r>
            <w:r>
              <w:rPr>
                <w:sz w:val="24"/>
              </w:rPr>
              <w:t>GB8978-1996</w:t>
            </w:r>
            <w:r>
              <w:rPr>
                <w:rFonts w:hint="eastAsia"/>
                <w:sz w:val="24"/>
              </w:rPr>
              <w:t>）</w:t>
            </w:r>
            <w:r>
              <w:rPr>
                <w:sz w:val="24"/>
              </w:rPr>
              <w:t>中三级标准限值要求。故项目废水接入达州市第二</w:t>
            </w:r>
            <w:r>
              <w:rPr>
                <w:rFonts w:hint="eastAsia"/>
                <w:sz w:val="24"/>
              </w:rPr>
              <w:t>城市</w:t>
            </w:r>
            <w:r>
              <w:rPr>
                <w:sz w:val="24"/>
              </w:rPr>
              <w:t>污水处理厂处理可行。</w:t>
            </w:r>
          </w:p>
          <w:p>
            <w:pPr>
              <w:pStyle w:val="44"/>
              <w:spacing w:line="360" w:lineRule="auto"/>
              <w:rPr>
                <w:rFonts w:hint="eastAsia"/>
                <w:b/>
                <w:bCs/>
                <w:kern w:val="2"/>
                <w:sz w:val="24"/>
                <w:szCs w:val="24"/>
              </w:rPr>
            </w:pPr>
            <w:r>
              <w:rPr>
                <w:rFonts w:hint="eastAsia"/>
                <w:b/>
                <w:bCs/>
                <w:kern w:val="2"/>
                <w:sz w:val="24"/>
                <w:szCs w:val="24"/>
              </w:rPr>
              <w:t>4、</w:t>
            </w:r>
            <w:r>
              <w:rPr>
                <w:b/>
                <w:bCs/>
                <w:sz w:val="24"/>
              </w:rPr>
              <w:t>监测要求</w:t>
            </w:r>
          </w:p>
          <w:p>
            <w:pPr>
              <w:pStyle w:val="44"/>
              <w:spacing w:line="360" w:lineRule="auto"/>
              <w:ind w:firstLine="456" w:firstLineChars="200"/>
            </w:pPr>
            <w:r>
              <w:rPr>
                <w:rFonts w:hint="eastAsia"/>
                <w:kern w:val="2"/>
                <w:sz w:val="24"/>
                <w:szCs w:val="24"/>
              </w:rPr>
              <w:t>项目</w:t>
            </w:r>
            <w:r>
              <w:rPr>
                <w:rFonts w:hint="eastAsia"/>
                <w:sz w:val="24"/>
                <w:szCs w:val="24"/>
              </w:rPr>
              <w:t>废水经预处理后依托达州市第二城市污水处理厂处理。因此不制定废水监测计划。</w:t>
            </w:r>
          </w:p>
          <w:p>
            <w:pPr>
              <w:widowControl/>
              <w:spacing w:line="360" w:lineRule="auto"/>
              <w:ind w:firstLine="480" w:firstLineChars="200"/>
              <w:jc w:val="left"/>
              <w:rPr>
                <w:sz w:val="24"/>
              </w:rPr>
            </w:pPr>
            <w:r>
              <w:rPr>
                <w:rFonts w:hint="eastAsia" w:ascii="宋体" w:hAnsi="宋体" w:cs="宋体"/>
                <w:kern w:val="0"/>
                <w:sz w:val="24"/>
                <w:lang w:bidi="ar"/>
              </w:rPr>
              <w:t xml:space="preserve">综上分析，本项目采取的污水治理措施有效，可实现污染物达标排放，对地表水的影响甚微。 </w:t>
            </w:r>
          </w:p>
          <w:p>
            <w:pPr>
              <w:spacing w:line="360" w:lineRule="auto"/>
              <w:ind w:firstLine="482" w:firstLineChars="200"/>
              <w:rPr>
                <w:b/>
                <w:bCs/>
                <w:sz w:val="24"/>
              </w:rPr>
            </w:pPr>
            <w:r>
              <w:rPr>
                <w:b/>
                <w:bCs/>
                <w:sz w:val="24"/>
              </w:rPr>
              <w:t>二、</w:t>
            </w:r>
            <w:r>
              <w:rPr>
                <w:rFonts w:hint="eastAsia"/>
                <w:b/>
                <w:bCs/>
                <w:sz w:val="24"/>
              </w:rPr>
              <w:t>废气</w:t>
            </w:r>
          </w:p>
          <w:p>
            <w:pPr>
              <w:widowControl/>
              <w:spacing w:line="360" w:lineRule="auto"/>
              <w:ind w:firstLine="480" w:firstLineChars="200"/>
              <w:jc w:val="left"/>
              <w:rPr>
                <w:kern w:val="0"/>
                <w:sz w:val="24"/>
                <w:lang w:bidi="ar"/>
              </w:rPr>
            </w:pPr>
            <w:r>
              <w:rPr>
                <w:kern w:val="0"/>
                <w:sz w:val="24"/>
                <w:lang w:bidi="ar"/>
              </w:rPr>
              <w:t>项目营运期废气主要为卸油、储存、加油等过程中可能逸漏少量有机气体(非 甲烷总烃)、LNG卸车和LNG储罐的闪蒸气（及BOG）、柴油发电机废气</w:t>
            </w:r>
            <w:r>
              <w:rPr>
                <w:rFonts w:hint="eastAsia"/>
                <w:kern w:val="0"/>
                <w:sz w:val="24"/>
                <w:lang w:bidi="ar"/>
              </w:rPr>
              <w:t>、</w:t>
            </w:r>
            <w:r>
              <w:rPr>
                <w:kern w:val="0"/>
                <w:sz w:val="24"/>
                <w:lang w:bidi="ar"/>
              </w:rPr>
              <w:t>外来车辆产生的机动车尾气。</w:t>
            </w:r>
          </w:p>
          <w:p>
            <w:pPr>
              <w:widowControl/>
              <w:spacing w:line="360" w:lineRule="auto"/>
              <w:ind w:firstLine="482" w:firstLineChars="200"/>
              <w:jc w:val="left"/>
              <w:rPr>
                <w:b/>
                <w:bCs/>
                <w:kern w:val="0"/>
                <w:sz w:val="24"/>
                <w:lang w:bidi="ar"/>
              </w:rPr>
            </w:pPr>
            <w:r>
              <w:rPr>
                <w:rFonts w:hint="eastAsia"/>
                <w:b/>
                <w:bCs/>
                <w:kern w:val="0"/>
                <w:sz w:val="24"/>
                <w:lang w:bidi="ar"/>
              </w:rPr>
              <w:t>1、废气产生及治理措施</w:t>
            </w:r>
          </w:p>
          <w:p>
            <w:pPr>
              <w:widowControl/>
              <w:spacing w:line="360" w:lineRule="auto"/>
              <w:ind w:firstLine="482" w:firstLineChars="200"/>
              <w:jc w:val="left"/>
              <w:rPr>
                <w:b/>
                <w:bCs/>
                <w:kern w:val="0"/>
                <w:sz w:val="24"/>
                <w:lang w:bidi="ar"/>
              </w:rPr>
            </w:pPr>
            <w:r>
              <w:rPr>
                <w:b/>
                <w:bCs/>
                <w:kern w:val="0"/>
                <w:sz w:val="24"/>
                <w:lang w:bidi="ar"/>
              </w:rPr>
              <w:t>（1）有机废气（</w:t>
            </w:r>
            <w:r>
              <w:rPr>
                <w:kern w:val="0"/>
                <w:sz w:val="24"/>
                <w:lang w:bidi="ar"/>
              </w:rPr>
              <w:t>非甲烷总烃</w:t>
            </w:r>
            <w:r>
              <w:rPr>
                <w:b/>
                <w:bCs/>
                <w:kern w:val="0"/>
                <w:sz w:val="24"/>
                <w:lang w:bidi="ar"/>
              </w:rPr>
              <w:t>）</w:t>
            </w:r>
          </w:p>
          <w:p>
            <w:pPr>
              <w:widowControl/>
              <w:spacing w:line="360" w:lineRule="auto"/>
              <w:ind w:firstLine="482" w:firstLineChars="200"/>
              <w:jc w:val="left"/>
              <w:rPr>
                <w:b/>
                <w:bCs/>
                <w:kern w:val="0"/>
                <w:sz w:val="24"/>
                <w:lang w:bidi="ar"/>
              </w:rPr>
            </w:pPr>
            <w:r>
              <w:rPr>
                <w:rFonts w:hint="eastAsia" w:ascii="宋体" w:hAnsi="宋体" w:cs="宋体"/>
                <w:b/>
                <w:bCs/>
                <w:kern w:val="0"/>
                <w:sz w:val="24"/>
                <w:lang w:bidi="ar"/>
              </w:rPr>
              <w:t>①</w:t>
            </w:r>
            <w:r>
              <w:rPr>
                <w:b/>
                <w:bCs/>
                <w:kern w:val="0"/>
                <w:sz w:val="24"/>
                <w:lang w:bidi="ar"/>
              </w:rPr>
              <w:t>产生情况</w:t>
            </w:r>
          </w:p>
          <w:p>
            <w:pPr>
              <w:widowControl/>
              <w:spacing w:line="360" w:lineRule="auto"/>
              <w:ind w:firstLine="480" w:firstLineChars="200"/>
              <w:jc w:val="left"/>
              <w:rPr>
                <w:kern w:val="0"/>
                <w:sz w:val="24"/>
                <w:lang w:bidi="ar"/>
              </w:rPr>
            </w:pPr>
            <w:r>
              <w:rPr>
                <w:kern w:val="0"/>
                <w:sz w:val="24"/>
                <w:lang w:bidi="ar"/>
              </w:rPr>
              <w:t>本项目站内产生的废气主要来源于油品损耗挥发形成的油气，其主要成分以 非甲烷总烃计。正常营运时，油品损耗主要有卸油灌注损失、储油损失、加油作业损失等。根据《散装液态石油产品损耗标准》(GB11085-89)，项目所在区域属于A类区，卸油过程中汽、柴油损耗率分别为 0.23% 、0.05%；加油过程中汽、柴油损耗率分别0.29%、0.08%。本项目采用卧式罐储存汽油和柴油，储油过程油气排放包括地下油罐“小呼吸”、卸油多余油气及加油多余油气。根据《散装液态石油产品损耗标准》，储油过程会产生0.01%的油气排放。</w:t>
            </w:r>
          </w:p>
          <w:p>
            <w:pPr>
              <w:widowControl/>
              <w:spacing w:line="360" w:lineRule="auto"/>
              <w:ind w:firstLine="480" w:firstLineChars="200"/>
              <w:jc w:val="left"/>
              <w:rPr>
                <w:kern w:val="0"/>
                <w:sz w:val="24"/>
                <w:lang w:bidi="ar"/>
              </w:rPr>
            </w:pPr>
            <w:r>
              <w:rPr>
                <w:kern w:val="0"/>
                <w:sz w:val="24"/>
                <w:lang w:bidi="ar"/>
              </w:rPr>
              <w:t>根据现场调查了解，加油加气站内设有一、二</w:t>
            </w:r>
            <w:r>
              <w:rPr>
                <w:rFonts w:hint="eastAsia"/>
                <w:kern w:val="0"/>
                <w:sz w:val="24"/>
                <w:lang w:bidi="ar"/>
              </w:rPr>
              <w:t>、三</w:t>
            </w:r>
            <w:r>
              <w:rPr>
                <w:kern w:val="0"/>
                <w:sz w:val="24"/>
                <w:lang w:bidi="ar"/>
              </w:rPr>
              <w:t>次油气回收系统，其油气回收效率可达9</w:t>
            </w:r>
            <w:r>
              <w:rPr>
                <w:rFonts w:hint="eastAsia"/>
                <w:kern w:val="0"/>
                <w:sz w:val="24"/>
                <w:lang w:bidi="ar"/>
              </w:rPr>
              <w:t>0</w:t>
            </w:r>
            <w:r>
              <w:rPr>
                <w:kern w:val="0"/>
                <w:sz w:val="24"/>
                <w:lang w:bidi="ar"/>
              </w:rPr>
              <w:t>%以上。根据本项目年销售汽油</w:t>
            </w:r>
            <w:r>
              <w:rPr>
                <w:rFonts w:hint="eastAsia"/>
                <w:kern w:val="0"/>
                <w:sz w:val="24"/>
                <w:lang w:bidi="ar"/>
              </w:rPr>
              <w:t>1614.87</w:t>
            </w:r>
            <w:r>
              <w:rPr>
                <w:kern w:val="0"/>
                <w:sz w:val="24"/>
                <w:lang w:bidi="ar"/>
              </w:rPr>
              <w:t>t 、柴油</w:t>
            </w:r>
            <w:r>
              <w:rPr>
                <w:rFonts w:hint="eastAsia"/>
                <w:kern w:val="0"/>
                <w:sz w:val="24"/>
                <w:lang w:bidi="ar"/>
              </w:rPr>
              <w:t>1147.50</w:t>
            </w:r>
            <w:r>
              <w:rPr>
                <w:kern w:val="0"/>
                <w:sz w:val="24"/>
                <w:lang w:bidi="ar"/>
              </w:rPr>
              <w:t>t计算，项目有机废气非甲烷总烃产生量及排放量见表4-</w:t>
            </w:r>
            <w:r>
              <w:rPr>
                <w:rFonts w:hint="eastAsia"/>
                <w:kern w:val="0"/>
                <w:sz w:val="24"/>
                <w:lang w:bidi="ar"/>
              </w:rPr>
              <w:t>5</w:t>
            </w:r>
            <w:r>
              <w:rPr>
                <w:kern w:val="0"/>
                <w:sz w:val="24"/>
                <w:lang w:bidi="ar"/>
              </w:rPr>
              <w:t>所示。</w:t>
            </w:r>
          </w:p>
          <w:p>
            <w:pPr>
              <w:jc w:val="center"/>
              <w:rPr>
                <w:b/>
                <w:spacing w:val="-2"/>
                <w:szCs w:val="21"/>
              </w:rPr>
            </w:pPr>
            <w:r>
              <w:rPr>
                <w:rFonts w:hint="eastAsia"/>
                <w:b/>
                <w:spacing w:val="-2"/>
                <w:szCs w:val="21"/>
              </w:rPr>
              <w:t>表4-5</w:t>
            </w:r>
            <w:r>
              <w:rPr>
                <w:b/>
                <w:spacing w:val="-2"/>
                <w:szCs w:val="21"/>
              </w:rPr>
              <w:t xml:space="preserve"> </w:t>
            </w:r>
            <w:r>
              <w:rPr>
                <w:rFonts w:hint="eastAsia"/>
                <w:b/>
                <w:spacing w:val="-2"/>
                <w:szCs w:val="21"/>
              </w:rPr>
              <w:t>项目站内有机废气产生及排放情况一览表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079"/>
              <w:gridCol w:w="1185"/>
              <w:gridCol w:w="1015"/>
              <w:gridCol w:w="2524"/>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4" w:type="pct"/>
                  <w:gridSpan w:val="2"/>
                  <w:noWrap w:val="0"/>
                  <w:vAlign w:val="center"/>
                </w:tcPr>
                <w:p>
                  <w:pPr>
                    <w:jc w:val="center"/>
                    <w:rPr>
                      <w:rFonts w:hint="eastAsia"/>
                    </w:rPr>
                  </w:pPr>
                  <w:r>
                    <w:rPr>
                      <w:rFonts w:hint="eastAsia"/>
                    </w:rPr>
                    <w:t>污染源名称</w:t>
                  </w:r>
                </w:p>
              </w:tc>
              <w:tc>
                <w:tcPr>
                  <w:tcW w:w="706" w:type="pct"/>
                  <w:noWrap w:val="0"/>
                  <w:vAlign w:val="center"/>
                </w:tcPr>
                <w:p>
                  <w:pPr>
                    <w:jc w:val="center"/>
                    <w:rPr>
                      <w:rFonts w:hint="eastAsia"/>
                    </w:rPr>
                  </w:pPr>
                  <w:r>
                    <w:rPr>
                      <w:rFonts w:hint="eastAsia"/>
                    </w:rPr>
                    <w:t>损耗率</w:t>
                  </w:r>
                </w:p>
              </w:tc>
              <w:tc>
                <w:tcPr>
                  <w:tcW w:w="605" w:type="pct"/>
                  <w:noWrap w:val="0"/>
                  <w:vAlign w:val="center"/>
                </w:tcPr>
                <w:p>
                  <w:pPr>
                    <w:jc w:val="center"/>
                    <w:rPr>
                      <w:rFonts w:hint="eastAsia"/>
                    </w:rPr>
                  </w:pPr>
                  <w:r>
                    <w:rPr>
                      <w:rFonts w:hint="eastAsia"/>
                    </w:rPr>
                    <w:t>产生量（</w:t>
                  </w:r>
                  <w:r>
                    <w:t>t/a</w:t>
                  </w:r>
                  <w:r>
                    <w:rPr>
                      <w:rFonts w:hint="eastAsia"/>
                    </w:rPr>
                    <w:t>）</w:t>
                  </w:r>
                </w:p>
              </w:tc>
              <w:tc>
                <w:tcPr>
                  <w:tcW w:w="1504" w:type="pct"/>
                  <w:noWrap w:val="0"/>
                  <w:vAlign w:val="center"/>
                </w:tcPr>
                <w:p>
                  <w:pPr>
                    <w:jc w:val="center"/>
                    <w:rPr>
                      <w:rFonts w:hint="eastAsia"/>
                    </w:rPr>
                  </w:pPr>
                  <w:r>
                    <w:rPr>
                      <w:rFonts w:hint="eastAsia"/>
                    </w:rPr>
                    <w:t>已采取的治理措施</w:t>
                  </w:r>
                </w:p>
              </w:tc>
              <w:tc>
                <w:tcPr>
                  <w:tcW w:w="701" w:type="pct"/>
                  <w:noWrap w:val="0"/>
                  <w:vAlign w:val="center"/>
                </w:tcPr>
                <w:p>
                  <w:pPr>
                    <w:jc w:val="center"/>
                    <w:rPr>
                      <w:rFonts w:hint="eastAsia"/>
                    </w:rPr>
                  </w:pPr>
                  <w:r>
                    <w:rPr>
                      <w:rFonts w:hint="eastAsia"/>
                    </w:rPr>
                    <w:t>排放量（t</w:t>
                  </w:r>
                  <w:r>
                    <w: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restart"/>
                  <w:noWrap w:val="0"/>
                  <w:vAlign w:val="center"/>
                </w:tcPr>
                <w:p>
                  <w:pPr>
                    <w:jc w:val="center"/>
                    <w:rPr>
                      <w:rFonts w:hint="eastAsia"/>
                    </w:rPr>
                  </w:pPr>
                  <w:r>
                    <w:rPr>
                      <w:rFonts w:hint="eastAsia"/>
                    </w:rPr>
                    <w:t>油罐车卸油</w:t>
                  </w:r>
                </w:p>
              </w:tc>
              <w:tc>
                <w:tcPr>
                  <w:tcW w:w="643" w:type="pct"/>
                  <w:noWrap w:val="0"/>
                  <w:vAlign w:val="center"/>
                </w:tcPr>
                <w:p>
                  <w:pPr>
                    <w:jc w:val="center"/>
                    <w:rPr>
                      <w:rFonts w:hint="eastAsia"/>
                    </w:rPr>
                  </w:pPr>
                  <w:r>
                    <w:rPr>
                      <w:rFonts w:hint="eastAsia"/>
                    </w:rPr>
                    <w:t>汽油</w:t>
                  </w:r>
                </w:p>
              </w:tc>
              <w:tc>
                <w:tcPr>
                  <w:tcW w:w="706" w:type="pct"/>
                  <w:noWrap w:val="0"/>
                  <w:vAlign w:val="center"/>
                </w:tcPr>
                <w:p>
                  <w:pPr>
                    <w:jc w:val="center"/>
                    <w:rPr>
                      <w:rFonts w:hint="eastAsia"/>
                    </w:rPr>
                  </w:pPr>
                  <w:r>
                    <w:rPr>
                      <w:rFonts w:hint="eastAsia"/>
                    </w:rPr>
                    <w:t>0.23%</w:t>
                  </w:r>
                </w:p>
              </w:tc>
              <w:tc>
                <w:tcPr>
                  <w:tcW w:w="605" w:type="pct"/>
                  <w:noWrap w:val="0"/>
                  <w:vAlign w:val="center"/>
                </w:tcPr>
                <w:p>
                  <w:pPr>
                    <w:widowControl/>
                    <w:jc w:val="center"/>
                    <w:rPr>
                      <w:rFonts w:eastAsia="等线"/>
                      <w:kern w:val="0"/>
                      <w:szCs w:val="21"/>
                    </w:rPr>
                  </w:pPr>
                  <w:r>
                    <w:rPr>
                      <w:rFonts w:eastAsia="等线"/>
                      <w:szCs w:val="21"/>
                    </w:rPr>
                    <w:t>3.7142</w:t>
                  </w:r>
                </w:p>
              </w:tc>
              <w:tc>
                <w:tcPr>
                  <w:tcW w:w="1504" w:type="pct"/>
                  <w:vMerge w:val="restart"/>
                  <w:noWrap w:val="0"/>
                  <w:vAlign w:val="center"/>
                </w:tcPr>
                <w:p>
                  <w:pPr>
                    <w:jc w:val="center"/>
                    <w:rPr>
                      <w:rFonts w:hint="eastAsia" w:eastAsia="等线"/>
                      <w:szCs w:val="21"/>
                    </w:rPr>
                  </w:pPr>
                  <w:r>
                    <w:rPr>
                      <w:rFonts w:eastAsia="等线"/>
                      <w:szCs w:val="21"/>
                    </w:rPr>
                    <w:t>设置油气回收系统</w:t>
                  </w:r>
                  <w:r>
                    <w:rPr>
                      <w:rFonts w:hint="eastAsia" w:eastAsia="等线"/>
                      <w:szCs w:val="21"/>
                    </w:rPr>
                    <w:t>（一次）(</w:t>
                  </w:r>
                  <w:r>
                    <w:rPr>
                      <w:rFonts w:eastAsia="等线"/>
                      <w:szCs w:val="21"/>
                    </w:rPr>
                    <w:t>油气回收率＞90%)</w:t>
                  </w:r>
                </w:p>
              </w:tc>
              <w:tc>
                <w:tcPr>
                  <w:tcW w:w="701" w:type="pct"/>
                  <w:noWrap w:val="0"/>
                  <w:vAlign w:val="center"/>
                </w:tcPr>
                <w:p>
                  <w:pPr>
                    <w:widowControl/>
                    <w:jc w:val="center"/>
                    <w:rPr>
                      <w:rFonts w:eastAsia="等线"/>
                      <w:kern w:val="0"/>
                      <w:szCs w:val="21"/>
                    </w:rPr>
                  </w:pPr>
                  <w:r>
                    <w:rPr>
                      <w:rFonts w:eastAsia="等线"/>
                      <w:szCs w:val="21"/>
                    </w:rPr>
                    <w:t>0.3714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noWrap w:val="0"/>
                  <w:vAlign w:val="center"/>
                </w:tcPr>
                <w:p>
                  <w:pPr>
                    <w:jc w:val="center"/>
                    <w:rPr>
                      <w:rFonts w:hint="eastAsia"/>
                    </w:rPr>
                  </w:pPr>
                </w:p>
              </w:tc>
              <w:tc>
                <w:tcPr>
                  <w:tcW w:w="643" w:type="pct"/>
                  <w:noWrap w:val="0"/>
                  <w:vAlign w:val="center"/>
                </w:tcPr>
                <w:p>
                  <w:pPr>
                    <w:jc w:val="center"/>
                    <w:rPr>
                      <w:rFonts w:hint="eastAsia"/>
                    </w:rPr>
                  </w:pPr>
                  <w:r>
                    <w:rPr>
                      <w:rFonts w:hint="eastAsia"/>
                    </w:rPr>
                    <w:t>柴油</w:t>
                  </w:r>
                </w:p>
              </w:tc>
              <w:tc>
                <w:tcPr>
                  <w:tcW w:w="706" w:type="pct"/>
                  <w:noWrap w:val="0"/>
                  <w:vAlign w:val="center"/>
                </w:tcPr>
                <w:p>
                  <w:pPr>
                    <w:jc w:val="center"/>
                    <w:rPr>
                      <w:rFonts w:hint="eastAsia"/>
                    </w:rPr>
                  </w:pPr>
                  <w:r>
                    <w:rPr>
                      <w:rFonts w:hint="eastAsia"/>
                    </w:rPr>
                    <w:t>0.05%</w:t>
                  </w:r>
                </w:p>
              </w:tc>
              <w:tc>
                <w:tcPr>
                  <w:tcW w:w="605" w:type="pct"/>
                  <w:noWrap w:val="0"/>
                  <w:vAlign w:val="center"/>
                </w:tcPr>
                <w:p>
                  <w:pPr>
                    <w:jc w:val="center"/>
                    <w:rPr>
                      <w:rFonts w:eastAsia="等线"/>
                      <w:szCs w:val="21"/>
                    </w:rPr>
                  </w:pPr>
                  <w:r>
                    <w:rPr>
                      <w:rFonts w:eastAsia="等线"/>
                      <w:szCs w:val="21"/>
                    </w:rPr>
                    <w:t>0.5738</w:t>
                  </w:r>
                </w:p>
              </w:tc>
              <w:tc>
                <w:tcPr>
                  <w:tcW w:w="1504" w:type="pct"/>
                  <w:vMerge w:val="continue"/>
                  <w:noWrap w:val="0"/>
                  <w:vAlign w:val="center"/>
                </w:tcPr>
                <w:p>
                  <w:pPr>
                    <w:jc w:val="center"/>
                    <w:rPr>
                      <w:rFonts w:hint="eastAsia" w:eastAsia="等线"/>
                      <w:szCs w:val="21"/>
                    </w:rPr>
                  </w:pPr>
                </w:p>
              </w:tc>
              <w:tc>
                <w:tcPr>
                  <w:tcW w:w="701" w:type="pct"/>
                  <w:noWrap w:val="0"/>
                  <w:vAlign w:val="center"/>
                </w:tcPr>
                <w:p>
                  <w:pPr>
                    <w:jc w:val="center"/>
                    <w:rPr>
                      <w:rFonts w:eastAsia="等线"/>
                      <w:szCs w:val="21"/>
                    </w:rPr>
                  </w:pPr>
                  <w:r>
                    <w:rPr>
                      <w:rFonts w:eastAsia="等线"/>
                      <w:szCs w:val="21"/>
                    </w:rPr>
                    <w:t>0.0574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restart"/>
                  <w:noWrap w:val="0"/>
                  <w:vAlign w:val="center"/>
                </w:tcPr>
                <w:p>
                  <w:pPr>
                    <w:jc w:val="center"/>
                    <w:rPr>
                      <w:rFonts w:hint="eastAsia"/>
                    </w:rPr>
                  </w:pPr>
                  <w:r>
                    <w:rPr>
                      <w:rFonts w:hint="eastAsia"/>
                    </w:rPr>
                    <w:t>卧式储罐储油</w:t>
                  </w:r>
                </w:p>
              </w:tc>
              <w:tc>
                <w:tcPr>
                  <w:tcW w:w="643" w:type="pct"/>
                  <w:noWrap w:val="0"/>
                  <w:vAlign w:val="center"/>
                </w:tcPr>
                <w:p>
                  <w:pPr>
                    <w:jc w:val="center"/>
                    <w:rPr>
                      <w:rFonts w:hint="eastAsia"/>
                    </w:rPr>
                  </w:pPr>
                  <w:r>
                    <w:rPr>
                      <w:rFonts w:hint="eastAsia"/>
                    </w:rPr>
                    <w:t>汽油</w:t>
                  </w:r>
                </w:p>
              </w:tc>
              <w:tc>
                <w:tcPr>
                  <w:tcW w:w="706" w:type="pct"/>
                  <w:vMerge w:val="restart"/>
                  <w:noWrap w:val="0"/>
                  <w:vAlign w:val="center"/>
                </w:tcPr>
                <w:p>
                  <w:pPr>
                    <w:jc w:val="center"/>
                    <w:rPr>
                      <w:rFonts w:hint="eastAsia"/>
                    </w:rPr>
                  </w:pPr>
                  <w:r>
                    <w:rPr>
                      <w:rFonts w:hint="eastAsia"/>
                    </w:rPr>
                    <w:t>0.01%</w:t>
                  </w:r>
                </w:p>
              </w:tc>
              <w:tc>
                <w:tcPr>
                  <w:tcW w:w="605" w:type="pct"/>
                  <w:noWrap w:val="0"/>
                  <w:vAlign w:val="center"/>
                </w:tcPr>
                <w:p>
                  <w:pPr>
                    <w:jc w:val="center"/>
                    <w:rPr>
                      <w:rFonts w:eastAsia="等线"/>
                      <w:szCs w:val="21"/>
                    </w:rPr>
                  </w:pPr>
                  <w:r>
                    <w:rPr>
                      <w:rFonts w:eastAsia="等线"/>
                      <w:szCs w:val="21"/>
                    </w:rPr>
                    <w:t>0.1615</w:t>
                  </w:r>
                </w:p>
              </w:tc>
              <w:tc>
                <w:tcPr>
                  <w:tcW w:w="1504" w:type="pct"/>
                  <w:vMerge w:val="restart"/>
                  <w:noWrap w:val="0"/>
                  <w:vAlign w:val="center"/>
                </w:tcPr>
                <w:p>
                  <w:pPr>
                    <w:jc w:val="center"/>
                    <w:rPr>
                      <w:rFonts w:hint="eastAsia" w:eastAsia="等线"/>
                      <w:szCs w:val="21"/>
                    </w:rPr>
                  </w:pPr>
                  <w:r>
                    <w:rPr>
                      <w:rFonts w:eastAsia="等线"/>
                      <w:szCs w:val="21"/>
                    </w:rPr>
                    <w:t>设置油气回收系统</w:t>
                  </w:r>
                  <w:r>
                    <w:rPr>
                      <w:rFonts w:hint="eastAsia" w:eastAsia="等线"/>
                      <w:szCs w:val="21"/>
                    </w:rPr>
                    <w:t>（三次）</w:t>
                  </w:r>
                  <w:r>
                    <w:rPr>
                      <w:rFonts w:eastAsia="等线"/>
                      <w:szCs w:val="21"/>
                    </w:rPr>
                    <w:t>(油气回收率＞90%)</w:t>
                  </w:r>
                  <w:r>
                    <w:rPr>
                      <w:rFonts w:hint="eastAsia" w:eastAsia="等线"/>
                      <w:szCs w:val="21"/>
                    </w:rPr>
                    <w:t>，处理后通过不低于4m高排气</w:t>
                  </w:r>
                  <w:r>
                    <w:rPr>
                      <w:rFonts w:eastAsia="等线"/>
                      <w:szCs w:val="21"/>
                    </w:rPr>
                    <w:t>管无组织排放</w:t>
                  </w:r>
                </w:p>
              </w:tc>
              <w:tc>
                <w:tcPr>
                  <w:tcW w:w="701" w:type="pct"/>
                  <w:noWrap w:val="0"/>
                  <w:vAlign w:val="center"/>
                </w:tcPr>
                <w:p>
                  <w:pPr>
                    <w:jc w:val="center"/>
                    <w:rPr>
                      <w:rFonts w:eastAsia="等线"/>
                      <w:szCs w:val="21"/>
                    </w:rPr>
                  </w:pPr>
                  <w:r>
                    <w:rPr>
                      <w:rFonts w:hint="eastAsia" w:eastAsia="等线"/>
                      <w:szCs w:val="21"/>
                    </w:rPr>
                    <w:t>0.0162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noWrap w:val="0"/>
                  <w:vAlign w:val="center"/>
                </w:tcPr>
                <w:p>
                  <w:pPr>
                    <w:jc w:val="center"/>
                    <w:rPr>
                      <w:rFonts w:hint="eastAsia"/>
                    </w:rPr>
                  </w:pPr>
                </w:p>
              </w:tc>
              <w:tc>
                <w:tcPr>
                  <w:tcW w:w="643" w:type="pct"/>
                  <w:noWrap w:val="0"/>
                  <w:vAlign w:val="center"/>
                </w:tcPr>
                <w:p>
                  <w:pPr>
                    <w:jc w:val="center"/>
                    <w:rPr>
                      <w:rFonts w:hint="eastAsia"/>
                    </w:rPr>
                  </w:pPr>
                  <w:r>
                    <w:rPr>
                      <w:rFonts w:hint="eastAsia"/>
                    </w:rPr>
                    <w:t>柴油</w:t>
                  </w:r>
                </w:p>
              </w:tc>
              <w:tc>
                <w:tcPr>
                  <w:tcW w:w="706" w:type="pct"/>
                  <w:vMerge w:val="continue"/>
                  <w:noWrap w:val="0"/>
                  <w:vAlign w:val="center"/>
                </w:tcPr>
                <w:p>
                  <w:pPr>
                    <w:jc w:val="center"/>
                    <w:rPr>
                      <w:rFonts w:hint="eastAsia"/>
                    </w:rPr>
                  </w:pPr>
                </w:p>
              </w:tc>
              <w:tc>
                <w:tcPr>
                  <w:tcW w:w="605" w:type="pct"/>
                  <w:noWrap w:val="0"/>
                  <w:vAlign w:val="center"/>
                </w:tcPr>
                <w:p>
                  <w:pPr>
                    <w:jc w:val="center"/>
                    <w:rPr>
                      <w:rFonts w:eastAsia="等线"/>
                      <w:szCs w:val="21"/>
                    </w:rPr>
                  </w:pPr>
                  <w:r>
                    <w:rPr>
                      <w:rFonts w:eastAsia="等线"/>
                      <w:szCs w:val="21"/>
                    </w:rPr>
                    <w:t>0.1148</w:t>
                  </w:r>
                </w:p>
              </w:tc>
              <w:tc>
                <w:tcPr>
                  <w:tcW w:w="1504" w:type="pct"/>
                  <w:vMerge w:val="continue"/>
                  <w:noWrap w:val="0"/>
                  <w:vAlign w:val="center"/>
                </w:tcPr>
                <w:p>
                  <w:pPr>
                    <w:jc w:val="center"/>
                    <w:rPr>
                      <w:rFonts w:hint="eastAsia" w:eastAsia="等线"/>
                      <w:szCs w:val="21"/>
                    </w:rPr>
                  </w:pPr>
                </w:p>
              </w:tc>
              <w:tc>
                <w:tcPr>
                  <w:tcW w:w="701" w:type="pct"/>
                  <w:noWrap w:val="0"/>
                  <w:vAlign w:val="center"/>
                </w:tcPr>
                <w:p>
                  <w:pPr>
                    <w:jc w:val="center"/>
                    <w:rPr>
                      <w:rFonts w:eastAsia="等线"/>
                      <w:szCs w:val="21"/>
                    </w:rPr>
                  </w:pPr>
                  <w:r>
                    <w:rPr>
                      <w:rFonts w:hint="eastAsia" w:eastAsia="等线"/>
                      <w:szCs w:val="21"/>
                    </w:rPr>
                    <w:t>0.0115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restart"/>
                  <w:noWrap w:val="0"/>
                  <w:vAlign w:val="center"/>
                </w:tcPr>
                <w:p>
                  <w:pPr>
                    <w:jc w:val="center"/>
                    <w:rPr>
                      <w:rFonts w:hint="eastAsia"/>
                    </w:rPr>
                  </w:pPr>
                  <w:r>
                    <w:rPr>
                      <w:rFonts w:hint="eastAsia"/>
                    </w:rPr>
                    <w:t>加油机加油</w:t>
                  </w:r>
                </w:p>
              </w:tc>
              <w:tc>
                <w:tcPr>
                  <w:tcW w:w="643" w:type="pct"/>
                  <w:noWrap w:val="0"/>
                  <w:vAlign w:val="center"/>
                </w:tcPr>
                <w:p>
                  <w:pPr>
                    <w:jc w:val="center"/>
                    <w:rPr>
                      <w:rFonts w:hint="eastAsia"/>
                    </w:rPr>
                  </w:pPr>
                  <w:r>
                    <w:rPr>
                      <w:rFonts w:hint="eastAsia"/>
                    </w:rPr>
                    <w:t>汽油</w:t>
                  </w:r>
                </w:p>
              </w:tc>
              <w:tc>
                <w:tcPr>
                  <w:tcW w:w="706" w:type="pct"/>
                  <w:noWrap w:val="0"/>
                  <w:vAlign w:val="center"/>
                </w:tcPr>
                <w:p>
                  <w:pPr>
                    <w:jc w:val="center"/>
                    <w:rPr>
                      <w:rFonts w:hint="eastAsia"/>
                    </w:rPr>
                  </w:pPr>
                  <w:r>
                    <w:rPr>
                      <w:rFonts w:hint="eastAsia"/>
                    </w:rPr>
                    <w:t>0.29%</w:t>
                  </w:r>
                </w:p>
              </w:tc>
              <w:tc>
                <w:tcPr>
                  <w:tcW w:w="605" w:type="pct"/>
                  <w:noWrap w:val="0"/>
                  <w:vAlign w:val="center"/>
                </w:tcPr>
                <w:p>
                  <w:pPr>
                    <w:jc w:val="center"/>
                    <w:rPr>
                      <w:rFonts w:eastAsia="等线"/>
                      <w:szCs w:val="21"/>
                    </w:rPr>
                  </w:pPr>
                  <w:r>
                    <w:rPr>
                      <w:rFonts w:eastAsia="等线"/>
                      <w:szCs w:val="21"/>
                    </w:rPr>
                    <w:t>4.6831</w:t>
                  </w:r>
                </w:p>
              </w:tc>
              <w:tc>
                <w:tcPr>
                  <w:tcW w:w="1504" w:type="pct"/>
                  <w:vMerge w:val="restart"/>
                  <w:noWrap w:val="0"/>
                  <w:vAlign w:val="center"/>
                </w:tcPr>
                <w:p>
                  <w:pPr>
                    <w:jc w:val="center"/>
                    <w:rPr>
                      <w:rFonts w:hint="eastAsia" w:eastAsia="等线"/>
                      <w:szCs w:val="21"/>
                    </w:rPr>
                  </w:pPr>
                  <w:r>
                    <w:rPr>
                      <w:rFonts w:eastAsia="等线"/>
                      <w:szCs w:val="21"/>
                    </w:rPr>
                    <w:t>设置油气回收系统</w:t>
                  </w:r>
                  <w:r>
                    <w:rPr>
                      <w:rFonts w:hint="eastAsia" w:eastAsia="等线"/>
                      <w:szCs w:val="21"/>
                    </w:rPr>
                    <w:t>（二次）</w:t>
                  </w:r>
                  <w:r>
                    <w:rPr>
                      <w:rFonts w:eastAsia="等线"/>
                      <w:szCs w:val="21"/>
                    </w:rPr>
                    <w:t xml:space="preserve"> (油气回收率＞90%)</w:t>
                  </w:r>
                </w:p>
              </w:tc>
              <w:tc>
                <w:tcPr>
                  <w:tcW w:w="701" w:type="pct"/>
                  <w:noWrap w:val="0"/>
                  <w:vAlign w:val="center"/>
                </w:tcPr>
                <w:p>
                  <w:pPr>
                    <w:jc w:val="center"/>
                    <w:rPr>
                      <w:rFonts w:eastAsia="等线"/>
                      <w:szCs w:val="21"/>
                    </w:rPr>
                  </w:pPr>
                  <w:r>
                    <w:rPr>
                      <w:rFonts w:eastAsia="等线"/>
                      <w:szCs w:val="21"/>
                    </w:rPr>
                    <w:t>0.4683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1" w:type="pct"/>
                  <w:vMerge w:val="continue"/>
                  <w:noWrap w:val="0"/>
                  <w:vAlign w:val="center"/>
                </w:tcPr>
                <w:p>
                  <w:pPr>
                    <w:jc w:val="center"/>
                    <w:rPr>
                      <w:rFonts w:hint="eastAsia"/>
                    </w:rPr>
                  </w:pPr>
                </w:p>
              </w:tc>
              <w:tc>
                <w:tcPr>
                  <w:tcW w:w="643" w:type="pct"/>
                  <w:noWrap w:val="0"/>
                  <w:vAlign w:val="center"/>
                </w:tcPr>
                <w:p>
                  <w:pPr>
                    <w:jc w:val="center"/>
                    <w:rPr>
                      <w:rFonts w:hint="eastAsia"/>
                    </w:rPr>
                  </w:pPr>
                  <w:r>
                    <w:rPr>
                      <w:rFonts w:hint="eastAsia"/>
                    </w:rPr>
                    <w:t>柴油</w:t>
                  </w:r>
                </w:p>
              </w:tc>
              <w:tc>
                <w:tcPr>
                  <w:tcW w:w="706" w:type="pct"/>
                  <w:noWrap w:val="0"/>
                  <w:vAlign w:val="center"/>
                </w:tcPr>
                <w:p>
                  <w:pPr>
                    <w:jc w:val="center"/>
                    <w:rPr>
                      <w:rFonts w:hint="eastAsia"/>
                    </w:rPr>
                  </w:pPr>
                  <w:r>
                    <w:rPr>
                      <w:rFonts w:hint="eastAsia"/>
                    </w:rPr>
                    <w:t>0.08%</w:t>
                  </w:r>
                </w:p>
              </w:tc>
              <w:tc>
                <w:tcPr>
                  <w:tcW w:w="605" w:type="pct"/>
                  <w:noWrap w:val="0"/>
                  <w:vAlign w:val="center"/>
                </w:tcPr>
                <w:p>
                  <w:pPr>
                    <w:jc w:val="center"/>
                    <w:rPr>
                      <w:rFonts w:eastAsia="等线"/>
                      <w:szCs w:val="21"/>
                    </w:rPr>
                  </w:pPr>
                  <w:r>
                    <w:rPr>
                      <w:rFonts w:eastAsia="等线"/>
                      <w:szCs w:val="21"/>
                    </w:rPr>
                    <w:t>0.9180</w:t>
                  </w:r>
                </w:p>
              </w:tc>
              <w:tc>
                <w:tcPr>
                  <w:tcW w:w="1504" w:type="pct"/>
                  <w:vMerge w:val="continue"/>
                  <w:noWrap w:val="0"/>
                  <w:vAlign w:val="center"/>
                </w:tcPr>
                <w:p>
                  <w:pPr>
                    <w:jc w:val="center"/>
                    <w:rPr>
                      <w:rFonts w:hint="eastAsia"/>
                    </w:rPr>
                  </w:pPr>
                </w:p>
              </w:tc>
              <w:tc>
                <w:tcPr>
                  <w:tcW w:w="701" w:type="pct"/>
                  <w:noWrap w:val="0"/>
                  <w:vAlign w:val="center"/>
                </w:tcPr>
                <w:p>
                  <w:pPr>
                    <w:jc w:val="center"/>
                    <w:rPr>
                      <w:rFonts w:eastAsia="等线"/>
                      <w:szCs w:val="21"/>
                    </w:rPr>
                  </w:pPr>
                  <w:r>
                    <w:rPr>
                      <w:rFonts w:eastAsia="等线"/>
                      <w:szCs w:val="21"/>
                    </w:rPr>
                    <w:t>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4" w:type="pct"/>
                  <w:gridSpan w:val="2"/>
                  <w:noWrap w:val="0"/>
                  <w:vAlign w:val="center"/>
                </w:tcPr>
                <w:p>
                  <w:pPr>
                    <w:jc w:val="center"/>
                    <w:rPr>
                      <w:rFonts w:hint="eastAsia"/>
                    </w:rPr>
                  </w:pPr>
                  <w:r>
                    <w:rPr>
                      <w:rFonts w:hint="eastAsia"/>
                    </w:rPr>
                    <w:t>合计</w:t>
                  </w:r>
                </w:p>
              </w:tc>
              <w:tc>
                <w:tcPr>
                  <w:tcW w:w="706" w:type="pct"/>
                  <w:noWrap w:val="0"/>
                  <w:vAlign w:val="center"/>
                </w:tcPr>
                <w:p>
                  <w:pPr>
                    <w:jc w:val="center"/>
                    <w:rPr>
                      <w:rFonts w:hint="eastAsia"/>
                    </w:rPr>
                  </w:pPr>
                  <w:r>
                    <w:rPr>
                      <w:rFonts w:hint="eastAsia"/>
                    </w:rPr>
                    <w:t>/</w:t>
                  </w:r>
                </w:p>
              </w:tc>
              <w:tc>
                <w:tcPr>
                  <w:tcW w:w="605" w:type="pct"/>
                  <w:noWrap w:val="0"/>
                  <w:vAlign w:val="center"/>
                </w:tcPr>
                <w:p>
                  <w:pPr>
                    <w:jc w:val="center"/>
                    <w:rPr>
                      <w:rFonts w:eastAsia="等线"/>
                      <w:szCs w:val="21"/>
                    </w:rPr>
                  </w:pPr>
                  <w:r>
                    <w:rPr>
                      <w:rFonts w:hint="eastAsia" w:eastAsia="等线"/>
                      <w:szCs w:val="21"/>
                    </w:rPr>
                    <w:t>10.1653</w:t>
                  </w:r>
                </w:p>
              </w:tc>
              <w:tc>
                <w:tcPr>
                  <w:tcW w:w="1504" w:type="pct"/>
                  <w:noWrap w:val="0"/>
                  <w:vAlign w:val="center"/>
                </w:tcPr>
                <w:p>
                  <w:pPr>
                    <w:jc w:val="center"/>
                    <w:rPr>
                      <w:rFonts w:hint="eastAsia"/>
                    </w:rPr>
                  </w:pPr>
                </w:p>
              </w:tc>
              <w:tc>
                <w:tcPr>
                  <w:tcW w:w="701" w:type="pct"/>
                  <w:noWrap w:val="0"/>
                  <w:vAlign w:val="center"/>
                </w:tcPr>
                <w:p>
                  <w:pPr>
                    <w:jc w:val="center"/>
                    <w:rPr>
                      <w:rFonts w:eastAsia="等线"/>
                      <w:szCs w:val="21"/>
                    </w:rPr>
                  </w:pPr>
                  <w:r>
                    <w:rPr>
                      <w:rFonts w:hint="eastAsia" w:eastAsia="等线"/>
                      <w:szCs w:val="21"/>
                    </w:rPr>
                    <w:t>1.</w:t>
                  </w:r>
                  <w:r>
                    <w:rPr>
                      <w:rFonts w:eastAsia="等线"/>
                      <w:szCs w:val="21"/>
                    </w:rPr>
                    <w:t>0166</w:t>
                  </w:r>
                </w:p>
              </w:tc>
            </w:tr>
          </w:tbl>
          <w:p>
            <w:pPr>
              <w:widowControl/>
              <w:numPr>
                <w:ilvl w:val="0"/>
                <w:numId w:val="9"/>
              </w:numPr>
              <w:spacing w:line="360" w:lineRule="auto"/>
              <w:jc w:val="left"/>
              <w:rPr>
                <w:b/>
                <w:bCs/>
                <w:kern w:val="0"/>
                <w:sz w:val="24"/>
                <w:lang w:bidi="ar"/>
              </w:rPr>
            </w:pPr>
            <w:r>
              <w:rPr>
                <w:b/>
                <w:bCs/>
                <w:kern w:val="0"/>
                <w:sz w:val="24"/>
                <w:lang w:bidi="ar"/>
              </w:rPr>
              <w:t>拟采取的防治措施及达标排放情况</w:t>
            </w:r>
          </w:p>
          <w:p>
            <w:pPr>
              <w:widowControl/>
              <w:spacing w:line="360" w:lineRule="auto"/>
              <w:ind w:firstLine="480" w:firstLineChars="200"/>
              <w:jc w:val="left"/>
              <w:rPr>
                <w:kern w:val="0"/>
                <w:sz w:val="24"/>
                <w:lang w:bidi="ar"/>
              </w:rPr>
            </w:pPr>
            <w:r>
              <w:rPr>
                <w:kern w:val="0"/>
                <w:sz w:val="24"/>
                <w:lang w:bidi="ar"/>
              </w:rPr>
              <w:t>本项目拟设置密闭油气回收系统</w:t>
            </w:r>
            <w:r>
              <w:rPr>
                <w:rFonts w:hint="eastAsia"/>
                <w:kern w:val="0"/>
                <w:sz w:val="24"/>
                <w:lang w:bidi="ar"/>
              </w:rPr>
              <w:t>（</w:t>
            </w:r>
            <w:r>
              <w:rPr>
                <w:kern w:val="0"/>
                <w:sz w:val="24"/>
                <w:lang w:bidi="ar"/>
              </w:rPr>
              <w:t>一、二</w:t>
            </w:r>
            <w:r>
              <w:rPr>
                <w:rFonts w:hint="eastAsia"/>
                <w:kern w:val="0"/>
                <w:sz w:val="24"/>
                <w:lang w:bidi="ar"/>
              </w:rPr>
              <w:t>、三</w:t>
            </w:r>
            <w:r>
              <w:rPr>
                <w:kern w:val="0"/>
                <w:sz w:val="24"/>
                <w:lang w:bidi="ar"/>
              </w:rPr>
              <w:t>次油气回收系统</w:t>
            </w:r>
            <w:r>
              <w:rPr>
                <w:rFonts w:hint="eastAsia"/>
                <w:kern w:val="0"/>
                <w:sz w:val="24"/>
                <w:lang w:bidi="ar"/>
              </w:rPr>
              <w:t>）</w:t>
            </w:r>
            <w:r>
              <w:rPr>
                <w:kern w:val="0"/>
                <w:sz w:val="24"/>
                <w:lang w:bidi="ar"/>
              </w:rPr>
              <w:t>对加油加气站卸油、储油和加油时挥发的有机废气进行回收。每次油气回收气液比均可以达到一比一的交换，即为平衡式回收。</w:t>
            </w:r>
          </w:p>
          <w:p>
            <w:pPr>
              <w:widowControl/>
              <w:spacing w:line="360" w:lineRule="auto"/>
              <w:ind w:firstLine="480" w:firstLineChars="200"/>
              <w:jc w:val="left"/>
              <w:rPr>
                <w:kern w:val="0"/>
                <w:sz w:val="24"/>
                <w:lang w:bidi="ar"/>
              </w:rPr>
            </w:pPr>
            <w:r>
              <w:rPr>
                <w:kern w:val="0"/>
                <w:sz w:val="24"/>
                <w:lang w:bidi="ar"/>
              </w:rPr>
              <w:t>结合《四川省加油站大气污染物排放标准》（DB51/2865-2021）的相关要求，项目有机废气防治拟采取以下措施：</w:t>
            </w:r>
          </w:p>
          <w:p>
            <w:pPr>
              <w:widowControl/>
              <w:spacing w:line="360" w:lineRule="auto"/>
              <w:ind w:firstLine="482" w:firstLineChars="200"/>
              <w:jc w:val="left"/>
              <w:rPr>
                <w:b/>
                <w:bCs/>
                <w:kern w:val="0"/>
                <w:sz w:val="24"/>
                <w:lang w:bidi="ar"/>
              </w:rPr>
            </w:pPr>
            <w:r>
              <w:rPr>
                <w:b/>
                <w:bCs/>
                <w:kern w:val="0"/>
                <w:sz w:val="24"/>
                <w:lang w:bidi="ar"/>
              </w:rPr>
              <w:t>卸油油气排放控制：</w:t>
            </w:r>
          </w:p>
          <w:p>
            <w:pPr>
              <w:widowControl/>
              <w:spacing w:line="360" w:lineRule="auto"/>
              <w:ind w:firstLine="480" w:firstLineChars="200"/>
              <w:jc w:val="left"/>
              <w:rPr>
                <w:kern w:val="0"/>
                <w:sz w:val="24"/>
                <w:lang w:bidi="ar"/>
              </w:rPr>
            </w:pPr>
            <w:r>
              <w:rPr>
                <w:kern w:val="0"/>
                <w:sz w:val="24"/>
                <w:lang w:bidi="ar"/>
              </w:rPr>
              <w:t>1）采用浸没式卸油方式，卸油管出油口距罐底高度小于200mm。</w:t>
            </w:r>
          </w:p>
          <w:p>
            <w:pPr>
              <w:widowControl/>
              <w:spacing w:line="360" w:lineRule="auto"/>
              <w:ind w:firstLine="480" w:firstLineChars="200"/>
              <w:jc w:val="left"/>
              <w:rPr>
                <w:kern w:val="0"/>
                <w:sz w:val="24"/>
                <w:lang w:bidi="ar"/>
              </w:rPr>
            </w:pPr>
            <w:r>
              <w:rPr>
                <w:kern w:val="0"/>
                <w:sz w:val="24"/>
                <w:lang w:bidi="ar"/>
              </w:rPr>
              <w:t>2）卸油和油气回收接口安装DN100的截流阀、密封式快速接头和帽盖。</w:t>
            </w:r>
          </w:p>
          <w:p>
            <w:pPr>
              <w:widowControl/>
              <w:spacing w:line="360" w:lineRule="auto"/>
              <w:ind w:firstLine="480" w:firstLineChars="200"/>
              <w:jc w:val="left"/>
              <w:rPr>
                <w:kern w:val="0"/>
                <w:sz w:val="24"/>
                <w:lang w:bidi="ar"/>
              </w:rPr>
            </w:pPr>
            <w:r>
              <w:rPr>
                <w:kern w:val="0"/>
                <w:sz w:val="24"/>
                <w:lang w:bidi="ar"/>
              </w:rPr>
              <w:t>3）连接软管应采用DN100的密封式快速接头与卸油车连接。</w:t>
            </w:r>
          </w:p>
          <w:p>
            <w:pPr>
              <w:widowControl/>
              <w:spacing w:line="360" w:lineRule="auto"/>
              <w:ind w:firstLine="480" w:firstLineChars="200"/>
              <w:jc w:val="left"/>
              <w:rPr>
                <w:kern w:val="0"/>
                <w:sz w:val="24"/>
                <w:lang w:bidi="ar"/>
              </w:rPr>
            </w:pPr>
            <w:r>
              <w:rPr>
                <w:kern w:val="0"/>
                <w:sz w:val="24"/>
                <w:lang w:bidi="ar"/>
              </w:rPr>
              <w:t>4）所有油气管线排放口按GB 50156的要求设置压力/真空阀。</w:t>
            </w:r>
          </w:p>
          <w:p>
            <w:pPr>
              <w:widowControl/>
              <w:spacing w:line="360" w:lineRule="auto"/>
              <w:ind w:firstLine="480" w:firstLineChars="200"/>
              <w:jc w:val="left"/>
              <w:rPr>
                <w:kern w:val="0"/>
                <w:sz w:val="24"/>
                <w:lang w:bidi="ar"/>
              </w:rPr>
            </w:pPr>
            <w:r>
              <w:rPr>
                <w:kern w:val="0"/>
                <w:sz w:val="24"/>
                <w:lang w:bidi="ar"/>
              </w:rPr>
              <w:t>5）连接排气管的地下管线坡向油罐，坡度大于1% ，管线直径大于DN50。</w:t>
            </w:r>
          </w:p>
          <w:p>
            <w:pPr>
              <w:widowControl/>
              <w:spacing w:line="360" w:lineRule="auto"/>
              <w:ind w:firstLine="480" w:firstLineChars="200"/>
              <w:jc w:val="left"/>
              <w:rPr>
                <w:kern w:val="0"/>
                <w:sz w:val="24"/>
                <w:lang w:bidi="ar"/>
              </w:rPr>
            </w:pPr>
            <w:r>
              <w:rPr>
                <w:kern w:val="0"/>
                <w:sz w:val="24"/>
                <w:lang w:bidi="ar"/>
              </w:rPr>
              <w:t>6）卸油时应保证卸油油气回收系统密闭。卸油前卸油软管和油气回收软管应与油品运输汽车罐车和埋地油罐紧密连接，然后开启油气回收管路阀门，再开启卸油管路阀门进行卸油作业。</w:t>
            </w:r>
          </w:p>
          <w:p>
            <w:pPr>
              <w:widowControl/>
              <w:spacing w:line="360" w:lineRule="auto"/>
              <w:ind w:firstLine="480" w:firstLineChars="200"/>
              <w:jc w:val="left"/>
              <w:rPr>
                <w:kern w:val="0"/>
                <w:sz w:val="24"/>
                <w:lang w:bidi="ar"/>
              </w:rPr>
            </w:pPr>
            <w:r>
              <w:rPr>
                <w:kern w:val="0"/>
                <w:sz w:val="24"/>
                <w:lang w:bidi="ar"/>
              </w:rPr>
              <w:t>7）卸油后应先关闭与卸油软管及油气回收软管相关的阀门，再断开卸油软管和油气回收软管。</w:t>
            </w:r>
          </w:p>
          <w:p>
            <w:pPr>
              <w:widowControl/>
              <w:spacing w:line="360" w:lineRule="auto"/>
              <w:ind w:firstLine="482" w:firstLineChars="200"/>
              <w:jc w:val="left"/>
              <w:rPr>
                <w:b/>
                <w:bCs/>
                <w:kern w:val="0"/>
                <w:sz w:val="24"/>
                <w:lang w:bidi="ar"/>
              </w:rPr>
            </w:pPr>
            <w:r>
              <w:rPr>
                <w:b/>
                <w:bCs/>
                <w:kern w:val="0"/>
                <w:sz w:val="24"/>
                <w:lang w:bidi="ar"/>
              </w:rPr>
              <w:t>储油油气排放控制：</w:t>
            </w:r>
          </w:p>
          <w:p>
            <w:pPr>
              <w:widowControl/>
              <w:spacing w:line="360" w:lineRule="auto"/>
              <w:ind w:firstLine="480" w:firstLineChars="200"/>
              <w:jc w:val="left"/>
              <w:rPr>
                <w:kern w:val="0"/>
                <w:sz w:val="24"/>
                <w:lang w:bidi="ar"/>
              </w:rPr>
            </w:pPr>
            <w:r>
              <w:rPr>
                <w:kern w:val="0"/>
                <w:sz w:val="24"/>
                <w:lang w:bidi="ar"/>
              </w:rPr>
              <w:t>1）所有影响储油油气密闭性的部件，包括油气管线和所连接的法兰、阀门、快接头以及其他相关部件在正常工作状况下应保持密闭，油气泄露浓度满足油气回收系统密闭点位限值要求。</w:t>
            </w:r>
          </w:p>
          <w:p>
            <w:pPr>
              <w:widowControl/>
              <w:spacing w:line="360" w:lineRule="auto"/>
              <w:ind w:firstLine="480" w:firstLineChars="200"/>
              <w:jc w:val="left"/>
              <w:rPr>
                <w:kern w:val="0"/>
                <w:sz w:val="24"/>
                <w:lang w:bidi="ar"/>
              </w:rPr>
            </w:pPr>
            <w:r>
              <w:rPr>
                <w:kern w:val="0"/>
                <w:sz w:val="24"/>
                <w:lang w:bidi="ar"/>
              </w:rPr>
              <w:t>2）埋地油罐采用电子式液位计进行汽油密闭测量。</w:t>
            </w:r>
          </w:p>
          <w:p>
            <w:pPr>
              <w:widowControl/>
              <w:spacing w:line="360" w:lineRule="auto"/>
              <w:ind w:firstLine="480" w:firstLineChars="200"/>
              <w:jc w:val="left"/>
              <w:rPr>
                <w:kern w:val="0"/>
                <w:sz w:val="24"/>
                <w:lang w:bidi="ar"/>
              </w:rPr>
            </w:pPr>
            <w:r>
              <w:rPr>
                <w:kern w:val="0"/>
                <w:sz w:val="24"/>
                <w:lang w:bidi="ar"/>
              </w:rPr>
              <w:t>3）采用符合相关规定的溢油控制措施。</w:t>
            </w:r>
          </w:p>
          <w:p>
            <w:pPr>
              <w:widowControl/>
              <w:spacing w:line="360" w:lineRule="auto"/>
              <w:ind w:firstLine="482" w:firstLineChars="200"/>
              <w:jc w:val="left"/>
              <w:rPr>
                <w:b/>
                <w:bCs/>
                <w:kern w:val="0"/>
                <w:sz w:val="24"/>
                <w:lang w:bidi="ar"/>
              </w:rPr>
            </w:pPr>
            <w:r>
              <w:rPr>
                <w:b/>
                <w:bCs/>
                <w:kern w:val="0"/>
                <w:sz w:val="24"/>
                <w:lang w:bidi="ar"/>
              </w:rPr>
              <w:t>加油油气排放控制：</w:t>
            </w:r>
          </w:p>
          <w:p>
            <w:pPr>
              <w:widowControl/>
              <w:spacing w:line="360" w:lineRule="auto"/>
              <w:ind w:firstLine="480" w:firstLineChars="200"/>
              <w:jc w:val="left"/>
              <w:rPr>
                <w:kern w:val="0"/>
                <w:sz w:val="24"/>
                <w:lang w:bidi="ar"/>
              </w:rPr>
            </w:pPr>
            <w:r>
              <w:rPr>
                <w:kern w:val="0"/>
                <w:sz w:val="24"/>
                <w:lang w:bidi="ar"/>
              </w:rPr>
              <w:t>1）加油产生的油气采用真空辅助方式密闭收集 (二次油气回收系统)。</w:t>
            </w:r>
          </w:p>
          <w:p>
            <w:pPr>
              <w:widowControl/>
              <w:spacing w:line="360" w:lineRule="auto"/>
              <w:ind w:firstLine="480" w:firstLineChars="200"/>
              <w:jc w:val="left"/>
              <w:rPr>
                <w:kern w:val="0"/>
                <w:sz w:val="24"/>
                <w:lang w:bidi="ar"/>
              </w:rPr>
            </w:pPr>
            <w:r>
              <w:rPr>
                <w:kern w:val="0"/>
                <w:sz w:val="24"/>
                <w:lang w:bidi="ar"/>
              </w:rPr>
              <w:t>2） 油气回收管线应坡向油罐，坡度不应小于1%。</w:t>
            </w:r>
          </w:p>
          <w:p>
            <w:pPr>
              <w:widowControl/>
              <w:spacing w:line="360" w:lineRule="auto"/>
              <w:ind w:firstLine="480" w:firstLineChars="200"/>
              <w:jc w:val="left"/>
              <w:rPr>
                <w:rFonts w:hint="eastAsia"/>
                <w:kern w:val="0"/>
                <w:sz w:val="24"/>
                <w:lang w:bidi="ar"/>
              </w:rPr>
            </w:pPr>
            <w:r>
              <w:rPr>
                <w:kern w:val="0"/>
                <w:sz w:val="24"/>
                <w:lang w:bidi="ar"/>
              </w:rPr>
              <w:t>3）加油软管配备拉断截止阀，加油时防止溢油和滴油。</w:t>
            </w:r>
          </w:p>
          <w:p>
            <w:pPr>
              <w:widowControl/>
              <w:spacing w:line="360" w:lineRule="auto"/>
              <w:ind w:firstLine="482" w:firstLineChars="200"/>
              <w:jc w:val="left"/>
              <w:rPr>
                <w:rFonts w:hint="eastAsia"/>
                <w:b/>
                <w:bCs/>
                <w:kern w:val="0"/>
                <w:sz w:val="24"/>
                <w:lang w:bidi="ar"/>
              </w:rPr>
            </w:pPr>
            <w:r>
              <w:rPr>
                <w:b/>
                <w:bCs/>
                <w:kern w:val="0"/>
                <w:sz w:val="24"/>
                <w:lang w:bidi="ar"/>
              </w:rPr>
              <w:t>油气处理装置</w:t>
            </w:r>
            <w:r>
              <w:rPr>
                <w:rFonts w:hint="eastAsia"/>
                <w:b/>
                <w:bCs/>
                <w:kern w:val="0"/>
                <w:sz w:val="24"/>
                <w:lang w:bidi="ar"/>
              </w:rPr>
              <w:t>控制：</w:t>
            </w:r>
          </w:p>
          <w:p>
            <w:pPr>
              <w:widowControl/>
              <w:spacing w:line="360" w:lineRule="auto"/>
              <w:ind w:firstLine="480" w:firstLineChars="200"/>
              <w:jc w:val="left"/>
              <w:rPr>
                <w:kern w:val="0"/>
                <w:sz w:val="24"/>
                <w:lang w:bidi="ar"/>
              </w:rPr>
            </w:pPr>
            <w:r>
              <w:rPr>
                <w:rFonts w:hint="eastAsia"/>
                <w:kern w:val="0"/>
                <w:sz w:val="24"/>
                <w:lang w:bidi="ar"/>
              </w:rPr>
              <w:t>1）</w:t>
            </w:r>
            <w:r>
              <w:rPr>
                <w:kern w:val="0"/>
                <w:sz w:val="24"/>
                <w:lang w:bidi="ar"/>
              </w:rPr>
              <w:t xml:space="preserve">油气处理装置应有实时显示埋地油罐油气空间压力、运行时间、运行情况和自身故障诊断的功能。 </w:t>
            </w:r>
          </w:p>
          <w:p>
            <w:pPr>
              <w:widowControl/>
              <w:spacing w:line="360" w:lineRule="auto"/>
              <w:ind w:firstLine="480" w:firstLineChars="200"/>
              <w:jc w:val="left"/>
              <w:rPr>
                <w:kern w:val="0"/>
                <w:sz w:val="24"/>
                <w:lang w:bidi="ar"/>
              </w:rPr>
            </w:pPr>
            <w:r>
              <w:rPr>
                <w:rFonts w:hint="eastAsia"/>
                <w:kern w:val="0"/>
                <w:sz w:val="24"/>
                <w:lang w:bidi="ar"/>
              </w:rPr>
              <w:t>2）</w:t>
            </w:r>
            <w:r>
              <w:rPr>
                <w:kern w:val="0"/>
                <w:sz w:val="24"/>
                <w:lang w:bidi="ar"/>
              </w:rPr>
              <w:t xml:space="preserve">油气处理装置应能根据埋地油罐油气空间压力实施自动开启或停机，处理装置压力感应值宜设定在+150Pa，停止运行的压力感应值宜设在0～50Pa。 </w:t>
            </w:r>
          </w:p>
          <w:p>
            <w:pPr>
              <w:widowControl/>
              <w:spacing w:line="360" w:lineRule="auto"/>
              <w:ind w:firstLine="480" w:firstLineChars="200"/>
              <w:jc w:val="left"/>
              <w:rPr>
                <w:kern w:val="0"/>
                <w:sz w:val="24"/>
                <w:lang w:bidi="ar"/>
              </w:rPr>
            </w:pPr>
            <w:r>
              <w:rPr>
                <w:rFonts w:hint="eastAsia"/>
                <w:kern w:val="0"/>
                <w:sz w:val="24"/>
                <w:lang w:bidi="ar"/>
              </w:rPr>
              <w:t>3）</w:t>
            </w:r>
            <w:r>
              <w:rPr>
                <w:kern w:val="0"/>
                <w:sz w:val="24"/>
                <w:lang w:bidi="ar"/>
              </w:rPr>
              <w:t>油气处理装置在停机时应与加油站油气回收系统保持密闭。</w:t>
            </w:r>
          </w:p>
          <w:p>
            <w:pPr>
              <w:widowControl/>
              <w:spacing w:line="360" w:lineRule="auto"/>
              <w:ind w:firstLine="480" w:firstLineChars="200"/>
              <w:jc w:val="left"/>
              <w:rPr>
                <w:kern w:val="0"/>
                <w:sz w:val="24"/>
                <w:lang w:bidi="ar"/>
              </w:rPr>
            </w:pPr>
            <w:r>
              <w:rPr>
                <w:rFonts w:hint="eastAsia"/>
                <w:kern w:val="0"/>
                <w:sz w:val="24"/>
                <w:lang w:bidi="ar"/>
              </w:rPr>
              <w:t>4）</w:t>
            </w:r>
            <w:r>
              <w:rPr>
                <w:kern w:val="0"/>
                <w:sz w:val="24"/>
                <w:lang w:bidi="ar"/>
              </w:rPr>
              <w:t xml:space="preserve">油气处理装置在卸油期间应保持正常运行状态。 </w:t>
            </w:r>
          </w:p>
          <w:p>
            <w:pPr>
              <w:widowControl/>
              <w:spacing w:line="360" w:lineRule="auto"/>
              <w:ind w:firstLine="480" w:firstLineChars="200"/>
              <w:jc w:val="left"/>
              <w:rPr>
                <w:kern w:val="0"/>
                <w:sz w:val="24"/>
                <w:lang w:bidi="ar"/>
              </w:rPr>
            </w:pPr>
            <w:r>
              <w:rPr>
                <w:rFonts w:hint="eastAsia"/>
                <w:kern w:val="0"/>
                <w:sz w:val="24"/>
                <w:lang w:bidi="ar"/>
              </w:rPr>
              <w:t>5）</w:t>
            </w:r>
            <w:r>
              <w:rPr>
                <w:kern w:val="0"/>
                <w:sz w:val="24"/>
                <w:lang w:bidi="ar"/>
              </w:rPr>
              <w:t xml:space="preserve">油气处理装置不得稀释排放油气，排气口距地平面高度不应小于4 m，排气口应设阻火器。 </w:t>
            </w:r>
          </w:p>
          <w:p>
            <w:pPr>
              <w:widowControl/>
              <w:spacing w:line="360" w:lineRule="auto"/>
              <w:ind w:firstLine="480" w:firstLineChars="200"/>
              <w:jc w:val="left"/>
              <w:rPr>
                <w:kern w:val="0"/>
                <w:sz w:val="24"/>
                <w:lang w:bidi="ar"/>
              </w:rPr>
            </w:pPr>
            <w:r>
              <w:rPr>
                <w:rFonts w:hint="eastAsia"/>
                <w:kern w:val="0"/>
                <w:sz w:val="24"/>
                <w:lang w:bidi="ar"/>
              </w:rPr>
              <w:t>6）</w:t>
            </w:r>
            <w:r>
              <w:rPr>
                <w:kern w:val="0"/>
                <w:sz w:val="24"/>
                <w:lang w:bidi="ar"/>
              </w:rPr>
              <w:t>与油气处理装置连接的管线公称直径不应小于50 mm，油气处理装置回油管横向地下油罐的坡度不应小于1%。</w:t>
            </w:r>
          </w:p>
          <w:p>
            <w:pPr>
              <w:widowControl/>
              <w:spacing w:line="360" w:lineRule="auto"/>
              <w:ind w:firstLine="480" w:firstLineChars="200"/>
              <w:jc w:val="left"/>
              <w:rPr>
                <w:kern w:val="0"/>
                <w:sz w:val="24"/>
                <w:lang w:bidi="ar"/>
              </w:rPr>
            </w:pPr>
            <w:r>
              <w:rPr>
                <w:kern w:val="0"/>
                <w:sz w:val="24"/>
                <w:lang w:bidi="ar"/>
              </w:rPr>
              <w:t>结合《汽车加油加气加氢站技术标准（GB50156-2021）》中 6.3. 1~6.3.6 之 规定，项目有机废气治理已采取了以下措施：</w:t>
            </w:r>
          </w:p>
          <w:p>
            <w:pPr>
              <w:widowControl/>
              <w:spacing w:line="360" w:lineRule="auto"/>
              <w:ind w:firstLine="480" w:firstLineChars="200"/>
              <w:jc w:val="left"/>
              <w:rPr>
                <w:kern w:val="0"/>
                <w:sz w:val="24"/>
                <w:lang w:bidi="ar"/>
              </w:rPr>
            </w:pPr>
            <w:r>
              <w:rPr>
                <w:kern w:val="0"/>
                <w:sz w:val="24"/>
                <w:lang w:bidi="ar"/>
              </w:rPr>
              <w:t>1）油罐车卸油采用密闭卸油方式，采用平衡密闭油气回收系统 (一次油气回收系统) 。</w:t>
            </w:r>
          </w:p>
          <w:p>
            <w:pPr>
              <w:widowControl/>
              <w:spacing w:line="360" w:lineRule="auto"/>
              <w:ind w:firstLine="480" w:firstLineChars="200"/>
              <w:jc w:val="left"/>
              <w:rPr>
                <w:kern w:val="0"/>
                <w:sz w:val="24"/>
                <w:lang w:bidi="ar"/>
              </w:rPr>
            </w:pPr>
            <w:r>
              <w:rPr>
                <w:kern w:val="0"/>
                <w:sz w:val="24"/>
                <w:lang w:bidi="ar"/>
              </w:rPr>
              <w:t>2）每个油罐各自设置卸油管道和卸油接口，各卸油接口及油气回收接口有明显标示；卸油接口装设快速接头及密封盖；</w:t>
            </w:r>
          </w:p>
          <w:p>
            <w:pPr>
              <w:widowControl/>
              <w:spacing w:line="360" w:lineRule="auto"/>
              <w:ind w:firstLine="480" w:firstLineChars="200"/>
              <w:jc w:val="left"/>
              <w:rPr>
                <w:kern w:val="0"/>
                <w:sz w:val="24"/>
                <w:lang w:bidi="ar"/>
              </w:rPr>
            </w:pPr>
            <w:r>
              <w:rPr>
                <w:kern w:val="0"/>
                <w:sz w:val="24"/>
                <w:lang w:bidi="ar"/>
              </w:rPr>
              <w:t>3）卸油油气回收管道的接口采用自闭式快速接头；加油油气回收系统采用 真空辅助式油气回收系统。</w:t>
            </w:r>
          </w:p>
          <w:p>
            <w:pPr>
              <w:widowControl/>
              <w:spacing w:line="360" w:lineRule="auto"/>
              <w:ind w:firstLine="480" w:firstLineChars="200"/>
              <w:jc w:val="left"/>
              <w:rPr>
                <w:kern w:val="0"/>
                <w:sz w:val="24"/>
                <w:lang w:bidi="ar"/>
              </w:rPr>
            </w:pPr>
            <w:r>
              <w:rPr>
                <w:kern w:val="0"/>
                <w:sz w:val="24"/>
                <w:lang w:bidi="ar"/>
              </w:rPr>
              <w:t>按照《挥发性有机物污染防治技术政策》和《四川省灰霾污染防治办法》的相关规定，项目拟铺设油气回收管线，采用油气回收性的加油枪，设置一次、二次油气回收处理装置系统。输油管道设置为埋地双层复合材料管。</w:t>
            </w:r>
          </w:p>
          <w:p>
            <w:pPr>
              <w:widowControl/>
              <w:spacing w:line="360" w:lineRule="auto"/>
              <w:ind w:firstLine="480" w:firstLineChars="200"/>
              <w:jc w:val="left"/>
              <w:rPr>
                <w:kern w:val="0"/>
                <w:sz w:val="24"/>
                <w:lang w:bidi="ar"/>
              </w:rPr>
            </w:pPr>
            <w:r>
              <w:rPr>
                <w:kern w:val="0"/>
                <w:sz w:val="24"/>
                <w:lang w:bidi="ar"/>
              </w:rPr>
              <w:t>综上所述，本项目拟采取的有机废气控制措施符合《四川省加油站大气污染 物排放标准》（DB51/2865-2021）、《 汽车加油加气加氢站技术标准》（GB50156-2021）和《挥发性有机物污染防治技术政策》的相关要求。通过油气回收系统，加油加气站的油气回收率可达到90%以上，大大减少了油气的排放。同时，建设单位加强管理及工作人员的操作培训，以减少跑冒滴漏的损失。通过设置油气回收系统后，本项目回收的非甲烷总烃量约为8.4057t/a；无组织形式排入大气环境的非甲烷总烃量约1.1949t/a。</w:t>
            </w:r>
          </w:p>
          <w:p>
            <w:pPr>
              <w:widowControl/>
              <w:spacing w:line="360" w:lineRule="auto"/>
              <w:ind w:firstLine="480" w:firstLineChars="200"/>
              <w:jc w:val="left"/>
              <w:rPr>
                <w:kern w:val="0"/>
                <w:sz w:val="24"/>
                <w:lang w:bidi="ar"/>
              </w:rPr>
            </w:pPr>
            <w:r>
              <w:rPr>
                <w:kern w:val="0"/>
                <w:sz w:val="24"/>
                <w:lang w:bidi="ar"/>
              </w:rPr>
              <w:t>本项目拟设置通气立管</w:t>
            </w:r>
            <w:r>
              <w:rPr>
                <w:rFonts w:hint="eastAsia"/>
                <w:kern w:val="0"/>
                <w:sz w:val="24"/>
                <w:lang w:bidi="ar"/>
              </w:rPr>
              <w:t>，</w:t>
            </w:r>
            <w:r>
              <w:rPr>
                <w:kern w:val="0"/>
                <w:sz w:val="24"/>
                <w:lang w:bidi="ar"/>
              </w:rPr>
              <w:t>高出地面4.0m ，管口设置阻火器和呼吸阀。通气管位于地埋罐区中部，远离周边敏感点，各距离能够满足《汽车加油加气加氢站技术标准》（GB50156-2021）相关要求；非甲烷总烃无组织排放浓度＜4.0mg/m</w:t>
            </w:r>
            <w:r>
              <w:rPr>
                <w:kern w:val="0"/>
                <w:sz w:val="24"/>
                <w:vertAlign w:val="superscript"/>
                <w:lang w:bidi="ar"/>
              </w:rPr>
              <w:t>3</w:t>
            </w:r>
            <w:r>
              <w:rPr>
                <w:kern w:val="0"/>
                <w:sz w:val="24"/>
                <w:lang w:bidi="ar"/>
              </w:rPr>
              <w:t>，符合《四川省加油站大气污染物排放标准》（DB51/2865-2021）中限值要求，能够实现达标排放。</w:t>
            </w:r>
          </w:p>
          <w:p>
            <w:pPr>
              <w:widowControl/>
              <w:spacing w:line="360" w:lineRule="auto"/>
              <w:ind w:firstLine="480" w:firstLineChars="200"/>
              <w:jc w:val="left"/>
              <w:rPr>
                <w:kern w:val="0"/>
                <w:sz w:val="24"/>
                <w:lang w:bidi="ar"/>
              </w:rPr>
            </w:pPr>
            <w:r>
              <w:rPr>
                <w:kern w:val="0"/>
                <w:sz w:val="24"/>
                <w:lang w:bidi="ar"/>
              </w:rPr>
              <w:t>本环评建议项目加强油气处理措施，对油罐储油过程油气排放安装智能油气处理装置。同时，为减少加油机作业时由于跑冒滴漏造成的TVOC损失，本评价要求，项目建设单位应加强操作人员的业务培训和学习，严格按照行业操作规程作业，从管理和作业上减少排污量。</w:t>
            </w:r>
          </w:p>
          <w:p>
            <w:pPr>
              <w:widowControl/>
              <w:spacing w:line="360" w:lineRule="auto"/>
              <w:ind w:firstLine="482" w:firstLineChars="200"/>
              <w:jc w:val="left"/>
              <w:rPr>
                <w:b/>
                <w:bCs/>
                <w:kern w:val="0"/>
                <w:sz w:val="24"/>
                <w:lang w:bidi="ar"/>
              </w:rPr>
            </w:pPr>
            <w:r>
              <w:rPr>
                <w:rFonts w:hint="eastAsia"/>
                <w:b/>
                <w:bCs/>
                <w:kern w:val="0"/>
                <w:sz w:val="24"/>
                <w:lang w:bidi="ar"/>
              </w:rPr>
              <w:t>（2）</w:t>
            </w:r>
            <w:r>
              <w:rPr>
                <w:b/>
                <w:bCs/>
                <w:kern w:val="0"/>
                <w:sz w:val="24"/>
                <w:lang w:bidi="ar"/>
              </w:rPr>
              <w:t>加气设备泄漏、放散天然气</w:t>
            </w:r>
          </w:p>
          <w:p>
            <w:pPr>
              <w:widowControl/>
              <w:spacing w:line="360" w:lineRule="auto"/>
              <w:ind w:firstLine="482" w:firstLineChars="200"/>
              <w:jc w:val="left"/>
              <w:rPr>
                <w:b/>
                <w:bCs/>
                <w:kern w:val="0"/>
                <w:sz w:val="24"/>
                <w:lang w:bidi="ar"/>
              </w:rPr>
            </w:pPr>
            <w:r>
              <w:rPr>
                <w:rFonts w:hint="eastAsia"/>
                <w:b/>
                <w:bCs/>
                <w:kern w:val="0"/>
                <w:sz w:val="24"/>
                <w:lang w:bidi="ar"/>
              </w:rPr>
              <w:t>1）</w:t>
            </w:r>
            <w:r>
              <w:rPr>
                <w:b/>
                <w:bCs/>
                <w:kern w:val="0"/>
                <w:sz w:val="24"/>
                <w:lang w:bidi="ar"/>
              </w:rPr>
              <w:t>放散天然气</w:t>
            </w:r>
          </w:p>
          <w:p>
            <w:pPr>
              <w:widowControl/>
              <w:spacing w:line="360" w:lineRule="auto"/>
              <w:ind w:firstLine="482" w:firstLineChars="200"/>
              <w:jc w:val="left"/>
              <w:rPr>
                <w:b/>
                <w:bCs/>
                <w:kern w:val="0"/>
                <w:sz w:val="24"/>
                <w:lang w:bidi="ar"/>
              </w:rPr>
            </w:pPr>
            <w:r>
              <w:rPr>
                <w:b/>
                <w:bCs/>
                <w:kern w:val="0"/>
                <w:sz w:val="24"/>
                <w:lang w:bidi="ar"/>
              </w:rPr>
              <w:t>产生情况：</w:t>
            </w:r>
          </w:p>
          <w:p>
            <w:pPr>
              <w:widowControl/>
              <w:spacing w:line="360" w:lineRule="auto"/>
              <w:ind w:firstLine="480" w:firstLineChars="200"/>
              <w:jc w:val="left"/>
              <w:rPr>
                <w:kern w:val="0"/>
                <w:sz w:val="24"/>
                <w:lang w:bidi="ar"/>
              </w:rPr>
            </w:pPr>
            <w:r>
              <w:rPr>
                <w:kern w:val="0"/>
                <w:sz w:val="24"/>
                <w:lang w:bidi="ar"/>
              </w:rPr>
              <w:t>放散泄压废气主要为高压气化时需要安全放散的高压天然气</w:t>
            </w:r>
            <w:r>
              <w:rPr>
                <w:rFonts w:hint="eastAsia"/>
                <w:kern w:val="0"/>
                <w:sz w:val="24"/>
                <w:lang w:bidi="ar"/>
              </w:rPr>
              <w:t>（</w:t>
            </w:r>
            <w:r>
              <w:rPr>
                <w:kern w:val="0"/>
                <w:sz w:val="24"/>
                <w:lang w:bidi="ar"/>
              </w:rPr>
              <w:t>即EAG气体</w:t>
            </w:r>
            <w:r>
              <w:rPr>
                <w:rFonts w:hint="eastAsia"/>
                <w:kern w:val="0"/>
                <w:sz w:val="24"/>
                <w:lang w:bidi="ar"/>
              </w:rPr>
              <w:t>），</w:t>
            </w:r>
            <w:r>
              <w:rPr>
                <w:kern w:val="0"/>
                <w:sz w:val="24"/>
                <w:lang w:bidi="ar"/>
              </w:rPr>
              <w:t>此类排放量较小，且为间歇式排放</w:t>
            </w:r>
            <w:r>
              <w:rPr>
                <w:rFonts w:hint="eastAsia"/>
                <w:kern w:val="0"/>
                <w:sz w:val="24"/>
                <w:lang w:bidi="ar"/>
              </w:rPr>
              <w:t>。</w:t>
            </w:r>
            <w:r>
              <w:rPr>
                <w:kern w:val="0"/>
                <w:sz w:val="24"/>
                <w:lang w:bidi="ar"/>
              </w:rPr>
              <w:t>类比同类项目，最大不超过供气量的</w:t>
            </w:r>
            <w:r>
              <w:rPr>
                <w:rFonts w:hint="eastAsia"/>
                <w:kern w:val="0"/>
                <w:sz w:val="24"/>
                <w:lang w:bidi="ar"/>
              </w:rPr>
              <w:t>0.1</w:t>
            </w:r>
            <w:r>
              <w:rPr>
                <w:kern w:val="0"/>
                <w:sz w:val="24"/>
                <w:lang w:bidi="ar"/>
              </w:rPr>
              <w:t>‰ ，约</w:t>
            </w:r>
            <w:r>
              <w:rPr>
                <w:rFonts w:hint="eastAsia"/>
                <w:kern w:val="0"/>
                <w:sz w:val="24"/>
                <w:lang w:bidi="ar"/>
              </w:rPr>
              <w:t>0.196</w:t>
            </w:r>
            <w:r>
              <w:rPr>
                <w:kern w:val="0"/>
                <w:sz w:val="24"/>
                <w:lang w:bidi="ar"/>
              </w:rPr>
              <w:t>t/a</w:t>
            </w:r>
            <w:r>
              <w:rPr>
                <w:rFonts w:hint="eastAsia"/>
                <w:kern w:val="0"/>
                <w:sz w:val="24"/>
                <w:lang w:bidi="ar"/>
              </w:rPr>
              <w:t>（</w:t>
            </w:r>
            <w:r>
              <w:rPr>
                <w:kern w:val="0"/>
                <w:sz w:val="24"/>
                <w:lang w:bidi="ar"/>
              </w:rPr>
              <w:t>天然气气体标况下密度约0.6987kg/m</w:t>
            </w:r>
            <w:r>
              <w:rPr>
                <w:kern w:val="0"/>
                <w:sz w:val="24"/>
                <w:vertAlign w:val="superscript"/>
                <w:lang w:bidi="ar"/>
              </w:rPr>
              <w:t>3</w:t>
            </w:r>
            <w:r>
              <w:rPr>
                <w:rFonts w:hint="eastAsia"/>
                <w:kern w:val="0"/>
                <w:sz w:val="24"/>
                <w:lang w:bidi="ar"/>
              </w:rPr>
              <w:t>）</w:t>
            </w:r>
            <w:r>
              <w:rPr>
                <w:kern w:val="0"/>
                <w:sz w:val="24"/>
                <w:lang w:bidi="ar"/>
              </w:rPr>
              <w:t>，</w:t>
            </w:r>
            <w:r>
              <w:rPr>
                <w:rFonts w:hint="eastAsia"/>
                <w:kern w:val="0"/>
                <w:sz w:val="24"/>
                <w:lang w:bidi="ar"/>
              </w:rPr>
              <w:t>根据LNG成份可知，其非甲烷总烃含量约为1.83%，则非甲烷总烃排放量为0.0036</w:t>
            </w:r>
            <w:r>
              <w:rPr>
                <w:kern w:val="0"/>
                <w:sz w:val="24"/>
                <w:lang w:bidi="ar"/>
              </w:rPr>
              <w:t>t/a。</w:t>
            </w:r>
          </w:p>
          <w:p>
            <w:pPr>
              <w:widowControl/>
              <w:spacing w:line="360" w:lineRule="auto"/>
              <w:ind w:firstLine="482" w:firstLineChars="200"/>
              <w:jc w:val="left"/>
              <w:rPr>
                <w:b/>
                <w:bCs/>
                <w:kern w:val="0"/>
                <w:sz w:val="24"/>
                <w:lang w:bidi="ar"/>
              </w:rPr>
            </w:pPr>
            <w:r>
              <w:rPr>
                <w:b/>
                <w:bCs/>
                <w:kern w:val="0"/>
                <w:sz w:val="24"/>
                <w:lang w:bidi="ar"/>
              </w:rPr>
              <w:t xml:space="preserve">处理措施及排放情况： </w:t>
            </w:r>
          </w:p>
          <w:p>
            <w:pPr>
              <w:widowControl/>
              <w:spacing w:line="360" w:lineRule="auto"/>
              <w:ind w:firstLine="480" w:firstLineChars="200"/>
              <w:jc w:val="left"/>
              <w:rPr>
                <w:kern w:val="0"/>
                <w:sz w:val="24"/>
                <w:lang w:bidi="ar"/>
              </w:rPr>
            </w:pPr>
            <w:r>
              <w:rPr>
                <w:kern w:val="0"/>
                <w:sz w:val="24"/>
                <w:lang w:bidi="ar"/>
              </w:rPr>
              <w:t>LNG储罐放散的天然气，经过EAG加热器加热气化后</w:t>
            </w:r>
            <w:r>
              <w:rPr>
                <w:rFonts w:hint="eastAsia"/>
                <w:kern w:val="0"/>
                <w:sz w:val="24"/>
                <w:lang w:bidi="ar"/>
              </w:rPr>
              <w:t>（</w:t>
            </w:r>
            <w:r>
              <w:rPr>
                <w:kern w:val="0"/>
                <w:sz w:val="24"/>
                <w:lang w:bidi="ar"/>
              </w:rPr>
              <w:t>以避免放散时出现冰堵</w:t>
            </w:r>
            <w:r>
              <w:rPr>
                <w:rFonts w:hint="eastAsia"/>
                <w:kern w:val="0"/>
                <w:sz w:val="24"/>
                <w:lang w:bidi="ar"/>
              </w:rPr>
              <w:t>）</w:t>
            </w:r>
            <w:r>
              <w:rPr>
                <w:kern w:val="0"/>
                <w:sz w:val="24"/>
                <w:lang w:bidi="ar"/>
              </w:rPr>
              <w:t>，经站内</w:t>
            </w:r>
            <w:r>
              <w:rPr>
                <w:rFonts w:hint="eastAsia"/>
                <w:kern w:val="0"/>
                <w:sz w:val="24"/>
                <w:lang w:bidi="ar"/>
              </w:rPr>
              <w:t>9</w:t>
            </w:r>
            <w:r>
              <w:rPr>
                <w:kern w:val="0"/>
                <w:sz w:val="24"/>
                <w:lang w:bidi="ar"/>
              </w:rPr>
              <w:t>m高的放散管直接排入大气。放散管位于储气罐区附近绿化带内，放散管的设置满足《液化天然气</w:t>
            </w:r>
            <w:r>
              <w:rPr>
                <w:rFonts w:hint="eastAsia"/>
                <w:kern w:val="0"/>
                <w:sz w:val="24"/>
                <w:lang w:bidi="ar"/>
              </w:rPr>
              <w:t>（</w:t>
            </w:r>
            <w:r>
              <w:rPr>
                <w:kern w:val="0"/>
                <w:sz w:val="24"/>
                <w:lang w:bidi="ar"/>
              </w:rPr>
              <w:t>LNG</w:t>
            </w:r>
            <w:r>
              <w:rPr>
                <w:rFonts w:hint="eastAsia"/>
                <w:kern w:val="0"/>
                <w:sz w:val="24"/>
                <w:lang w:bidi="ar"/>
              </w:rPr>
              <w:t>）</w:t>
            </w:r>
            <w:r>
              <w:rPr>
                <w:kern w:val="0"/>
                <w:sz w:val="24"/>
                <w:lang w:bidi="ar"/>
              </w:rPr>
              <w:t>汽车加气站设计与施工规范》</w:t>
            </w:r>
            <w:r>
              <w:rPr>
                <w:rFonts w:hint="eastAsia"/>
                <w:kern w:val="0"/>
                <w:sz w:val="24"/>
                <w:lang w:bidi="ar"/>
              </w:rPr>
              <w:t>（</w:t>
            </w:r>
            <w:r>
              <w:rPr>
                <w:kern w:val="0"/>
                <w:sz w:val="24"/>
                <w:lang w:bidi="ar"/>
              </w:rPr>
              <w:t>NB/ 1001-2011</w:t>
            </w:r>
            <w:r>
              <w:rPr>
                <w:rFonts w:hint="eastAsia"/>
                <w:kern w:val="0"/>
                <w:sz w:val="24"/>
                <w:lang w:bidi="ar"/>
              </w:rPr>
              <w:t>）</w:t>
            </w:r>
            <w:r>
              <w:rPr>
                <w:kern w:val="0"/>
                <w:sz w:val="24"/>
                <w:lang w:bidi="ar"/>
              </w:rPr>
              <w:t xml:space="preserve"> 6.6.6规定</w:t>
            </w:r>
            <w:r>
              <w:rPr>
                <w:rFonts w:hint="eastAsia"/>
                <w:kern w:val="0"/>
                <w:sz w:val="24"/>
                <w:lang w:bidi="ar"/>
              </w:rPr>
              <w:t>（</w:t>
            </w:r>
            <w:r>
              <w:rPr>
                <w:kern w:val="0"/>
                <w:sz w:val="24"/>
                <w:lang w:bidi="ar"/>
              </w:rPr>
              <w:t>放散塔高于LNG储罐及12.0m范围内的建、构筑物2.0m以上，且距地面不应小于5.0m。放散塔不得设雨罩等改变放散管气流垂直向上的装置</w:t>
            </w:r>
            <w:r>
              <w:rPr>
                <w:rFonts w:hint="eastAsia"/>
                <w:kern w:val="0"/>
                <w:sz w:val="24"/>
                <w:lang w:bidi="ar"/>
              </w:rPr>
              <w:t>）</w:t>
            </w:r>
            <w:r>
              <w:rPr>
                <w:kern w:val="0"/>
                <w:sz w:val="24"/>
                <w:lang w:bidi="ar"/>
              </w:rPr>
              <w:t>。放散管附近无环境敏感点，放散天然气经高空排放对外环境产生的环境影响很小。</w:t>
            </w:r>
          </w:p>
          <w:p>
            <w:pPr>
              <w:widowControl/>
              <w:spacing w:line="360" w:lineRule="auto"/>
              <w:ind w:firstLine="482" w:firstLineChars="200"/>
              <w:jc w:val="left"/>
              <w:rPr>
                <w:b/>
                <w:bCs/>
                <w:kern w:val="0"/>
                <w:sz w:val="24"/>
                <w:lang w:bidi="ar"/>
              </w:rPr>
            </w:pPr>
            <w:r>
              <w:rPr>
                <w:b/>
                <w:bCs/>
                <w:kern w:val="0"/>
                <w:sz w:val="24"/>
                <w:lang w:bidi="ar"/>
              </w:rPr>
              <w:t>2</w:t>
            </w:r>
            <w:r>
              <w:rPr>
                <w:rFonts w:hint="eastAsia"/>
                <w:b/>
                <w:bCs/>
                <w:kern w:val="0"/>
                <w:sz w:val="24"/>
                <w:lang w:bidi="ar"/>
              </w:rPr>
              <w:t>）</w:t>
            </w:r>
            <w:r>
              <w:rPr>
                <w:b/>
                <w:bCs/>
                <w:kern w:val="0"/>
                <w:sz w:val="24"/>
                <w:lang w:bidi="ar"/>
              </w:rPr>
              <w:t>闪蒸气</w:t>
            </w:r>
          </w:p>
          <w:p>
            <w:pPr>
              <w:widowControl/>
              <w:spacing w:line="360" w:lineRule="auto"/>
              <w:ind w:firstLine="482" w:firstLineChars="200"/>
              <w:jc w:val="left"/>
              <w:rPr>
                <w:b/>
                <w:bCs/>
                <w:kern w:val="0"/>
                <w:sz w:val="24"/>
                <w:lang w:bidi="ar"/>
              </w:rPr>
            </w:pPr>
            <w:r>
              <w:rPr>
                <w:b/>
                <w:bCs/>
                <w:kern w:val="0"/>
                <w:sz w:val="24"/>
                <w:lang w:bidi="ar"/>
              </w:rPr>
              <w:t>产生情况：</w:t>
            </w:r>
          </w:p>
          <w:p>
            <w:pPr>
              <w:widowControl/>
              <w:spacing w:line="360" w:lineRule="auto"/>
              <w:ind w:firstLine="480" w:firstLineChars="200"/>
              <w:jc w:val="left"/>
              <w:rPr>
                <w:kern w:val="0"/>
                <w:sz w:val="24"/>
                <w:lang w:bidi="ar"/>
              </w:rPr>
            </w:pPr>
            <w:r>
              <w:rPr>
                <w:kern w:val="0"/>
                <w:sz w:val="24"/>
                <w:lang w:bidi="ar"/>
              </w:rPr>
              <w:t>加气站闪蒸气</w:t>
            </w:r>
            <w:r>
              <w:rPr>
                <w:rFonts w:hint="eastAsia"/>
                <w:kern w:val="0"/>
                <w:sz w:val="24"/>
                <w:lang w:bidi="ar"/>
              </w:rPr>
              <w:t>（</w:t>
            </w:r>
            <w:r>
              <w:rPr>
                <w:kern w:val="0"/>
                <w:sz w:val="24"/>
                <w:lang w:bidi="ar"/>
              </w:rPr>
              <w:t>BOG</w:t>
            </w:r>
            <w:r>
              <w:rPr>
                <w:rFonts w:hint="eastAsia"/>
                <w:kern w:val="0"/>
                <w:sz w:val="24"/>
                <w:lang w:bidi="ar"/>
              </w:rPr>
              <w:t>）</w:t>
            </w:r>
            <w:r>
              <w:rPr>
                <w:kern w:val="0"/>
                <w:sz w:val="24"/>
                <w:lang w:bidi="ar"/>
              </w:rPr>
              <w:t>包括LNG卸车及LNG低温储罐的蒸发气，以LNG低温储罐闪蒸气为主。据同类型加气站有关资料和类比调查，加气站内低温真空储罐的日蒸发率一般为0.2%，据此，年供气量</w:t>
            </w:r>
            <w:r>
              <w:rPr>
                <w:rFonts w:hint="eastAsia"/>
                <w:kern w:val="0"/>
                <w:sz w:val="24"/>
                <w:lang w:bidi="ar"/>
              </w:rPr>
              <w:t>1310.49</w:t>
            </w:r>
            <w:r>
              <w:rPr>
                <w:kern w:val="0"/>
                <w:sz w:val="24"/>
                <w:lang w:bidi="ar"/>
              </w:rPr>
              <w:t>吨的泄漏量约为</w:t>
            </w:r>
            <w:r>
              <w:rPr>
                <w:rFonts w:hint="eastAsia"/>
                <w:kern w:val="0"/>
                <w:sz w:val="24"/>
                <w:lang w:bidi="ar"/>
              </w:rPr>
              <w:t>2.621</w:t>
            </w:r>
            <w:r>
              <w:rPr>
                <w:kern w:val="0"/>
                <w:sz w:val="24"/>
                <w:lang w:bidi="ar"/>
              </w:rPr>
              <w:t>t/a，</w:t>
            </w:r>
            <w:r>
              <w:rPr>
                <w:rFonts w:hint="eastAsia"/>
                <w:kern w:val="0"/>
                <w:sz w:val="24"/>
                <w:lang w:bidi="ar"/>
              </w:rPr>
              <w:t>根据LNG成份可知，其非甲烷总烃含量约为1.83%，则非甲烷总烃排放量为0.048</w:t>
            </w:r>
            <w:r>
              <w:rPr>
                <w:kern w:val="0"/>
                <w:sz w:val="24"/>
                <w:lang w:bidi="ar"/>
              </w:rPr>
              <w:t>t/a。</w:t>
            </w:r>
          </w:p>
          <w:p>
            <w:pPr>
              <w:widowControl/>
              <w:spacing w:line="360" w:lineRule="auto"/>
              <w:ind w:firstLine="482" w:firstLineChars="200"/>
              <w:jc w:val="left"/>
              <w:rPr>
                <w:b/>
                <w:bCs/>
                <w:kern w:val="0"/>
                <w:sz w:val="24"/>
                <w:lang w:bidi="ar"/>
              </w:rPr>
            </w:pPr>
            <w:r>
              <w:rPr>
                <w:b/>
                <w:bCs/>
                <w:kern w:val="0"/>
                <w:sz w:val="24"/>
                <w:lang w:bidi="ar"/>
              </w:rPr>
              <w:t>处理措施及排放情况：</w:t>
            </w:r>
          </w:p>
          <w:p>
            <w:pPr>
              <w:widowControl/>
              <w:spacing w:line="360" w:lineRule="auto"/>
              <w:ind w:firstLine="480" w:firstLineChars="200"/>
              <w:jc w:val="left"/>
              <w:rPr>
                <w:kern w:val="0"/>
                <w:sz w:val="24"/>
                <w:lang w:bidi="ar"/>
              </w:rPr>
            </w:pPr>
            <w:r>
              <w:rPr>
                <w:kern w:val="0"/>
                <w:sz w:val="24"/>
                <w:lang w:bidi="ar"/>
              </w:rPr>
              <w:fldChar w:fldCharType="begin"/>
            </w:r>
            <w:r>
              <w:rPr>
                <w:kern w:val="0"/>
                <w:sz w:val="24"/>
                <w:lang w:bidi="ar"/>
              </w:rPr>
              <w:instrText xml:space="preserve"> </w:instrText>
            </w:r>
            <w:r>
              <w:rPr>
                <w:rFonts w:hint="eastAsia"/>
                <w:kern w:val="0"/>
                <w:sz w:val="24"/>
                <w:lang w:bidi="ar"/>
              </w:rPr>
              <w:instrText xml:space="preserve">= 1 \* GB3</w:instrText>
            </w:r>
            <w:r>
              <w:rPr>
                <w:kern w:val="0"/>
                <w:sz w:val="24"/>
                <w:lang w:bidi="ar"/>
              </w:rPr>
              <w:instrText xml:space="preserve"> </w:instrText>
            </w:r>
            <w:r>
              <w:rPr>
                <w:kern w:val="0"/>
                <w:sz w:val="24"/>
                <w:lang w:bidi="ar"/>
              </w:rPr>
              <w:fldChar w:fldCharType="separate"/>
            </w:r>
            <w:r>
              <w:rPr>
                <w:rFonts w:hint="eastAsia"/>
                <w:kern w:val="0"/>
                <w:sz w:val="24"/>
                <w:lang w:bidi="ar"/>
              </w:rPr>
              <w:t>①</w:t>
            </w:r>
            <w:r>
              <w:rPr>
                <w:kern w:val="0"/>
                <w:sz w:val="24"/>
                <w:lang w:bidi="ar"/>
              </w:rPr>
              <w:fldChar w:fldCharType="end"/>
            </w:r>
            <w:r>
              <w:rPr>
                <w:kern w:val="0"/>
                <w:sz w:val="24"/>
                <w:lang w:bidi="ar"/>
              </w:rPr>
              <w:t>LNG卸车时产生闪蒸气</w:t>
            </w:r>
            <w:r>
              <w:rPr>
                <w:rFonts w:hint="eastAsia"/>
                <w:kern w:val="0"/>
                <w:sz w:val="24"/>
                <w:lang w:bidi="ar"/>
              </w:rPr>
              <w:t>（</w:t>
            </w:r>
            <w:r>
              <w:rPr>
                <w:kern w:val="0"/>
                <w:sz w:val="24"/>
                <w:lang w:bidi="ar"/>
              </w:rPr>
              <w:t>BOG</w:t>
            </w:r>
            <w:r>
              <w:rPr>
                <w:rFonts w:hint="eastAsia"/>
                <w:kern w:val="0"/>
                <w:sz w:val="24"/>
                <w:lang w:bidi="ar"/>
              </w:rPr>
              <w:t>）</w:t>
            </w:r>
            <w:r>
              <w:rPr>
                <w:kern w:val="0"/>
                <w:sz w:val="24"/>
                <w:lang w:bidi="ar"/>
              </w:rPr>
              <w:t>由气相管线返回LNG槽车。</w:t>
            </w:r>
          </w:p>
          <w:p>
            <w:pPr>
              <w:widowControl/>
              <w:spacing w:line="360" w:lineRule="auto"/>
              <w:ind w:firstLine="480" w:firstLineChars="200"/>
              <w:jc w:val="left"/>
              <w:rPr>
                <w:kern w:val="0"/>
                <w:sz w:val="24"/>
                <w:lang w:bidi="ar"/>
              </w:rPr>
            </w:pPr>
            <w:r>
              <w:rPr>
                <w:rFonts w:hint="eastAsia"/>
                <w:kern w:val="0"/>
                <w:sz w:val="24"/>
                <w:lang w:bidi="ar"/>
              </w:rPr>
              <w:t>②</w:t>
            </w:r>
            <w:r>
              <w:rPr>
                <w:kern w:val="0"/>
                <w:sz w:val="24"/>
                <w:lang w:bidi="ar"/>
              </w:rPr>
              <w:t>为保证LNG储罐的安全，在设计中设置了储罐安全减压阀</w:t>
            </w:r>
            <w:r>
              <w:rPr>
                <w:rFonts w:hint="eastAsia"/>
                <w:kern w:val="0"/>
                <w:sz w:val="24"/>
                <w:lang w:bidi="ar"/>
              </w:rPr>
              <w:t>（</w:t>
            </w:r>
            <w:r>
              <w:rPr>
                <w:kern w:val="0"/>
                <w:sz w:val="24"/>
                <w:lang w:bidi="ar"/>
              </w:rPr>
              <w:t>可自动和手动开启，根据储罐储存期间压力自动排除BOG</w:t>
            </w:r>
            <w:r>
              <w:rPr>
                <w:rFonts w:hint="eastAsia"/>
                <w:kern w:val="0"/>
                <w:sz w:val="24"/>
                <w:lang w:bidi="ar"/>
              </w:rPr>
              <w:t>）</w:t>
            </w:r>
            <w:r>
              <w:rPr>
                <w:kern w:val="0"/>
                <w:sz w:val="24"/>
                <w:lang w:bidi="ar"/>
              </w:rPr>
              <w:t>，产生的BOG气体通过放空阀至低温EAG加热器加热后，经站内</w:t>
            </w:r>
            <w:r>
              <w:rPr>
                <w:rFonts w:hint="eastAsia"/>
                <w:kern w:val="0"/>
                <w:sz w:val="24"/>
                <w:lang w:bidi="ar"/>
              </w:rPr>
              <w:t>9</w:t>
            </w:r>
            <w:r>
              <w:rPr>
                <w:kern w:val="0"/>
                <w:sz w:val="24"/>
                <w:lang w:bidi="ar"/>
              </w:rPr>
              <w:t>m高的放散管直接排入大气。同时可通过选用性能优质的设备、阀门、材料，减少天然气的泄漏。</w:t>
            </w:r>
          </w:p>
          <w:p>
            <w:pPr>
              <w:widowControl/>
              <w:spacing w:line="360" w:lineRule="auto"/>
              <w:ind w:firstLine="482" w:firstLineChars="200"/>
              <w:jc w:val="left"/>
              <w:rPr>
                <w:b/>
                <w:bCs/>
                <w:kern w:val="0"/>
                <w:sz w:val="24"/>
                <w:lang w:bidi="ar"/>
              </w:rPr>
            </w:pPr>
            <w:r>
              <w:rPr>
                <w:b/>
                <w:bCs/>
                <w:kern w:val="0"/>
                <w:sz w:val="24"/>
                <w:lang w:bidi="ar"/>
              </w:rPr>
              <w:t>3</w:t>
            </w:r>
            <w:r>
              <w:rPr>
                <w:rFonts w:hint="eastAsia"/>
                <w:b/>
                <w:bCs/>
                <w:kern w:val="0"/>
                <w:sz w:val="24"/>
                <w:lang w:bidi="ar"/>
              </w:rPr>
              <w:t>）</w:t>
            </w:r>
            <w:r>
              <w:rPr>
                <w:b/>
                <w:bCs/>
                <w:kern w:val="0"/>
                <w:sz w:val="24"/>
                <w:lang w:bidi="ar"/>
              </w:rPr>
              <w:t>逸漏气体</w:t>
            </w:r>
          </w:p>
          <w:p>
            <w:pPr>
              <w:widowControl/>
              <w:spacing w:line="360" w:lineRule="auto"/>
              <w:ind w:firstLine="480" w:firstLineChars="200"/>
              <w:jc w:val="left"/>
              <w:rPr>
                <w:kern w:val="0"/>
                <w:sz w:val="24"/>
                <w:lang w:bidi="ar"/>
              </w:rPr>
            </w:pPr>
            <w:r>
              <w:rPr>
                <w:kern w:val="0"/>
                <w:sz w:val="24"/>
                <w:lang w:bidi="ar"/>
              </w:rPr>
              <w:t>本项目储罐、传输及加气过程由管道进行连接，连接处或阀门处可能有微量气体逸漏，逸漏的天然气均未达到可燃气体报警系统检出限值，同时由于天然气基本不含有毒物质，比重轻，且属间断、无规律性排放，其泄漏的少量天然气很快扩散，对环境空气质量影响甚微。</w:t>
            </w:r>
          </w:p>
          <w:p>
            <w:pPr>
              <w:widowControl/>
              <w:spacing w:line="360" w:lineRule="auto"/>
              <w:ind w:firstLine="482" w:firstLineChars="200"/>
              <w:jc w:val="left"/>
              <w:rPr>
                <w:b/>
                <w:bCs/>
                <w:kern w:val="0"/>
                <w:sz w:val="24"/>
                <w:lang w:bidi="ar"/>
              </w:rPr>
            </w:pPr>
            <w:r>
              <w:rPr>
                <w:rFonts w:hint="eastAsia"/>
                <w:b/>
                <w:bCs/>
                <w:kern w:val="0"/>
                <w:sz w:val="24"/>
                <w:lang w:bidi="ar"/>
              </w:rPr>
              <w:t>（</w:t>
            </w:r>
            <w:r>
              <w:rPr>
                <w:b/>
                <w:bCs/>
                <w:kern w:val="0"/>
                <w:sz w:val="24"/>
                <w:lang w:bidi="ar"/>
              </w:rPr>
              <w:t>3</w:t>
            </w:r>
            <w:r>
              <w:rPr>
                <w:rFonts w:hint="eastAsia"/>
                <w:b/>
                <w:bCs/>
                <w:kern w:val="0"/>
                <w:sz w:val="24"/>
                <w:lang w:bidi="ar"/>
              </w:rPr>
              <w:t>）</w:t>
            </w:r>
            <w:r>
              <w:rPr>
                <w:b/>
                <w:bCs/>
                <w:kern w:val="0"/>
                <w:sz w:val="24"/>
                <w:lang w:bidi="ar"/>
              </w:rPr>
              <w:t>柴油发电机废气</w:t>
            </w:r>
          </w:p>
          <w:p>
            <w:pPr>
              <w:widowControl/>
              <w:spacing w:line="360" w:lineRule="auto"/>
              <w:ind w:firstLine="480" w:firstLineChars="200"/>
              <w:jc w:val="left"/>
              <w:rPr>
                <w:kern w:val="0"/>
                <w:sz w:val="24"/>
                <w:lang w:bidi="ar"/>
              </w:rPr>
            </w:pPr>
            <w:r>
              <w:rPr>
                <w:kern w:val="0"/>
                <w:sz w:val="24"/>
                <w:lang w:bidi="ar"/>
              </w:rPr>
              <w:t>项目建成后拟配备柴油发电机组1台，仅临时使用，采用0#柴油作为燃料，主要污染物为烟尘、SO</w:t>
            </w:r>
            <w:r>
              <w:rPr>
                <w:kern w:val="0"/>
                <w:sz w:val="24"/>
                <w:vertAlign w:val="subscript"/>
                <w:lang w:bidi="ar"/>
              </w:rPr>
              <w:t>2</w:t>
            </w:r>
            <w:r>
              <w:rPr>
                <w:kern w:val="0"/>
                <w:sz w:val="24"/>
                <w:lang w:bidi="ar"/>
              </w:rPr>
              <w:t>、NOx、HC等。0#柴油属清洁能源，其燃油产生的废气污染物量较少，使用时只要严格按要求操作，控制好燃烧状况，发电机废气经发电机自带的烟气净化装置处理后，可做到达标排放，且本项目站址较开阔，空气流动性好，发电机废气对周围大气环境影响较小。</w:t>
            </w:r>
          </w:p>
          <w:p>
            <w:pPr>
              <w:widowControl/>
              <w:spacing w:line="360" w:lineRule="auto"/>
              <w:ind w:firstLine="482" w:firstLineChars="200"/>
              <w:jc w:val="left"/>
              <w:rPr>
                <w:b/>
                <w:bCs/>
                <w:kern w:val="0"/>
                <w:sz w:val="24"/>
                <w:lang w:bidi="ar"/>
              </w:rPr>
            </w:pPr>
            <w:r>
              <w:rPr>
                <w:b/>
                <w:bCs/>
                <w:kern w:val="0"/>
                <w:sz w:val="24"/>
                <w:lang w:bidi="ar"/>
              </w:rPr>
              <w:t>（4）机动车尾气</w:t>
            </w:r>
          </w:p>
          <w:p>
            <w:pPr>
              <w:widowControl/>
              <w:spacing w:line="360" w:lineRule="auto"/>
              <w:ind w:firstLine="480" w:firstLineChars="200"/>
              <w:jc w:val="left"/>
              <w:rPr>
                <w:kern w:val="0"/>
                <w:sz w:val="24"/>
                <w:lang w:bidi="ar"/>
              </w:rPr>
            </w:pPr>
            <w:r>
              <w:rPr>
                <w:kern w:val="0"/>
                <w:sz w:val="24"/>
                <w:lang w:bidi="ar"/>
              </w:rPr>
              <w:t>项目营运期加油加气站进出车辆较多，会排放一定量的机动车尾气，主要污染物为 CO、NO</w:t>
            </w:r>
            <w:r>
              <w:rPr>
                <w:kern w:val="0"/>
                <w:sz w:val="24"/>
                <w:vertAlign w:val="subscript"/>
                <w:lang w:bidi="ar"/>
              </w:rPr>
              <w:t>X</w:t>
            </w:r>
            <w:r>
              <w:rPr>
                <w:kern w:val="0"/>
                <w:sz w:val="24"/>
                <w:lang w:bidi="ar"/>
              </w:rPr>
              <w:t>、SO</w:t>
            </w:r>
            <w:r>
              <w:rPr>
                <w:kern w:val="0"/>
                <w:sz w:val="24"/>
                <w:vertAlign w:val="subscript"/>
                <w:lang w:bidi="ar"/>
              </w:rPr>
              <w:t>2</w:t>
            </w:r>
            <w:r>
              <w:rPr>
                <w:kern w:val="0"/>
                <w:sz w:val="24"/>
                <w:lang w:bidi="ar"/>
              </w:rPr>
              <w:t>、HC。由于车辆在站内行程较短，排放量较小，</w:t>
            </w:r>
            <w:r>
              <w:rPr>
                <w:rFonts w:hint="eastAsia"/>
                <w:kern w:val="0"/>
                <w:sz w:val="24"/>
                <w:lang w:bidi="ar"/>
              </w:rPr>
              <w:t>加油加气站内</w:t>
            </w:r>
            <w:r>
              <w:rPr>
                <w:kern w:val="0"/>
                <w:sz w:val="24"/>
                <w:lang w:bidi="ar"/>
              </w:rPr>
              <w:t>通风良好，场地较开阔，机动车尾气经自然扩散后能够实现达标排放，对周围大气环境影响不大。</w:t>
            </w:r>
          </w:p>
          <w:p>
            <w:pPr>
              <w:widowControl/>
              <w:spacing w:line="360" w:lineRule="auto"/>
              <w:ind w:firstLine="480" w:firstLineChars="200"/>
              <w:jc w:val="left"/>
              <w:rPr>
                <w:rFonts w:hint="eastAsia"/>
                <w:kern w:val="0"/>
                <w:sz w:val="24"/>
                <w:lang w:bidi="ar"/>
              </w:rPr>
            </w:pPr>
            <w:r>
              <w:rPr>
                <w:kern w:val="0"/>
                <w:sz w:val="24"/>
                <w:lang w:bidi="ar"/>
              </w:rPr>
              <w:t>采取上述措施后，营运期各环节产生的废气对周围环境影响均较小。采取的措施经济合理、技术可行。</w:t>
            </w:r>
          </w:p>
          <w:p>
            <w:pPr>
              <w:pStyle w:val="59"/>
              <w:ind w:left="902" w:hanging="482"/>
              <w:rPr>
                <w:b/>
                <w:bCs/>
              </w:rPr>
            </w:pPr>
            <w:r>
              <w:rPr>
                <w:rFonts w:hint="eastAsia"/>
                <w:b/>
                <w:bCs/>
              </w:rPr>
              <w:t>2、废气排放情况</w:t>
            </w:r>
          </w:p>
          <w:p>
            <w:pPr>
              <w:jc w:val="center"/>
              <w:rPr>
                <w:rFonts w:hint="eastAsia"/>
                <w:b/>
                <w:spacing w:val="-2"/>
                <w:szCs w:val="21"/>
              </w:rPr>
            </w:pPr>
            <w:r>
              <w:rPr>
                <w:rFonts w:hint="eastAsia"/>
                <w:b/>
                <w:spacing w:val="-2"/>
                <w:szCs w:val="21"/>
              </w:rPr>
              <w:t>表4-6</w:t>
            </w:r>
            <w:r>
              <w:rPr>
                <w:b/>
                <w:spacing w:val="-2"/>
                <w:szCs w:val="21"/>
              </w:rPr>
              <w:t xml:space="preserve"> </w:t>
            </w:r>
            <w:r>
              <w:rPr>
                <w:rFonts w:hint="eastAsia"/>
                <w:b/>
                <w:spacing w:val="-2"/>
                <w:szCs w:val="21"/>
              </w:rPr>
              <w:t>废气产排污节点、污染物及治理设施信息表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557"/>
              <w:gridCol w:w="1133"/>
              <w:gridCol w:w="1133"/>
              <w:gridCol w:w="1699"/>
              <w:gridCol w:w="1133"/>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b/>
                      <w:bCs/>
                    </w:rPr>
                  </w:pPr>
                  <w:r>
                    <w:rPr>
                      <w:rFonts w:hint="eastAsia"/>
                      <w:b/>
                      <w:bCs/>
                    </w:rPr>
                    <w:t>序号</w:t>
                  </w:r>
                </w:p>
              </w:tc>
              <w:tc>
                <w:tcPr>
                  <w:tcW w:w="928" w:type="pct"/>
                  <w:noWrap w:val="0"/>
                  <w:vAlign w:val="center"/>
                </w:tcPr>
                <w:p>
                  <w:pPr>
                    <w:jc w:val="center"/>
                    <w:rPr>
                      <w:rFonts w:hint="eastAsia"/>
                      <w:b/>
                      <w:bCs/>
                    </w:rPr>
                  </w:pPr>
                  <w:r>
                    <w:rPr>
                      <w:rFonts w:hint="eastAsia"/>
                      <w:b/>
                      <w:bCs/>
                    </w:rPr>
                    <w:t>产污设施</w:t>
                  </w:r>
                </w:p>
              </w:tc>
              <w:tc>
                <w:tcPr>
                  <w:tcW w:w="675" w:type="pct"/>
                  <w:noWrap w:val="0"/>
                  <w:vAlign w:val="center"/>
                </w:tcPr>
                <w:p>
                  <w:pPr>
                    <w:jc w:val="center"/>
                    <w:rPr>
                      <w:rFonts w:hint="eastAsia"/>
                      <w:b/>
                      <w:bCs/>
                    </w:rPr>
                  </w:pPr>
                  <w:r>
                    <w:rPr>
                      <w:rFonts w:hint="eastAsia"/>
                      <w:b/>
                      <w:bCs/>
                    </w:rPr>
                    <w:t>产污设施编号</w:t>
                  </w:r>
                </w:p>
              </w:tc>
              <w:tc>
                <w:tcPr>
                  <w:tcW w:w="675" w:type="pct"/>
                  <w:noWrap w:val="0"/>
                  <w:vAlign w:val="center"/>
                </w:tcPr>
                <w:p>
                  <w:pPr>
                    <w:jc w:val="center"/>
                    <w:rPr>
                      <w:rFonts w:hint="eastAsia"/>
                      <w:b/>
                      <w:bCs/>
                    </w:rPr>
                  </w:pPr>
                  <w:r>
                    <w:rPr>
                      <w:rFonts w:hint="eastAsia"/>
                      <w:b/>
                      <w:bCs/>
                    </w:rPr>
                    <w:t>产污环节</w:t>
                  </w:r>
                </w:p>
              </w:tc>
              <w:tc>
                <w:tcPr>
                  <w:tcW w:w="1012" w:type="pct"/>
                  <w:noWrap w:val="0"/>
                  <w:vAlign w:val="center"/>
                </w:tcPr>
                <w:p>
                  <w:pPr>
                    <w:jc w:val="center"/>
                    <w:rPr>
                      <w:rFonts w:hint="eastAsia"/>
                      <w:b/>
                      <w:bCs/>
                    </w:rPr>
                  </w:pPr>
                  <w:r>
                    <w:rPr>
                      <w:rFonts w:hint="eastAsia"/>
                      <w:b/>
                      <w:bCs/>
                    </w:rPr>
                    <w:t>污染物种类</w:t>
                  </w:r>
                </w:p>
              </w:tc>
              <w:tc>
                <w:tcPr>
                  <w:tcW w:w="675" w:type="pct"/>
                  <w:noWrap w:val="0"/>
                  <w:vAlign w:val="center"/>
                </w:tcPr>
                <w:p>
                  <w:pPr>
                    <w:jc w:val="center"/>
                    <w:rPr>
                      <w:rFonts w:hint="eastAsia"/>
                      <w:b/>
                      <w:bCs/>
                    </w:rPr>
                  </w:pPr>
                  <w:r>
                    <w:rPr>
                      <w:rFonts w:hint="eastAsia"/>
                      <w:b/>
                      <w:bCs/>
                    </w:rPr>
                    <w:t>排放形式</w:t>
                  </w:r>
                </w:p>
              </w:tc>
              <w:tc>
                <w:tcPr>
                  <w:tcW w:w="593" w:type="pct"/>
                  <w:noWrap w:val="0"/>
                  <w:vAlign w:val="center"/>
                </w:tcPr>
                <w:p>
                  <w:pPr>
                    <w:jc w:val="center"/>
                    <w:rPr>
                      <w:b/>
                      <w:bCs/>
                    </w:rPr>
                  </w:pPr>
                  <w:r>
                    <w:rPr>
                      <w:rFonts w:hint="eastAsia"/>
                      <w:b/>
                      <w:bCs/>
                    </w:rPr>
                    <w:t>其他</w:t>
                  </w:r>
                </w:p>
                <w:p>
                  <w:pPr>
                    <w:jc w:val="center"/>
                    <w:rPr>
                      <w:rFonts w:hint="eastAsia"/>
                      <w:b/>
                      <w:bCs/>
                    </w:rPr>
                  </w:pPr>
                  <w:r>
                    <w:rPr>
                      <w:rFonts w:hint="eastAsia"/>
                      <w:b/>
                      <w:bCs/>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1</w:t>
                  </w:r>
                </w:p>
              </w:tc>
              <w:tc>
                <w:tcPr>
                  <w:tcW w:w="928" w:type="pct"/>
                  <w:noWrap w:val="0"/>
                  <w:vAlign w:val="center"/>
                </w:tcPr>
                <w:p>
                  <w:pPr>
                    <w:jc w:val="center"/>
                    <w:rPr>
                      <w:rFonts w:hint="eastAsia"/>
                    </w:rPr>
                  </w:pPr>
                  <w:r>
                    <w:rPr>
                      <w:rFonts w:hint="eastAsia"/>
                    </w:rPr>
                    <w:t>卸油区</w:t>
                  </w:r>
                </w:p>
              </w:tc>
              <w:tc>
                <w:tcPr>
                  <w:tcW w:w="675" w:type="pct"/>
                  <w:noWrap w:val="0"/>
                  <w:vAlign w:val="center"/>
                </w:tcPr>
                <w:p>
                  <w:pPr>
                    <w:jc w:val="center"/>
                    <w:rPr>
                      <w:rFonts w:hint="eastAsia"/>
                    </w:rPr>
                  </w:pPr>
                  <w:r>
                    <w:rPr>
                      <w:rFonts w:hint="eastAsia"/>
                    </w:rPr>
                    <w:t>MF</w:t>
                  </w:r>
                  <w:r>
                    <w:t>0001</w:t>
                  </w:r>
                </w:p>
              </w:tc>
              <w:tc>
                <w:tcPr>
                  <w:tcW w:w="675" w:type="pct"/>
                  <w:noWrap w:val="0"/>
                  <w:vAlign w:val="center"/>
                </w:tcPr>
                <w:p>
                  <w:pPr>
                    <w:jc w:val="center"/>
                    <w:rPr>
                      <w:rFonts w:hint="eastAsia"/>
                    </w:rPr>
                  </w:pPr>
                  <w:r>
                    <w:rPr>
                      <w:rFonts w:hint="eastAsia"/>
                    </w:rPr>
                    <w:t>卸油</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2</w:t>
                  </w:r>
                </w:p>
              </w:tc>
              <w:tc>
                <w:tcPr>
                  <w:tcW w:w="928" w:type="pct"/>
                  <w:noWrap w:val="0"/>
                  <w:vAlign w:val="center"/>
                </w:tcPr>
                <w:p>
                  <w:pPr>
                    <w:jc w:val="center"/>
                    <w:rPr>
                      <w:rFonts w:hint="eastAsia"/>
                    </w:rPr>
                  </w:pPr>
                  <w:r>
                    <w:rPr>
                      <w:rFonts w:hint="eastAsia"/>
                    </w:rPr>
                    <w:t>油罐区</w:t>
                  </w:r>
                </w:p>
              </w:tc>
              <w:tc>
                <w:tcPr>
                  <w:tcW w:w="675" w:type="pct"/>
                  <w:noWrap w:val="0"/>
                  <w:vAlign w:val="center"/>
                </w:tcPr>
                <w:p>
                  <w:pPr>
                    <w:jc w:val="center"/>
                    <w:rPr>
                      <w:rFonts w:hint="eastAsia"/>
                    </w:rPr>
                  </w:pPr>
                  <w:r>
                    <w:rPr>
                      <w:rFonts w:hint="eastAsia"/>
                    </w:rPr>
                    <w:t>MF</w:t>
                  </w:r>
                  <w:r>
                    <w:t>000</w:t>
                  </w:r>
                  <w:r>
                    <w:rPr>
                      <w:rFonts w:hint="eastAsia"/>
                    </w:rPr>
                    <w:t>2</w:t>
                  </w:r>
                </w:p>
              </w:tc>
              <w:tc>
                <w:tcPr>
                  <w:tcW w:w="675" w:type="pct"/>
                  <w:noWrap w:val="0"/>
                  <w:vAlign w:val="center"/>
                </w:tcPr>
                <w:p>
                  <w:pPr>
                    <w:jc w:val="center"/>
                    <w:rPr>
                      <w:rFonts w:hint="eastAsia"/>
                    </w:rPr>
                  </w:pPr>
                  <w:r>
                    <w:rPr>
                      <w:rFonts w:hint="eastAsia"/>
                    </w:rPr>
                    <w:t>储油</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3</w:t>
                  </w:r>
                </w:p>
              </w:tc>
              <w:tc>
                <w:tcPr>
                  <w:tcW w:w="928" w:type="pct"/>
                  <w:noWrap w:val="0"/>
                  <w:vAlign w:val="center"/>
                </w:tcPr>
                <w:p>
                  <w:pPr>
                    <w:jc w:val="center"/>
                    <w:rPr>
                      <w:rFonts w:hint="eastAsia"/>
                    </w:rPr>
                  </w:pPr>
                  <w:r>
                    <w:rPr>
                      <w:rFonts w:hint="eastAsia"/>
                    </w:rPr>
                    <w:t>加油机</w:t>
                  </w:r>
                </w:p>
              </w:tc>
              <w:tc>
                <w:tcPr>
                  <w:tcW w:w="675" w:type="pct"/>
                  <w:noWrap w:val="0"/>
                  <w:vAlign w:val="center"/>
                </w:tcPr>
                <w:p>
                  <w:pPr>
                    <w:jc w:val="center"/>
                    <w:rPr>
                      <w:rFonts w:hint="eastAsia"/>
                    </w:rPr>
                  </w:pPr>
                  <w:r>
                    <w:rPr>
                      <w:rFonts w:hint="eastAsia"/>
                    </w:rPr>
                    <w:t>MF</w:t>
                  </w:r>
                  <w:r>
                    <w:t>000</w:t>
                  </w:r>
                  <w:r>
                    <w:rPr>
                      <w:rFonts w:hint="eastAsia"/>
                    </w:rPr>
                    <w:t>3</w:t>
                  </w:r>
                </w:p>
              </w:tc>
              <w:tc>
                <w:tcPr>
                  <w:tcW w:w="675" w:type="pct"/>
                  <w:noWrap w:val="0"/>
                  <w:vAlign w:val="center"/>
                </w:tcPr>
                <w:p>
                  <w:pPr>
                    <w:jc w:val="center"/>
                    <w:rPr>
                      <w:rFonts w:hint="eastAsia"/>
                    </w:rPr>
                  </w:pPr>
                  <w:r>
                    <w:rPr>
                      <w:rFonts w:hint="eastAsia"/>
                    </w:rPr>
                    <w:t>加油</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4</w:t>
                  </w:r>
                </w:p>
              </w:tc>
              <w:tc>
                <w:tcPr>
                  <w:tcW w:w="928" w:type="pct"/>
                  <w:noWrap w:val="0"/>
                  <w:vAlign w:val="center"/>
                </w:tcPr>
                <w:p>
                  <w:pPr>
                    <w:jc w:val="center"/>
                    <w:rPr>
                      <w:rFonts w:hint="eastAsia"/>
                    </w:rPr>
                  </w:pPr>
                  <w:r>
                    <w:rPr>
                      <w:rFonts w:hint="eastAsia"/>
                    </w:rPr>
                    <w:t>LNG卸车区</w:t>
                  </w:r>
                </w:p>
              </w:tc>
              <w:tc>
                <w:tcPr>
                  <w:tcW w:w="675" w:type="pct"/>
                  <w:noWrap w:val="0"/>
                  <w:vAlign w:val="center"/>
                </w:tcPr>
                <w:p>
                  <w:pPr>
                    <w:jc w:val="center"/>
                    <w:rPr>
                      <w:rFonts w:hint="eastAsia"/>
                    </w:rPr>
                  </w:pPr>
                  <w:r>
                    <w:rPr>
                      <w:rFonts w:hint="eastAsia"/>
                    </w:rPr>
                    <w:t>MF</w:t>
                  </w:r>
                  <w:r>
                    <w:t>000</w:t>
                  </w:r>
                  <w:r>
                    <w:rPr>
                      <w:rFonts w:hint="eastAsia"/>
                    </w:rPr>
                    <w:t>4</w:t>
                  </w:r>
                </w:p>
              </w:tc>
              <w:tc>
                <w:tcPr>
                  <w:tcW w:w="675" w:type="pct"/>
                  <w:noWrap w:val="0"/>
                  <w:vAlign w:val="center"/>
                </w:tcPr>
                <w:p>
                  <w:pPr>
                    <w:jc w:val="center"/>
                    <w:rPr>
                      <w:rFonts w:hint="eastAsia"/>
                    </w:rPr>
                  </w:pPr>
                  <w:r>
                    <w:rPr>
                      <w:rFonts w:hint="eastAsia"/>
                    </w:rPr>
                    <w:t>LNG卸气</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5</w:t>
                  </w:r>
                </w:p>
              </w:tc>
              <w:tc>
                <w:tcPr>
                  <w:tcW w:w="928" w:type="pct"/>
                  <w:noWrap w:val="0"/>
                  <w:vAlign w:val="center"/>
                </w:tcPr>
                <w:p>
                  <w:pPr>
                    <w:jc w:val="center"/>
                    <w:rPr>
                      <w:rFonts w:hint="eastAsia"/>
                    </w:rPr>
                  </w:pPr>
                  <w:r>
                    <w:rPr>
                      <w:rFonts w:hint="eastAsia"/>
                    </w:rPr>
                    <w:t>LNG储罐区</w:t>
                  </w:r>
                </w:p>
              </w:tc>
              <w:tc>
                <w:tcPr>
                  <w:tcW w:w="675" w:type="pct"/>
                  <w:noWrap w:val="0"/>
                  <w:vAlign w:val="center"/>
                </w:tcPr>
                <w:p>
                  <w:pPr>
                    <w:jc w:val="center"/>
                    <w:rPr>
                      <w:rFonts w:hint="eastAsia"/>
                    </w:rPr>
                  </w:pPr>
                  <w:r>
                    <w:rPr>
                      <w:rFonts w:hint="eastAsia"/>
                    </w:rPr>
                    <w:t>MF</w:t>
                  </w:r>
                  <w:r>
                    <w:t>000</w:t>
                  </w:r>
                  <w:r>
                    <w:rPr>
                      <w:rFonts w:hint="eastAsia"/>
                    </w:rPr>
                    <w:t>5</w:t>
                  </w:r>
                </w:p>
              </w:tc>
              <w:tc>
                <w:tcPr>
                  <w:tcW w:w="675" w:type="pct"/>
                  <w:noWrap w:val="0"/>
                  <w:vAlign w:val="center"/>
                </w:tcPr>
                <w:p>
                  <w:pPr>
                    <w:jc w:val="center"/>
                    <w:rPr>
                      <w:rFonts w:hint="eastAsia"/>
                    </w:rPr>
                  </w:pPr>
                  <w:r>
                    <w:rPr>
                      <w:rFonts w:hint="eastAsia"/>
                    </w:rPr>
                    <w:t>储气</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6</w:t>
                  </w:r>
                </w:p>
              </w:tc>
              <w:tc>
                <w:tcPr>
                  <w:tcW w:w="928" w:type="pct"/>
                  <w:noWrap w:val="0"/>
                  <w:vAlign w:val="center"/>
                </w:tcPr>
                <w:p>
                  <w:pPr>
                    <w:jc w:val="center"/>
                    <w:rPr>
                      <w:rFonts w:hint="eastAsia"/>
                    </w:rPr>
                  </w:pPr>
                  <w:r>
                    <w:rPr>
                      <w:rFonts w:hint="eastAsia"/>
                    </w:rPr>
                    <w:t>加气机</w:t>
                  </w:r>
                </w:p>
              </w:tc>
              <w:tc>
                <w:tcPr>
                  <w:tcW w:w="675" w:type="pct"/>
                  <w:noWrap w:val="0"/>
                  <w:vAlign w:val="center"/>
                </w:tcPr>
                <w:p>
                  <w:pPr>
                    <w:jc w:val="center"/>
                    <w:rPr>
                      <w:rFonts w:hint="eastAsia"/>
                    </w:rPr>
                  </w:pPr>
                  <w:r>
                    <w:rPr>
                      <w:rFonts w:hint="eastAsia"/>
                    </w:rPr>
                    <w:t>MF</w:t>
                  </w:r>
                  <w:r>
                    <w:t>000</w:t>
                  </w:r>
                  <w:r>
                    <w:rPr>
                      <w:rFonts w:hint="eastAsia"/>
                    </w:rPr>
                    <w:t>6</w:t>
                  </w:r>
                </w:p>
              </w:tc>
              <w:tc>
                <w:tcPr>
                  <w:tcW w:w="675" w:type="pct"/>
                  <w:noWrap w:val="0"/>
                  <w:vAlign w:val="center"/>
                </w:tcPr>
                <w:p>
                  <w:pPr>
                    <w:jc w:val="center"/>
                    <w:rPr>
                      <w:rFonts w:hint="eastAsia"/>
                    </w:rPr>
                  </w:pPr>
                  <w:r>
                    <w:rPr>
                      <w:rFonts w:hint="eastAsia"/>
                    </w:rPr>
                    <w:t>加气</w:t>
                  </w:r>
                </w:p>
              </w:tc>
              <w:tc>
                <w:tcPr>
                  <w:tcW w:w="1012" w:type="pct"/>
                  <w:noWrap w:val="0"/>
                  <w:vAlign w:val="center"/>
                </w:tcPr>
                <w:p>
                  <w:pPr>
                    <w:jc w:val="center"/>
                    <w:rPr>
                      <w:rFonts w:hint="eastAsia"/>
                    </w:rPr>
                  </w:pPr>
                  <w:r>
                    <w:rPr>
                      <w:rFonts w:hint="eastAsia"/>
                    </w:rPr>
                    <w:t>非甲烷总烃</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7</w:t>
                  </w:r>
                </w:p>
              </w:tc>
              <w:tc>
                <w:tcPr>
                  <w:tcW w:w="928" w:type="pct"/>
                  <w:noWrap w:val="0"/>
                  <w:vAlign w:val="center"/>
                </w:tcPr>
                <w:p>
                  <w:pPr>
                    <w:jc w:val="center"/>
                    <w:rPr>
                      <w:rFonts w:hint="eastAsia"/>
                    </w:rPr>
                  </w:pPr>
                  <w:r>
                    <w:rPr>
                      <w:rFonts w:hint="eastAsia"/>
                    </w:rPr>
                    <w:t>柴油发电机房</w:t>
                  </w:r>
                </w:p>
              </w:tc>
              <w:tc>
                <w:tcPr>
                  <w:tcW w:w="675" w:type="pct"/>
                  <w:noWrap w:val="0"/>
                  <w:vAlign w:val="center"/>
                </w:tcPr>
                <w:p>
                  <w:pPr>
                    <w:jc w:val="center"/>
                    <w:rPr>
                      <w:rFonts w:hint="eastAsia"/>
                    </w:rPr>
                  </w:pPr>
                  <w:r>
                    <w:rPr>
                      <w:rFonts w:hint="eastAsia"/>
                    </w:rPr>
                    <w:t>MF</w:t>
                  </w:r>
                  <w:r>
                    <w:t>000</w:t>
                  </w:r>
                  <w:r>
                    <w:rPr>
                      <w:rFonts w:hint="eastAsia"/>
                    </w:rPr>
                    <w:t>7</w:t>
                  </w:r>
                </w:p>
              </w:tc>
              <w:tc>
                <w:tcPr>
                  <w:tcW w:w="675" w:type="pct"/>
                  <w:noWrap w:val="0"/>
                  <w:vAlign w:val="center"/>
                </w:tcPr>
                <w:p>
                  <w:pPr>
                    <w:jc w:val="center"/>
                    <w:rPr>
                      <w:rFonts w:hint="eastAsia"/>
                    </w:rPr>
                  </w:pPr>
                  <w:r>
                    <w:rPr>
                      <w:rFonts w:hint="eastAsia"/>
                    </w:rPr>
                    <w:t>柴油发电</w:t>
                  </w:r>
                </w:p>
              </w:tc>
              <w:tc>
                <w:tcPr>
                  <w:tcW w:w="1012" w:type="pct"/>
                  <w:noWrap w:val="0"/>
                  <w:vAlign w:val="center"/>
                </w:tcPr>
                <w:p>
                  <w:pPr>
                    <w:jc w:val="center"/>
                    <w:rPr>
                      <w:rFonts w:hint="eastAsia"/>
                    </w:rPr>
                  </w:pPr>
                  <w:r>
                    <w:rPr>
                      <w:rFonts w:hint="eastAsia"/>
                    </w:rPr>
                    <w:t>S</w:t>
                  </w:r>
                  <w:r>
                    <w:t>O</w:t>
                  </w:r>
                  <w:r>
                    <w:rPr>
                      <w:rFonts w:hint="eastAsia"/>
                      <w:vertAlign w:val="subscript"/>
                    </w:rPr>
                    <w:t>2</w:t>
                  </w:r>
                  <w:r>
                    <w:rPr>
                      <w:rFonts w:hint="eastAsia"/>
                    </w:rPr>
                    <w:t>、NO</w:t>
                  </w:r>
                  <w:r>
                    <w:t>x</w:t>
                  </w:r>
                  <w:r>
                    <w:rPr>
                      <w:rFonts w:hint="eastAsia"/>
                    </w:rPr>
                    <w:t>、烟尘</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停电时使用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noWrap w:val="0"/>
                  <w:vAlign w:val="center"/>
                </w:tcPr>
                <w:p>
                  <w:pPr>
                    <w:jc w:val="center"/>
                    <w:rPr>
                      <w:rFonts w:hint="eastAsia"/>
                    </w:rPr>
                  </w:pPr>
                  <w:r>
                    <w:rPr>
                      <w:rFonts w:hint="eastAsia"/>
                    </w:rPr>
                    <w:t>8</w:t>
                  </w:r>
                </w:p>
              </w:tc>
              <w:tc>
                <w:tcPr>
                  <w:tcW w:w="928" w:type="pct"/>
                  <w:noWrap w:val="0"/>
                  <w:vAlign w:val="center"/>
                </w:tcPr>
                <w:p>
                  <w:pPr>
                    <w:jc w:val="center"/>
                    <w:rPr>
                      <w:rFonts w:hint="eastAsia"/>
                    </w:rPr>
                  </w:pPr>
                  <w:r>
                    <w:rPr>
                      <w:rFonts w:hint="eastAsia"/>
                    </w:rPr>
                    <w:t>加油加气站内</w:t>
                  </w:r>
                </w:p>
              </w:tc>
              <w:tc>
                <w:tcPr>
                  <w:tcW w:w="675" w:type="pct"/>
                  <w:noWrap w:val="0"/>
                  <w:vAlign w:val="center"/>
                </w:tcPr>
                <w:p>
                  <w:pPr>
                    <w:jc w:val="center"/>
                    <w:rPr>
                      <w:rFonts w:hint="eastAsia"/>
                    </w:rPr>
                  </w:pPr>
                  <w:r>
                    <w:rPr>
                      <w:rFonts w:hint="eastAsia"/>
                    </w:rPr>
                    <w:t>/</w:t>
                  </w:r>
                </w:p>
              </w:tc>
              <w:tc>
                <w:tcPr>
                  <w:tcW w:w="675" w:type="pct"/>
                  <w:noWrap w:val="0"/>
                  <w:vAlign w:val="center"/>
                </w:tcPr>
                <w:p>
                  <w:pPr>
                    <w:jc w:val="center"/>
                    <w:rPr>
                      <w:rFonts w:hint="eastAsia"/>
                    </w:rPr>
                  </w:pPr>
                  <w:r>
                    <w:rPr>
                      <w:rFonts w:hint="eastAsia"/>
                    </w:rPr>
                    <w:t>进出车辆</w:t>
                  </w:r>
                </w:p>
              </w:tc>
              <w:tc>
                <w:tcPr>
                  <w:tcW w:w="1012" w:type="pct"/>
                  <w:noWrap w:val="0"/>
                  <w:vAlign w:val="center"/>
                </w:tcPr>
                <w:p>
                  <w:pPr>
                    <w:jc w:val="center"/>
                    <w:rPr>
                      <w:rFonts w:hint="eastAsia"/>
                    </w:rPr>
                  </w:pPr>
                  <w:r>
                    <w:rPr>
                      <w:rFonts w:hint="eastAsia"/>
                    </w:rPr>
                    <w:t>S</w:t>
                  </w:r>
                  <w:r>
                    <w:t>O</w:t>
                  </w:r>
                  <w:r>
                    <w:rPr>
                      <w:rFonts w:hint="eastAsia"/>
                      <w:vertAlign w:val="subscript"/>
                    </w:rPr>
                    <w:t>2</w:t>
                  </w:r>
                  <w:r>
                    <w:rPr>
                      <w:rFonts w:hint="eastAsia"/>
                    </w:rPr>
                    <w:t>、NO</w:t>
                  </w:r>
                  <w:r>
                    <w:t>x</w:t>
                  </w:r>
                  <w:r>
                    <w:rPr>
                      <w:rFonts w:hint="eastAsia"/>
                    </w:rPr>
                    <w:t>、</w:t>
                  </w:r>
                  <w:r>
                    <w:t>HC</w:t>
                  </w:r>
                </w:p>
              </w:tc>
              <w:tc>
                <w:tcPr>
                  <w:tcW w:w="675" w:type="pct"/>
                  <w:noWrap w:val="0"/>
                  <w:vAlign w:val="center"/>
                </w:tcPr>
                <w:p>
                  <w:pPr>
                    <w:jc w:val="center"/>
                    <w:rPr>
                      <w:rFonts w:hint="eastAsia"/>
                    </w:rPr>
                  </w:pPr>
                  <w:r>
                    <w:rPr>
                      <w:rFonts w:hint="eastAsia"/>
                    </w:rPr>
                    <w:t>无组织</w:t>
                  </w:r>
                </w:p>
              </w:tc>
              <w:tc>
                <w:tcPr>
                  <w:tcW w:w="593" w:type="pct"/>
                  <w:noWrap w:val="0"/>
                  <w:vAlign w:val="center"/>
                </w:tcPr>
                <w:p>
                  <w:pPr>
                    <w:jc w:val="center"/>
                    <w:rPr>
                      <w:rFonts w:hint="eastAsia"/>
                    </w:rPr>
                  </w:pPr>
                  <w:r>
                    <w:rPr>
                      <w:rFonts w:hint="eastAsia"/>
                    </w:rPr>
                    <w:t>/</w:t>
                  </w:r>
                </w:p>
              </w:tc>
            </w:tr>
          </w:tbl>
          <w:p>
            <w:pPr>
              <w:jc w:val="center"/>
              <w:rPr>
                <w:rFonts w:hint="eastAsia"/>
                <w:b/>
                <w:spacing w:val="-2"/>
                <w:szCs w:val="21"/>
              </w:rPr>
            </w:pPr>
            <w:r>
              <w:rPr>
                <w:rFonts w:hint="eastAsia"/>
                <w:b/>
                <w:spacing w:val="-2"/>
                <w:szCs w:val="21"/>
              </w:rPr>
              <w:t>表4-7大气污染物无组织排放表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40"/>
              <w:gridCol w:w="648"/>
              <w:gridCol w:w="835"/>
              <w:gridCol w:w="2580"/>
              <w:gridCol w:w="1314"/>
              <w:gridCol w:w="1220"/>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restart"/>
                  <w:noWrap w:val="0"/>
                  <w:vAlign w:val="center"/>
                </w:tcPr>
                <w:p>
                  <w:pPr>
                    <w:jc w:val="center"/>
                    <w:rPr>
                      <w:rFonts w:hint="eastAsia"/>
                      <w:b/>
                      <w:bCs/>
                    </w:rPr>
                  </w:pPr>
                  <w:r>
                    <w:rPr>
                      <w:rFonts w:hint="eastAsia"/>
                      <w:b/>
                      <w:bCs/>
                    </w:rPr>
                    <w:t>序号</w:t>
                  </w:r>
                </w:p>
              </w:tc>
              <w:tc>
                <w:tcPr>
                  <w:tcW w:w="559" w:type="pct"/>
                  <w:vMerge w:val="restart"/>
                  <w:noWrap w:val="0"/>
                  <w:vAlign w:val="center"/>
                </w:tcPr>
                <w:p>
                  <w:pPr>
                    <w:jc w:val="center"/>
                    <w:rPr>
                      <w:rFonts w:hint="eastAsia"/>
                      <w:b/>
                      <w:bCs/>
                    </w:rPr>
                  </w:pPr>
                  <w:r>
                    <w:rPr>
                      <w:rFonts w:hint="eastAsia"/>
                      <w:b/>
                      <w:bCs/>
                    </w:rPr>
                    <w:t>产污设施编号</w:t>
                  </w:r>
                </w:p>
              </w:tc>
              <w:tc>
                <w:tcPr>
                  <w:tcW w:w="386" w:type="pct"/>
                  <w:vMerge w:val="restart"/>
                  <w:noWrap w:val="0"/>
                  <w:vAlign w:val="center"/>
                </w:tcPr>
                <w:p>
                  <w:pPr>
                    <w:jc w:val="center"/>
                    <w:rPr>
                      <w:rFonts w:hint="eastAsia"/>
                      <w:b/>
                      <w:bCs/>
                    </w:rPr>
                  </w:pPr>
                  <w:r>
                    <w:rPr>
                      <w:rFonts w:hint="eastAsia"/>
                      <w:b/>
                      <w:bCs/>
                    </w:rPr>
                    <w:t>产污环节</w:t>
                  </w:r>
                </w:p>
              </w:tc>
              <w:tc>
                <w:tcPr>
                  <w:tcW w:w="497" w:type="pct"/>
                  <w:vMerge w:val="restart"/>
                  <w:noWrap w:val="0"/>
                  <w:vAlign w:val="center"/>
                </w:tcPr>
                <w:p>
                  <w:pPr>
                    <w:jc w:val="center"/>
                    <w:rPr>
                      <w:rFonts w:hint="eastAsia"/>
                      <w:b/>
                      <w:bCs/>
                    </w:rPr>
                  </w:pPr>
                  <w:r>
                    <w:rPr>
                      <w:rFonts w:hint="eastAsia"/>
                      <w:b/>
                      <w:bCs/>
                    </w:rPr>
                    <w:t>污染物种类</w:t>
                  </w:r>
                </w:p>
              </w:tc>
              <w:tc>
                <w:tcPr>
                  <w:tcW w:w="1540" w:type="pct"/>
                  <w:vMerge w:val="restart"/>
                  <w:noWrap w:val="0"/>
                  <w:vAlign w:val="center"/>
                </w:tcPr>
                <w:p>
                  <w:pPr>
                    <w:jc w:val="center"/>
                    <w:rPr>
                      <w:rFonts w:hint="eastAsia"/>
                      <w:b/>
                      <w:bCs/>
                    </w:rPr>
                  </w:pPr>
                  <w:r>
                    <w:rPr>
                      <w:rFonts w:hint="eastAsia"/>
                      <w:b/>
                      <w:bCs/>
                    </w:rPr>
                    <w:t>主要污染防治措施</w:t>
                  </w:r>
                </w:p>
              </w:tc>
              <w:tc>
                <w:tcPr>
                  <w:tcW w:w="1509" w:type="pct"/>
                  <w:gridSpan w:val="2"/>
                  <w:noWrap w:val="0"/>
                  <w:vAlign w:val="center"/>
                </w:tcPr>
                <w:p>
                  <w:pPr>
                    <w:jc w:val="center"/>
                    <w:rPr>
                      <w:rFonts w:hint="eastAsia"/>
                      <w:b/>
                      <w:bCs/>
                    </w:rPr>
                  </w:pPr>
                  <w:r>
                    <w:rPr>
                      <w:rFonts w:hint="eastAsia"/>
                      <w:b/>
                      <w:bCs/>
                    </w:rPr>
                    <w:t>排放标准</w:t>
                  </w:r>
                </w:p>
              </w:tc>
              <w:tc>
                <w:tcPr>
                  <w:tcW w:w="254" w:type="pct"/>
                  <w:vMerge w:val="restart"/>
                  <w:noWrap w:val="0"/>
                  <w:vAlign w:val="center"/>
                </w:tcPr>
                <w:p>
                  <w:pPr>
                    <w:jc w:val="center"/>
                    <w:rPr>
                      <w:b/>
                      <w:bCs/>
                    </w:rPr>
                  </w:pPr>
                  <w:r>
                    <w:rPr>
                      <w:rFonts w:hint="eastAsia"/>
                      <w:b/>
                      <w:bCs/>
                    </w:rPr>
                    <w:t>其他</w:t>
                  </w:r>
                </w:p>
                <w:p>
                  <w:pPr>
                    <w:jc w:val="center"/>
                    <w:rPr>
                      <w:rFonts w:hint="eastAsia"/>
                    </w:rPr>
                  </w:pPr>
                  <w:r>
                    <w:rPr>
                      <w:rFonts w:hint="eastAsia"/>
                      <w:b/>
                      <w:bCs/>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noWrap w:val="0"/>
                  <w:vAlign w:val="center"/>
                </w:tcPr>
                <w:p>
                  <w:pPr>
                    <w:jc w:val="center"/>
                    <w:rPr>
                      <w:rFonts w:hint="eastAsia"/>
                      <w:b/>
                      <w:bCs/>
                    </w:rPr>
                  </w:pPr>
                </w:p>
              </w:tc>
              <w:tc>
                <w:tcPr>
                  <w:tcW w:w="559" w:type="pct"/>
                  <w:vMerge w:val="continue"/>
                  <w:noWrap w:val="0"/>
                  <w:vAlign w:val="center"/>
                </w:tcPr>
                <w:p>
                  <w:pPr>
                    <w:jc w:val="center"/>
                    <w:rPr>
                      <w:rFonts w:hint="eastAsia"/>
                      <w:b/>
                      <w:bCs/>
                    </w:rPr>
                  </w:pPr>
                </w:p>
              </w:tc>
              <w:tc>
                <w:tcPr>
                  <w:tcW w:w="386" w:type="pct"/>
                  <w:vMerge w:val="continue"/>
                  <w:noWrap w:val="0"/>
                  <w:vAlign w:val="center"/>
                </w:tcPr>
                <w:p>
                  <w:pPr>
                    <w:jc w:val="center"/>
                    <w:rPr>
                      <w:rFonts w:hint="eastAsia"/>
                      <w:b/>
                      <w:bCs/>
                    </w:rPr>
                  </w:pPr>
                </w:p>
              </w:tc>
              <w:tc>
                <w:tcPr>
                  <w:tcW w:w="497" w:type="pct"/>
                  <w:vMerge w:val="continue"/>
                  <w:noWrap w:val="0"/>
                  <w:vAlign w:val="center"/>
                </w:tcPr>
                <w:p>
                  <w:pPr>
                    <w:jc w:val="center"/>
                    <w:rPr>
                      <w:rFonts w:hint="eastAsia"/>
                      <w:b/>
                      <w:bCs/>
                    </w:rPr>
                  </w:pPr>
                </w:p>
              </w:tc>
              <w:tc>
                <w:tcPr>
                  <w:tcW w:w="1540" w:type="pct"/>
                  <w:vMerge w:val="continue"/>
                  <w:noWrap w:val="0"/>
                  <w:vAlign w:val="center"/>
                </w:tcPr>
                <w:p>
                  <w:pPr>
                    <w:jc w:val="center"/>
                    <w:rPr>
                      <w:rFonts w:hint="eastAsia"/>
                      <w:b/>
                      <w:bCs/>
                    </w:rPr>
                  </w:pPr>
                </w:p>
              </w:tc>
              <w:tc>
                <w:tcPr>
                  <w:tcW w:w="781" w:type="pct"/>
                  <w:noWrap w:val="0"/>
                  <w:vAlign w:val="center"/>
                </w:tcPr>
                <w:p>
                  <w:pPr>
                    <w:jc w:val="center"/>
                    <w:rPr>
                      <w:rFonts w:hint="eastAsia"/>
                      <w:b/>
                      <w:bCs/>
                    </w:rPr>
                  </w:pPr>
                  <w:r>
                    <w:rPr>
                      <w:rFonts w:hint="eastAsia"/>
                      <w:b/>
                      <w:bCs/>
                    </w:rPr>
                    <w:t>名称</w:t>
                  </w:r>
                </w:p>
              </w:tc>
              <w:tc>
                <w:tcPr>
                  <w:tcW w:w="728" w:type="pct"/>
                  <w:noWrap w:val="0"/>
                  <w:vAlign w:val="center"/>
                </w:tcPr>
                <w:p>
                  <w:pPr>
                    <w:jc w:val="center"/>
                    <w:rPr>
                      <w:rFonts w:hint="eastAsia"/>
                      <w:b/>
                      <w:bCs/>
                    </w:rPr>
                  </w:pPr>
                  <w:r>
                    <w:rPr>
                      <w:rFonts w:hint="eastAsia"/>
                      <w:b/>
                      <w:bCs/>
                    </w:rPr>
                    <w:t>浓度限值（mg/</w:t>
                  </w:r>
                  <w:r>
                    <w:rPr>
                      <w:b/>
                      <w:bCs/>
                    </w:rPr>
                    <w:t>m</w:t>
                  </w:r>
                  <w:r>
                    <w:rPr>
                      <w:rFonts w:hint="eastAsia"/>
                      <w:b/>
                      <w:bCs/>
                      <w:vertAlign w:val="superscript"/>
                    </w:rPr>
                    <w:t>3</w:t>
                  </w:r>
                  <w:r>
                    <w:rPr>
                      <w:rFonts w:hint="eastAsia"/>
                      <w:b/>
                      <w:bCs/>
                    </w:rPr>
                    <w:t>）</w:t>
                  </w:r>
                </w:p>
              </w:tc>
              <w:tc>
                <w:tcPr>
                  <w:tcW w:w="254" w:type="pct"/>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1</w:t>
                  </w:r>
                </w:p>
              </w:tc>
              <w:tc>
                <w:tcPr>
                  <w:tcW w:w="559" w:type="pct"/>
                  <w:noWrap w:val="0"/>
                  <w:vAlign w:val="center"/>
                </w:tcPr>
                <w:p>
                  <w:pPr>
                    <w:jc w:val="center"/>
                    <w:rPr>
                      <w:rFonts w:hint="eastAsia"/>
                    </w:rPr>
                  </w:pPr>
                  <w:r>
                    <w:rPr>
                      <w:rFonts w:hint="eastAsia"/>
                    </w:rPr>
                    <w:t>MF</w:t>
                  </w:r>
                  <w:r>
                    <w:t>0001</w:t>
                  </w:r>
                </w:p>
              </w:tc>
              <w:tc>
                <w:tcPr>
                  <w:tcW w:w="386" w:type="pct"/>
                  <w:noWrap w:val="0"/>
                  <w:vAlign w:val="center"/>
                </w:tcPr>
                <w:p>
                  <w:pPr>
                    <w:jc w:val="center"/>
                    <w:rPr>
                      <w:rFonts w:hint="eastAsia"/>
                    </w:rPr>
                  </w:pPr>
                  <w:r>
                    <w:rPr>
                      <w:rFonts w:hint="eastAsia"/>
                    </w:rPr>
                    <w:t>卸油</w:t>
                  </w:r>
                </w:p>
              </w:tc>
              <w:tc>
                <w:tcPr>
                  <w:tcW w:w="497" w:type="pct"/>
                  <w:noWrap w:val="0"/>
                  <w:vAlign w:val="center"/>
                </w:tcPr>
                <w:p>
                  <w:pPr>
                    <w:jc w:val="center"/>
                    <w:rPr>
                      <w:rFonts w:hint="eastAsia"/>
                    </w:rPr>
                  </w:pPr>
                  <w:r>
                    <w:rPr>
                      <w:rFonts w:hint="eastAsia"/>
                    </w:rPr>
                    <w:t>VOCs</w:t>
                  </w:r>
                </w:p>
              </w:tc>
              <w:tc>
                <w:tcPr>
                  <w:tcW w:w="1540" w:type="pct"/>
                  <w:vMerge w:val="restart"/>
                  <w:noWrap w:val="0"/>
                  <w:vAlign w:val="center"/>
                </w:tcPr>
                <w:p>
                  <w:pPr>
                    <w:jc w:val="center"/>
                    <w:rPr>
                      <w:rFonts w:hint="eastAsia"/>
                    </w:rPr>
                  </w:pPr>
                  <w:r>
                    <w:t>设置一</w:t>
                  </w:r>
                  <w:r>
                    <w:rPr>
                      <w:rFonts w:hint="eastAsia"/>
                    </w:rPr>
                    <w:t>、二</w:t>
                  </w:r>
                  <w:r>
                    <w:t>次油气回收系统，收集到的油气直接由气相转化为液相，经管道排入储油罐，其余未能收集的</w:t>
                  </w:r>
                  <w:r>
                    <w:rPr>
                      <w:rFonts w:hint="eastAsia"/>
                    </w:rPr>
                    <w:t>油气经油气处理装置处理后通过不低于4m高通气管排放</w:t>
                  </w:r>
                </w:p>
              </w:tc>
              <w:tc>
                <w:tcPr>
                  <w:tcW w:w="781" w:type="pct"/>
                  <w:vMerge w:val="restart"/>
                  <w:noWrap w:val="0"/>
                  <w:vAlign w:val="center"/>
                </w:tcPr>
                <w:p>
                  <w:pPr>
                    <w:jc w:val="center"/>
                    <w:rPr>
                      <w:rFonts w:hint="eastAsia"/>
                    </w:rPr>
                  </w:pPr>
                  <w:r>
                    <w:t>《四川省加油站大气污染物排放标准》</w:t>
                  </w:r>
                </w:p>
              </w:tc>
              <w:tc>
                <w:tcPr>
                  <w:tcW w:w="728" w:type="pct"/>
                  <w:vMerge w:val="restart"/>
                  <w:noWrap w:val="0"/>
                  <w:vAlign w:val="center"/>
                </w:tcPr>
                <w:p>
                  <w:pPr>
                    <w:jc w:val="center"/>
                    <w:rPr>
                      <w:rFonts w:hint="eastAsia"/>
                    </w:rPr>
                  </w:pPr>
                  <w:r>
                    <w:rPr>
                      <w:rFonts w:hint="eastAsia"/>
                    </w:rPr>
                    <w:t>4</w:t>
                  </w:r>
                </w:p>
              </w:tc>
              <w:tc>
                <w:tcPr>
                  <w:tcW w:w="254" w:type="pct"/>
                  <w:vMerge w:val="restar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2</w:t>
                  </w:r>
                </w:p>
              </w:tc>
              <w:tc>
                <w:tcPr>
                  <w:tcW w:w="559" w:type="pct"/>
                  <w:noWrap w:val="0"/>
                  <w:vAlign w:val="center"/>
                </w:tcPr>
                <w:p>
                  <w:pPr>
                    <w:jc w:val="center"/>
                    <w:rPr>
                      <w:rFonts w:hint="eastAsia"/>
                    </w:rPr>
                  </w:pPr>
                  <w:r>
                    <w:rPr>
                      <w:rFonts w:hint="eastAsia"/>
                    </w:rPr>
                    <w:t>MF</w:t>
                  </w:r>
                  <w:r>
                    <w:t>000</w:t>
                  </w:r>
                  <w:r>
                    <w:rPr>
                      <w:rFonts w:hint="eastAsia"/>
                    </w:rPr>
                    <w:t>2</w:t>
                  </w:r>
                </w:p>
              </w:tc>
              <w:tc>
                <w:tcPr>
                  <w:tcW w:w="386" w:type="pct"/>
                  <w:noWrap w:val="0"/>
                  <w:vAlign w:val="center"/>
                </w:tcPr>
                <w:p>
                  <w:pPr>
                    <w:jc w:val="center"/>
                    <w:rPr>
                      <w:rFonts w:hint="eastAsia"/>
                    </w:rPr>
                  </w:pPr>
                  <w:r>
                    <w:rPr>
                      <w:rFonts w:hint="eastAsia"/>
                    </w:rPr>
                    <w:t>储油</w:t>
                  </w:r>
                </w:p>
              </w:tc>
              <w:tc>
                <w:tcPr>
                  <w:tcW w:w="497" w:type="pct"/>
                  <w:noWrap w:val="0"/>
                  <w:vAlign w:val="center"/>
                </w:tcPr>
                <w:p>
                  <w:pPr>
                    <w:jc w:val="center"/>
                    <w:rPr>
                      <w:rFonts w:hint="eastAsia"/>
                    </w:rPr>
                  </w:pPr>
                  <w:r>
                    <w:rPr>
                      <w:rFonts w:hint="eastAsia"/>
                    </w:rPr>
                    <w:t>VOCs</w:t>
                  </w:r>
                </w:p>
              </w:tc>
              <w:tc>
                <w:tcPr>
                  <w:tcW w:w="1540" w:type="pct"/>
                  <w:vMerge w:val="continue"/>
                  <w:noWrap w:val="0"/>
                  <w:vAlign w:val="center"/>
                </w:tcPr>
                <w:p>
                  <w:pPr>
                    <w:jc w:val="center"/>
                    <w:rPr>
                      <w:rFonts w:hint="eastAsia"/>
                    </w:rPr>
                  </w:pPr>
                </w:p>
              </w:tc>
              <w:tc>
                <w:tcPr>
                  <w:tcW w:w="781" w:type="pct"/>
                  <w:vMerge w:val="continue"/>
                  <w:noWrap w:val="0"/>
                  <w:vAlign w:val="center"/>
                </w:tcPr>
                <w:p>
                  <w:pPr>
                    <w:jc w:val="center"/>
                    <w:rPr>
                      <w:rFonts w:hint="eastAsia"/>
                    </w:rPr>
                  </w:pPr>
                </w:p>
              </w:tc>
              <w:tc>
                <w:tcPr>
                  <w:tcW w:w="728" w:type="pct"/>
                  <w:vMerge w:val="continue"/>
                  <w:noWrap w:val="0"/>
                  <w:vAlign w:val="center"/>
                </w:tcPr>
                <w:p>
                  <w:pPr>
                    <w:jc w:val="center"/>
                    <w:rPr>
                      <w:rFonts w:hint="eastAsia"/>
                    </w:rPr>
                  </w:pPr>
                </w:p>
              </w:tc>
              <w:tc>
                <w:tcPr>
                  <w:tcW w:w="254" w:type="pct"/>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3</w:t>
                  </w:r>
                </w:p>
              </w:tc>
              <w:tc>
                <w:tcPr>
                  <w:tcW w:w="559" w:type="pct"/>
                  <w:noWrap w:val="0"/>
                  <w:vAlign w:val="center"/>
                </w:tcPr>
                <w:p>
                  <w:pPr>
                    <w:jc w:val="center"/>
                    <w:rPr>
                      <w:rFonts w:hint="eastAsia"/>
                    </w:rPr>
                  </w:pPr>
                  <w:r>
                    <w:rPr>
                      <w:rFonts w:hint="eastAsia"/>
                    </w:rPr>
                    <w:t>MF</w:t>
                  </w:r>
                  <w:r>
                    <w:t>000</w:t>
                  </w:r>
                  <w:r>
                    <w:rPr>
                      <w:rFonts w:hint="eastAsia"/>
                    </w:rPr>
                    <w:t>3</w:t>
                  </w:r>
                </w:p>
              </w:tc>
              <w:tc>
                <w:tcPr>
                  <w:tcW w:w="386" w:type="pct"/>
                  <w:noWrap w:val="0"/>
                  <w:vAlign w:val="center"/>
                </w:tcPr>
                <w:p>
                  <w:pPr>
                    <w:jc w:val="center"/>
                    <w:rPr>
                      <w:rFonts w:hint="eastAsia"/>
                    </w:rPr>
                  </w:pPr>
                  <w:r>
                    <w:rPr>
                      <w:rFonts w:hint="eastAsia"/>
                    </w:rPr>
                    <w:t>加油</w:t>
                  </w:r>
                </w:p>
              </w:tc>
              <w:tc>
                <w:tcPr>
                  <w:tcW w:w="497" w:type="pct"/>
                  <w:noWrap w:val="0"/>
                  <w:vAlign w:val="center"/>
                </w:tcPr>
                <w:p>
                  <w:pPr>
                    <w:jc w:val="center"/>
                    <w:rPr>
                      <w:rFonts w:hint="eastAsia"/>
                    </w:rPr>
                  </w:pPr>
                  <w:r>
                    <w:rPr>
                      <w:rFonts w:hint="eastAsia"/>
                    </w:rPr>
                    <w:t>VOCs</w:t>
                  </w:r>
                </w:p>
              </w:tc>
              <w:tc>
                <w:tcPr>
                  <w:tcW w:w="1540" w:type="pct"/>
                  <w:vMerge w:val="continue"/>
                  <w:noWrap w:val="0"/>
                  <w:vAlign w:val="center"/>
                </w:tcPr>
                <w:p>
                  <w:pPr>
                    <w:jc w:val="center"/>
                    <w:rPr>
                      <w:rFonts w:hint="eastAsia"/>
                    </w:rPr>
                  </w:pPr>
                </w:p>
              </w:tc>
              <w:tc>
                <w:tcPr>
                  <w:tcW w:w="781" w:type="pct"/>
                  <w:vMerge w:val="continue"/>
                  <w:noWrap w:val="0"/>
                  <w:vAlign w:val="center"/>
                </w:tcPr>
                <w:p>
                  <w:pPr>
                    <w:jc w:val="center"/>
                    <w:rPr>
                      <w:rFonts w:hint="eastAsia"/>
                    </w:rPr>
                  </w:pPr>
                </w:p>
              </w:tc>
              <w:tc>
                <w:tcPr>
                  <w:tcW w:w="728" w:type="pct"/>
                  <w:vMerge w:val="continue"/>
                  <w:noWrap w:val="0"/>
                  <w:vAlign w:val="center"/>
                </w:tcPr>
                <w:p>
                  <w:pPr>
                    <w:jc w:val="center"/>
                    <w:rPr>
                      <w:rFonts w:hint="eastAsia"/>
                    </w:rPr>
                  </w:pPr>
                </w:p>
              </w:tc>
              <w:tc>
                <w:tcPr>
                  <w:tcW w:w="254" w:type="pct"/>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4</w:t>
                  </w:r>
                </w:p>
              </w:tc>
              <w:tc>
                <w:tcPr>
                  <w:tcW w:w="559" w:type="pct"/>
                  <w:noWrap w:val="0"/>
                  <w:vAlign w:val="center"/>
                </w:tcPr>
                <w:p>
                  <w:pPr>
                    <w:jc w:val="center"/>
                    <w:rPr>
                      <w:rFonts w:hint="eastAsia"/>
                    </w:rPr>
                  </w:pPr>
                  <w:r>
                    <w:rPr>
                      <w:rFonts w:hint="eastAsia"/>
                    </w:rPr>
                    <w:t>MF</w:t>
                  </w:r>
                  <w:r>
                    <w:t>000</w:t>
                  </w:r>
                  <w:r>
                    <w:rPr>
                      <w:rFonts w:hint="eastAsia"/>
                    </w:rPr>
                    <w:t>4</w:t>
                  </w:r>
                </w:p>
              </w:tc>
              <w:tc>
                <w:tcPr>
                  <w:tcW w:w="386" w:type="pct"/>
                  <w:noWrap w:val="0"/>
                  <w:vAlign w:val="center"/>
                </w:tcPr>
                <w:p>
                  <w:pPr>
                    <w:jc w:val="center"/>
                    <w:rPr>
                      <w:rFonts w:hint="eastAsia"/>
                    </w:rPr>
                  </w:pPr>
                  <w:r>
                    <w:rPr>
                      <w:rFonts w:hint="eastAsia"/>
                    </w:rPr>
                    <w:t>LNG卸气</w:t>
                  </w:r>
                </w:p>
              </w:tc>
              <w:tc>
                <w:tcPr>
                  <w:tcW w:w="497" w:type="pct"/>
                  <w:noWrap w:val="0"/>
                  <w:vAlign w:val="center"/>
                </w:tcPr>
                <w:p>
                  <w:pPr>
                    <w:jc w:val="center"/>
                    <w:rPr>
                      <w:rFonts w:hint="eastAsia"/>
                    </w:rPr>
                  </w:pPr>
                  <w:r>
                    <w:rPr>
                      <w:rFonts w:hint="eastAsia"/>
                    </w:rPr>
                    <w:t>非甲烷总烃</w:t>
                  </w:r>
                </w:p>
              </w:tc>
              <w:tc>
                <w:tcPr>
                  <w:tcW w:w="1540" w:type="pct"/>
                  <w:noWrap w:val="0"/>
                  <w:vAlign w:val="center"/>
                </w:tcPr>
                <w:p>
                  <w:pPr>
                    <w:jc w:val="center"/>
                    <w:rPr>
                      <w:rFonts w:hint="eastAsia"/>
                    </w:rPr>
                  </w:pPr>
                  <w:r>
                    <w:t>由气相管线返回LNG槽车</w:t>
                  </w:r>
                  <w:r>
                    <w:rPr>
                      <w:rFonts w:hint="eastAsia"/>
                    </w:rPr>
                    <w:t>，少量逸散气无组织排放</w:t>
                  </w:r>
                </w:p>
              </w:tc>
              <w:tc>
                <w:tcPr>
                  <w:tcW w:w="781" w:type="pct"/>
                  <w:vMerge w:val="restart"/>
                  <w:noWrap w:val="0"/>
                  <w:vAlign w:val="center"/>
                </w:tcPr>
                <w:p>
                  <w:pPr>
                    <w:jc w:val="center"/>
                    <w:rPr>
                      <w:rFonts w:hint="eastAsia"/>
                    </w:rPr>
                  </w:pPr>
                  <w:r>
                    <w:t xml:space="preserve">《大气污染物综合排放标准》 </w:t>
                  </w:r>
                  <w:r>
                    <w:rPr>
                      <w:rFonts w:hint="eastAsia"/>
                    </w:rPr>
                    <w:t>（</w:t>
                  </w:r>
                  <w:r>
                    <w:t>GB16297- 199</w:t>
                  </w:r>
                  <w:r>
                    <w:rPr>
                      <w:rFonts w:hint="eastAsia"/>
                    </w:rPr>
                    <w:t>6）</w:t>
                  </w:r>
                </w:p>
              </w:tc>
              <w:tc>
                <w:tcPr>
                  <w:tcW w:w="728" w:type="pct"/>
                  <w:vMerge w:val="restart"/>
                  <w:noWrap w:val="0"/>
                  <w:vAlign w:val="center"/>
                </w:tcPr>
                <w:p>
                  <w:pPr>
                    <w:jc w:val="center"/>
                    <w:rPr>
                      <w:rFonts w:hint="eastAsia"/>
                    </w:rPr>
                  </w:pPr>
                  <w:r>
                    <w:rPr>
                      <w:rFonts w:hint="eastAsia"/>
                    </w:rPr>
                    <w:t>4.0</w:t>
                  </w:r>
                </w:p>
              </w:tc>
              <w:tc>
                <w:tcPr>
                  <w:tcW w:w="254" w:type="pct"/>
                  <w:vMerge w:val="restart"/>
                  <w:noWrap w:val="0"/>
                  <w:vAlign w:val="center"/>
                </w:tcPr>
                <w:p>
                  <w:pPr>
                    <w:jc w:val="center"/>
                    <w:rPr>
                      <w:rFonts w:hint="eastAsi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5</w:t>
                  </w:r>
                </w:p>
              </w:tc>
              <w:tc>
                <w:tcPr>
                  <w:tcW w:w="559" w:type="pct"/>
                  <w:noWrap w:val="0"/>
                  <w:vAlign w:val="center"/>
                </w:tcPr>
                <w:p>
                  <w:pPr>
                    <w:jc w:val="center"/>
                    <w:rPr>
                      <w:rFonts w:hint="eastAsia"/>
                    </w:rPr>
                  </w:pPr>
                  <w:r>
                    <w:rPr>
                      <w:rFonts w:hint="eastAsia"/>
                    </w:rPr>
                    <w:t>MF</w:t>
                  </w:r>
                  <w:r>
                    <w:t>000</w:t>
                  </w:r>
                  <w:r>
                    <w:rPr>
                      <w:rFonts w:hint="eastAsia"/>
                    </w:rPr>
                    <w:t>5</w:t>
                  </w:r>
                </w:p>
              </w:tc>
              <w:tc>
                <w:tcPr>
                  <w:tcW w:w="386" w:type="pct"/>
                  <w:noWrap w:val="0"/>
                  <w:vAlign w:val="center"/>
                </w:tcPr>
                <w:p>
                  <w:pPr>
                    <w:jc w:val="center"/>
                    <w:rPr>
                      <w:rFonts w:hint="eastAsia"/>
                    </w:rPr>
                  </w:pPr>
                  <w:r>
                    <w:rPr>
                      <w:rFonts w:hint="eastAsia"/>
                    </w:rPr>
                    <w:t>储气</w:t>
                  </w:r>
                </w:p>
              </w:tc>
              <w:tc>
                <w:tcPr>
                  <w:tcW w:w="497" w:type="pct"/>
                  <w:noWrap w:val="0"/>
                  <w:vAlign w:val="center"/>
                </w:tcPr>
                <w:p>
                  <w:pPr>
                    <w:jc w:val="center"/>
                    <w:rPr>
                      <w:rFonts w:hint="eastAsia"/>
                    </w:rPr>
                  </w:pPr>
                  <w:r>
                    <w:rPr>
                      <w:rFonts w:hint="eastAsia"/>
                    </w:rPr>
                    <w:t>非甲烷总烃</w:t>
                  </w:r>
                </w:p>
              </w:tc>
              <w:tc>
                <w:tcPr>
                  <w:tcW w:w="1540" w:type="pct"/>
                  <w:noWrap w:val="0"/>
                  <w:vAlign w:val="center"/>
                </w:tcPr>
                <w:p>
                  <w:pPr>
                    <w:jc w:val="center"/>
                    <w:rPr>
                      <w:rFonts w:hint="eastAsia"/>
                    </w:rPr>
                  </w:pPr>
                  <w:r>
                    <w:t>经过EAG加热器加热气化</w:t>
                  </w:r>
                  <w:r>
                    <w:rPr>
                      <w:rFonts w:hint="eastAsia"/>
                    </w:rPr>
                    <w:t>后</w:t>
                  </w:r>
                  <w:r>
                    <w:t>经站内</w:t>
                  </w:r>
                  <w:r>
                    <w:rPr>
                      <w:rFonts w:hint="eastAsia"/>
                    </w:rPr>
                    <w:t>9</w:t>
                  </w:r>
                  <w:r>
                    <w:t>m高放散管</w:t>
                  </w:r>
                  <w:r>
                    <w:rPr>
                      <w:rFonts w:hint="eastAsia"/>
                    </w:rPr>
                    <w:t>排放</w:t>
                  </w:r>
                </w:p>
              </w:tc>
              <w:tc>
                <w:tcPr>
                  <w:tcW w:w="781" w:type="pct"/>
                  <w:vMerge w:val="continue"/>
                  <w:noWrap w:val="0"/>
                  <w:vAlign w:val="center"/>
                </w:tcPr>
                <w:p>
                  <w:pPr>
                    <w:jc w:val="center"/>
                    <w:rPr>
                      <w:rFonts w:hint="eastAsia"/>
                    </w:rPr>
                  </w:pPr>
                </w:p>
              </w:tc>
              <w:tc>
                <w:tcPr>
                  <w:tcW w:w="728" w:type="pct"/>
                  <w:vMerge w:val="continue"/>
                  <w:noWrap w:val="0"/>
                  <w:vAlign w:val="center"/>
                </w:tcPr>
                <w:p>
                  <w:pPr>
                    <w:jc w:val="center"/>
                    <w:rPr>
                      <w:rFonts w:hint="eastAsia"/>
                    </w:rPr>
                  </w:pPr>
                </w:p>
              </w:tc>
              <w:tc>
                <w:tcPr>
                  <w:tcW w:w="254" w:type="pct"/>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6</w:t>
                  </w:r>
                </w:p>
              </w:tc>
              <w:tc>
                <w:tcPr>
                  <w:tcW w:w="559" w:type="pct"/>
                  <w:noWrap w:val="0"/>
                  <w:vAlign w:val="center"/>
                </w:tcPr>
                <w:p>
                  <w:pPr>
                    <w:jc w:val="center"/>
                    <w:rPr>
                      <w:rFonts w:hint="eastAsia"/>
                    </w:rPr>
                  </w:pPr>
                  <w:r>
                    <w:rPr>
                      <w:rFonts w:hint="eastAsia"/>
                    </w:rPr>
                    <w:t>MF</w:t>
                  </w:r>
                  <w:r>
                    <w:t>000</w:t>
                  </w:r>
                  <w:r>
                    <w:rPr>
                      <w:rFonts w:hint="eastAsia"/>
                    </w:rPr>
                    <w:t>6</w:t>
                  </w:r>
                </w:p>
              </w:tc>
              <w:tc>
                <w:tcPr>
                  <w:tcW w:w="386" w:type="pct"/>
                  <w:noWrap w:val="0"/>
                  <w:vAlign w:val="center"/>
                </w:tcPr>
                <w:p>
                  <w:pPr>
                    <w:jc w:val="center"/>
                    <w:rPr>
                      <w:rFonts w:hint="eastAsia"/>
                    </w:rPr>
                  </w:pPr>
                  <w:r>
                    <w:rPr>
                      <w:rFonts w:hint="eastAsia"/>
                    </w:rPr>
                    <w:t>加气</w:t>
                  </w:r>
                </w:p>
              </w:tc>
              <w:tc>
                <w:tcPr>
                  <w:tcW w:w="497" w:type="pct"/>
                  <w:noWrap w:val="0"/>
                  <w:vAlign w:val="center"/>
                </w:tcPr>
                <w:p>
                  <w:pPr>
                    <w:jc w:val="center"/>
                    <w:rPr>
                      <w:rFonts w:hint="eastAsia"/>
                    </w:rPr>
                  </w:pPr>
                  <w:r>
                    <w:rPr>
                      <w:rFonts w:hint="eastAsia"/>
                    </w:rPr>
                    <w:t>VOCs</w:t>
                  </w:r>
                </w:p>
              </w:tc>
              <w:tc>
                <w:tcPr>
                  <w:tcW w:w="1540" w:type="pct"/>
                  <w:noWrap w:val="0"/>
                  <w:vAlign w:val="center"/>
                </w:tcPr>
                <w:p>
                  <w:pPr>
                    <w:jc w:val="center"/>
                    <w:rPr>
                      <w:rFonts w:hint="eastAsia"/>
                    </w:rPr>
                  </w:pPr>
                  <w:r>
                    <w:rPr>
                      <w:rFonts w:hint="eastAsia"/>
                    </w:rPr>
                    <w:t>少量逸散气无组织排放</w:t>
                  </w:r>
                </w:p>
              </w:tc>
              <w:tc>
                <w:tcPr>
                  <w:tcW w:w="781" w:type="pct"/>
                  <w:vMerge w:val="continue"/>
                  <w:noWrap w:val="0"/>
                  <w:vAlign w:val="center"/>
                </w:tcPr>
                <w:p>
                  <w:pPr>
                    <w:jc w:val="center"/>
                    <w:rPr>
                      <w:rFonts w:hint="eastAsia"/>
                    </w:rPr>
                  </w:pPr>
                </w:p>
              </w:tc>
              <w:tc>
                <w:tcPr>
                  <w:tcW w:w="728" w:type="pct"/>
                  <w:vMerge w:val="continue"/>
                  <w:noWrap w:val="0"/>
                  <w:vAlign w:val="center"/>
                </w:tcPr>
                <w:p>
                  <w:pPr>
                    <w:jc w:val="center"/>
                    <w:rPr>
                      <w:rFonts w:hint="eastAsia"/>
                    </w:rPr>
                  </w:pPr>
                </w:p>
              </w:tc>
              <w:tc>
                <w:tcPr>
                  <w:tcW w:w="254" w:type="pct"/>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noWrap w:val="0"/>
                  <w:vAlign w:val="center"/>
                </w:tcPr>
                <w:p>
                  <w:pPr>
                    <w:jc w:val="center"/>
                    <w:rPr>
                      <w:rFonts w:hint="eastAsia"/>
                    </w:rPr>
                  </w:pPr>
                  <w:r>
                    <w:rPr>
                      <w:rFonts w:hint="eastAsia"/>
                    </w:rPr>
                    <w:t>7</w:t>
                  </w:r>
                </w:p>
              </w:tc>
              <w:tc>
                <w:tcPr>
                  <w:tcW w:w="559" w:type="pct"/>
                  <w:noWrap w:val="0"/>
                  <w:vAlign w:val="center"/>
                </w:tcPr>
                <w:p>
                  <w:pPr>
                    <w:jc w:val="center"/>
                    <w:rPr>
                      <w:rFonts w:hint="eastAsia"/>
                    </w:rPr>
                  </w:pPr>
                  <w:r>
                    <w:rPr>
                      <w:rFonts w:hint="eastAsia"/>
                    </w:rPr>
                    <w:t>MF</w:t>
                  </w:r>
                  <w:r>
                    <w:t>000</w:t>
                  </w:r>
                  <w:r>
                    <w:rPr>
                      <w:rFonts w:hint="eastAsia"/>
                    </w:rPr>
                    <w:t>7</w:t>
                  </w:r>
                </w:p>
              </w:tc>
              <w:tc>
                <w:tcPr>
                  <w:tcW w:w="386" w:type="pct"/>
                  <w:noWrap w:val="0"/>
                  <w:vAlign w:val="center"/>
                </w:tcPr>
                <w:p>
                  <w:pPr>
                    <w:jc w:val="center"/>
                    <w:rPr>
                      <w:rFonts w:hint="eastAsia"/>
                    </w:rPr>
                  </w:pPr>
                  <w:r>
                    <w:rPr>
                      <w:rFonts w:hint="eastAsia"/>
                    </w:rPr>
                    <w:t>柴油发电</w:t>
                  </w:r>
                </w:p>
              </w:tc>
              <w:tc>
                <w:tcPr>
                  <w:tcW w:w="497" w:type="pct"/>
                  <w:noWrap w:val="0"/>
                  <w:vAlign w:val="center"/>
                </w:tcPr>
                <w:p>
                  <w:pPr>
                    <w:jc w:val="center"/>
                    <w:rPr>
                      <w:rFonts w:hint="eastAsia"/>
                    </w:rPr>
                  </w:pPr>
                  <w:r>
                    <w:rPr>
                      <w:rFonts w:hint="eastAsia"/>
                    </w:rPr>
                    <w:t>S</w:t>
                  </w:r>
                  <w:r>
                    <w:t>O</w:t>
                  </w:r>
                  <w:r>
                    <w:rPr>
                      <w:rFonts w:hint="eastAsia"/>
                      <w:vertAlign w:val="subscript"/>
                    </w:rPr>
                    <w:t>2</w:t>
                  </w:r>
                  <w:r>
                    <w:rPr>
                      <w:rFonts w:hint="eastAsia"/>
                    </w:rPr>
                    <w:t>、NO</w:t>
                  </w:r>
                  <w:r>
                    <w:t>x</w:t>
                  </w:r>
                  <w:r>
                    <w:rPr>
                      <w:rFonts w:hint="eastAsia"/>
                    </w:rPr>
                    <w:t>、烟尘</w:t>
                  </w:r>
                </w:p>
              </w:tc>
              <w:tc>
                <w:tcPr>
                  <w:tcW w:w="1540" w:type="pct"/>
                  <w:noWrap w:val="0"/>
                  <w:vAlign w:val="center"/>
                </w:tcPr>
                <w:p>
                  <w:pPr>
                    <w:jc w:val="center"/>
                    <w:rPr>
                      <w:rFonts w:hint="eastAsia"/>
                    </w:rPr>
                  </w:pPr>
                  <w:r>
                    <w:t>柴油发电机自带消烟除尘装置处理后，引至室外排放</w:t>
                  </w:r>
                </w:p>
              </w:tc>
              <w:tc>
                <w:tcPr>
                  <w:tcW w:w="781" w:type="pct"/>
                  <w:noWrap w:val="0"/>
                  <w:vAlign w:val="center"/>
                </w:tcPr>
                <w:p>
                  <w:pPr>
                    <w:jc w:val="center"/>
                    <w:rPr>
                      <w:rFonts w:hint="eastAsia"/>
                    </w:rPr>
                  </w:pPr>
                  <w:r>
                    <w:t xml:space="preserve">《大气污染物综合排放标准》 </w:t>
                  </w:r>
                  <w:r>
                    <w:rPr>
                      <w:rFonts w:hint="eastAsia"/>
                    </w:rPr>
                    <w:t>（</w:t>
                  </w:r>
                  <w:r>
                    <w:t>GB16297- 199</w:t>
                  </w:r>
                  <w:r>
                    <w:rPr>
                      <w:rFonts w:hint="eastAsia"/>
                    </w:rPr>
                    <w:t>6）</w:t>
                  </w:r>
                </w:p>
              </w:tc>
              <w:tc>
                <w:tcPr>
                  <w:tcW w:w="728" w:type="pct"/>
                  <w:noWrap w:val="0"/>
                  <w:vAlign w:val="center"/>
                </w:tcPr>
                <w:p>
                  <w:pPr>
                    <w:jc w:val="center"/>
                    <w:rPr>
                      <w:rFonts w:hint="eastAsia"/>
                    </w:rPr>
                  </w:pPr>
                  <w:r>
                    <w:rPr>
                      <w:rFonts w:hint="eastAsia"/>
                    </w:rPr>
                    <w:t>SO</w:t>
                  </w:r>
                  <w:r>
                    <w:rPr>
                      <w:vertAlign w:val="subscript"/>
                    </w:rPr>
                    <w:t>2</w:t>
                  </w:r>
                  <w:r>
                    <w:rPr>
                      <w:rFonts w:hint="eastAsia"/>
                    </w:rPr>
                    <w:t>：0.4</w:t>
                  </w:r>
                </w:p>
                <w:p>
                  <w:pPr>
                    <w:jc w:val="center"/>
                  </w:pPr>
                  <w:r>
                    <w:rPr>
                      <w:rFonts w:hint="eastAsia"/>
                    </w:rPr>
                    <w:t>NO</w:t>
                  </w:r>
                  <w:r>
                    <w:t>x</w:t>
                  </w:r>
                  <w:r>
                    <w:rPr>
                      <w:rFonts w:hint="eastAsia"/>
                    </w:rPr>
                    <w:t>：0.12</w:t>
                  </w:r>
                </w:p>
                <w:p>
                  <w:pPr>
                    <w:jc w:val="center"/>
                    <w:rPr>
                      <w:rFonts w:hint="eastAsia"/>
                    </w:rPr>
                  </w:pPr>
                  <w:r>
                    <w:rPr>
                      <w:rFonts w:hint="eastAsia"/>
                    </w:rPr>
                    <w:t>烟尘：1.0</w:t>
                  </w:r>
                </w:p>
              </w:tc>
              <w:tc>
                <w:tcPr>
                  <w:tcW w:w="254" w:type="pct"/>
                  <w:noWrap w:val="0"/>
                  <w:vAlign w:val="center"/>
                </w:tcPr>
                <w:p>
                  <w:pPr>
                    <w:jc w:val="center"/>
                    <w:rPr>
                      <w:rFonts w:hint="eastAsia"/>
                    </w:rPr>
                  </w:pPr>
                  <w:r>
                    <w:rPr>
                      <w:rFonts w:hint="eastAsia"/>
                    </w:rPr>
                    <w:t>/</w:t>
                  </w:r>
                </w:p>
              </w:tc>
            </w:tr>
          </w:tbl>
          <w:p>
            <w:pPr>
              <w:pStyle w:val="59"/>
              <w:ind w:left="902" w:hanging="482"/>
              <w:rPr>
                <w:b/>
                <w:bCs/>
              </w:rPr>
            </w:pPr>
            <w:r>
              <w:rPr>
                <w:rFonts w:hint="eastAsia"/>
                <w:b/>
                <w:bCs/>
              </w:rPr>
              <w:t>3、环境影响分析</w:t>
            </w:r>
          </w:p>
          <w:p>
            <w:pPr>
              <w:widowControl/>
              <w:spacing w:line="360" w:lineRule="auto"/>
              <w:ind w:firstLine="480" w:firstLineChars="200"/>
              <w:jc w:val="left"/>
              <w:rPr>
                <w:kern w:val="0"/>
                <w:sz w:val="24"/>
                <w:lang w:bidi="ar"/>
              </w:rPr>
            </w:pPr>
            <w:r>
              <w:rPr>
                <w:kern w:val="0"/>
                <w:sz w:val="24"/>
                <w:lang w:bidi="ar"/>
              </w:rPr>
              <w:t>项目营运期大气污染物主要为卸油、储存、加油过程中挥发的有机废气，通过设置一次、二次油气回收系统，油气回收效率可以达到9</w:t>
            </w:r>
            <w:r>
              <w:rPr>
                <w:rFonts w:hint="eastAsia"/>
                <w:kern w:val="0"/>
                <w:sz w:val="24"/>
                <w:lang w:bidi="ar"/>
              </w:rPr>
              <w:t>0</w:t>
            </w:r>
            <w:r>
              <w:rPr>
                <w:kern w:val="0"/>
                <w:sz w:val="24"/>
                <w:lang w:bidi="ar"/>
              </w:rPr>
              <w:t>%以上，油气排放量可大大减少；储存期间呼吸口的油气</w:t>
            </w:r>
            <w:r>
              <w:rPr>
                <w:rFonts w:hint="eastAsia"/>
                <w:kern w:val="0"/>
                <w:sz w:val="24"/>
                <w:lang w:bidi="ar"/>
              </w:rPr>
              <w:t>（</w:t>
            </w:r>
            <w:r>
              <w:rPr>
                <w:kern w:val="0"/>
                <w:sz w:val="24"/>
                <w:lang w:bidi="ar"/>
              </w:rPr>
              <w:t>以VOCs计</w:t>
            </w:r>
            <w:r>
              <w:rPr>
                <w:rFonts w:hint="eastAsia"/>
                <w:kern w:val="0"/>
                <w:sz w:val="24"/>
                <w:lang w:bidi="ar"/>
              </w:rPr>
              <w:t>）</w:t>
            </w:r>
            <w:r>
              <w:rPr>
                <w:kern w:val="0"/>
                <w:sz w:val="24"/>
                <w:lang w:bidi="ar"/>
              </w:rPr>
              <w:t>排放浓度均值能够达到《四川省加油站大气污染物排放标准》</w:t>
            </w:r>
            <w:r>
              <w:rPr>
                <w:rFonts w:hint="eastAsia"/>
                <w:kern w:val="0"/>
                <w:sz w:val="24"/>
                <w:lang w:bidi="ar"/>
              </w:rPr>
              <w:t>（</w:t>
            </w:r>
            <w:r>
              <w:rPr>
                <w:kern w:val="0"/>
                <w:sz w:val="24"/>
                <w:lang w:bidi="ar"/>
              </w:rPr>
              <w:t>DB51/2865-2021</w:t>
            </w:r>
            <w:r>
              <w:rPr>
                <w:rFonts w:hint="eastAsia"/>
                <w:kern w:val="0"/>
                <w:sz w:val="24"/>
                <w:lang w:bidi="ar"/>
              </w:rPr>
              <w:t>）</w:t>
            </w:r>
            <w:r>
              <w:rPr>
                <w:kern w:val="0"/>
                <w:sz w:val="24"/>
                <w:lang w:bidi="ar"/>
              </w:rPr>
              <w:t>的限值要求。由于加油加气站场为敞开状态，空气流通顺畅，站内绿化面积较大，汽车尾气为无组织排放，对环境影响较小。备用柴油发电机只是在停电情况下使用，柴油发电机的燃烧废气由自带消烟除尘装置处理后经排风机抽出，经内置烟道引至室外排放，对周围</w:t>
            </w:r>
            <w:r>
              <w:rPr>
                <w:rFonts w:hint="eastAsia"/>
                <w:kern w:val="0"/>
                <w:sz w:val="24"/>
                <w:lang w:bidi="ar"/>
              </w:rPr>
              <w:t>环境</w:t>
            </w:r>
            <w:r>
              <w:rPr>
                <w:kern w:val="0"/>
                <w:sz w:val="24"/>
                <w:lang w:bidi="ar"/>
              </w:rPr>
              <w:t>影响不明显。</w:t>
            </w:r>
          </w:p>
          <w:p>
            <w:pPr>
              <w:widowControl/>
              <w:spacing w:line="360" w:lineRule="auto"/>
              <w:ind w:firstLine="480" w:firstLineChars="200"/>
              <w:jc w:val="left"/>
              <w:rPr>
                <w:rFonts w:hint="eastAsia"/>
                <w:kern w:val="0"/>
                <w:sz w:val="24"/>
                <w:lang w:bidi="ar"/>
              </w:rPr>
            </w:pPr>
            <w:r>
              <w:rPr>
                <w:kern w:val="0"/>
                <w:sz w:val="24"/>
                <w:lang w:bidi="ar"/>
              </w:rPr>
              <w:t>通过采取相应措施加以控制，项目废气对周围环境的污染影响较小，对所在区域大气环境影响程度为可以接受的影响程度。</w:t>
            </w:r>
          </w:p>
          <w:p>
            <w:pPr>
              <w:pStyle w:val="59"/>
              <w:ind w:left="902" w:hanging="482"/>
              <w:rPr>
                <w:b/>
                <w:bCs/>
              </w:rPr>
            </w:pPr>
            <w:r>
              <w:rPr>
                <w:rFonts w:hint="eastAsia"/>
                <w:b/>
                <w:bCs/>
              </w:rPr>
              <w:t>4、监测计划</w:t>
            </w:r>
          </w:p>
          <w:p>
            <w:pPr>
              <w:widowControl/>
              <w:spacing w:line="360" w:lineRule="auto"/>
              <w:ind w:firstLine="480" w:firstLineChars="200"/>
              <w:jc w:val="left"/>
              <w:rPr>
                <w:rFonts w:hint="eastAsia"/>
                <w:kern w:val="0"/>
                <w:sz w:val="24"/>
                <w:lang w:bidi="ar"/>
              </w:rPr>
            </w:pPr>
            <w:r>
              <w:rPr>
                <w:kern w:val="0"/>
                <w:sz w:val="24"/>
                <w:lang w:bidi="ar"/>
              </w:rPr>
              <w:t xml:space="preserve">根据《排污单位自行监测技术指南 </w:t>
            </w:r>
            <w:r>
              <w:rPr>
                <w:rFonts w:hint="eastAsia"/>
                <w:kern w:val="0"/>
                <w:sz w:val="24"/>
                <w:lang w:bidi="ar"/>
              </w:rPr>
              <w:t>储油库、加油站</w:t>
            </w:r>
            <w:r>
              <w:rPr>
                <w:kern w:val="0"/>
                <w:sz w:val="24"/>
                <w:lang w:bidi="ar"/>
              </w:rPr>
              <w:t>》</w:t>
            </w:r>
            <w:r>
              <w:rPr>
                <w:rFonts w:hint="eastAsia"/>
                <w:kern w:val="0"/>
                <w:sz w:val="24"/>
                <w:lang w:bidi="ar"/>
              </w:rPr>
              <w:t>（</w:t>
            </w:r>
            <w:r>
              <w:rPr>
                <w:kern w:val="0"/>
                <w:sz w:val="24"/>
                <w:lang w:bidi="ar"/>
              </w:rPr>
              <w:t>HJ</w:t>
            </w:r>
            <w:r>
              <w:rPr>
                <w:rFonts w:hint="eastAsia"/>
                <w:kern w:val="0"/>
                <w:sz w:val="24"/>
                <w:lang w:bidi="ar"/>
              </w:rPr>
              <w:t>1249</w:t>
            </w:r>
            <w:r>
              <w:rPr>
                <w:kern w:val="0"/>
                <w:sz w:val="24"/>
                <w:lang w:bidi="ar"/>
              </w:rPr>
              <w:t>-20</w:t>
            </w:r>
            <w:r>
              <w:rPr>
                <w:rFonts w:hint="eastAsia"/>
                <w:kern w:val="0"/>
                <w:sz w:val="24"/>
                <w:lang w:bidi="ar"/>
              </w:rPr>
              <w:t>22）</w:t>
            </w:r>
            <w:r>
              <w:rPr>
                <w:kern w:val="0"/>
                <w:sz w:val="24"/>
                <w:lang w:bidi="ar"/>
              </w:rPr>
              <w:t>，结合本项目污染物的特点，制定营运期监测计划见下表。</w:t>
            </w:r>
          </w:p>
          <w:p>
            <w:pPr>
              <w:jc w:val="center"/>
              <w:rPr>
                <w:b/>
                <w:spacing w:val="-2"/>
                <w:szCs w:val="21"/>
              </w:rPr>
            </w:pPr>
            <w:r>
              <w:rPr>
                <w:b/>
                <w:spacing w:val="-2"/>
                <w:szCs w:val="21"/>
              </w:rPr>
              <w:t>表4-</w:t>
            </w:r>
            <w:r>
              <w:rPr>
                <w:rFonts w:hint="eastAsia"/>
                <w:b/>
                <w:spacing w:val="-2"/>
                <w:szCs w:val="21"/>
              </w:rPr>
              <w:t>8</w:t>
            </w:r>
            <w:r>
              <w:rPr>
                <w:b/>
                <w:spacing w:val="-2"/>
                <w:szCs w:val="21"/>
              </w:rPr>
              <w:t>运行期废气环境监测计划</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347"/>
              <w:gridCol w:w="249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pPr>
                    <w:jc w:val="center"/>
                    <w:rPr>
                      <w:b/>
                      <w:bCs/>
                    </w:rPr>
                  </w:pPr>
                  <w:r>
                    <w:rPr>
                      <w:b/>
                      <w:bCs/>
                    </w:rPr>
                    <w:t>类别</w:t>
                  </w:r>
                </w:p>
              </w:tc>
              <w:tc>
                <w:tcPr>
                  <w:tcW w:w="1994" w:type="pct"/>
                  <w:noWrap w:val="0"/>
                  <w:vAlign w:val="center"/>
                </w:tcPr>
                <w:p>
                  <w:pPr>
                    <w:jc w:val="center"/>
                    <w:rPr>
                      <w:b/>
                      <w:bCs/>
                    </w:rPr>
                  </w:pPr>
                  <w:r>
                    <w:rPr>
                      <w:b/>
                      <w:bCs/>
                    </w:rPr>
                    <w:t>监测点位</w:t>
                  </w:r>
                </w:p>
              </w:tc>
              <w:tc>
                <w:tcPr>
                  <w:tcW w:w="1486" w:type="pct"/>
                  <w:noWrap w:val="0"/>
                  <w:vAlign w:val="center"/>
                </w:tcPr>
                <w:p>
                  <w:pPr>
                    <w:jc w:val="center"/>
                    <w:rPr>
                      <w:b/>
                      <w:bCs/>
                    </w:rPr>
                  </w:pPr>
                  <w:r>
                    <w:rPr>
                      <w:b/>
                      <w:bCs/>
                    </w:rPr>
                    <w:t>监测项目</w:t>
                  </w:r>
                </w:p>
              </w:tc>
              <w:tc>
                <w:tcPr>
                  <w:tcW w:w="1015" w:type="pct"/>
                  <w:noWrap w:val="0"/>
                  <w:vAlign w:val="center"/>
                </w:tcPr>
                <w:p>
                  <w:pPr>
                    <w:jc w:val="center"/>
                    <w:rPr>
                      <w:b/>
                      <w:bCs/>
                    </w:rPr>
                  </w:pPr>
                  <w:r>
                    <w:rPr>
                      <w:b/>
                      <w:bCs/>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restart"/>
                  <w:noWrap w:val="0"/>
                  <w:vAlign w:val="center"/>
                </w:tcPr>
                <w:p>
                  <w:pPr>
                    <w:jc w:val="center"/>
                  </w:pPr>
                  <w:r>
                    <w:t>废气</w:t>
                  </w:r>
                </w:p>
              </w:tc>
              <w:tc>
                <w:tcPr>
                  <w:tcW w:w="1994" w:type="pct"/>
                  <w:noWrap w:val="0"/>
                  <w:vAlign w:val="center"/>
                </w:tcPr>
                <w:p>
                  <w:pPr>
                    <w:jc w:val="center"/>
                  </w:pPr>
                  <w:r>
                    <w:rPr>
                      <w:rFonts w:hint="eastAsia"/>
                    </w:rPr>
                    <w:t>加油站场界</w:t>
                  </w:r>
                </w:p>
              </w:tc>
              <w:tc>
                <w:tcPr>
                  <w:tcW w:w="1486" w:type="pct"/>
                  <w:noWrap w:val="0"/>
                  <w:vAlign w:val="center"/>
                </w:tcPr>
                <w:p>
                  <w:pPr>
                    <w:jc w:val="center"/>
                  </w:pPr>
                  <w:r>
                    <w:rPr>
                      <w:rFonts w:hint="eastAsia"/>
                    </w:rPr>
                    <w:t>非甲烷总烃</w:t>
                  </w:r>
                </w:p>
              </w:tc>
              <w:tc>
                <w:tcPr>
                  <w:tcW w:w="1015" w:type="pct"/>
                  <w:noWrap w:val="0"/>
                  <w:vAlign w:val="center"/>
                </w:tcPr>
                <w:p>
                  <w:pPr>
                    <w:jc w:val="center"/>
                  </w:pPr>
                  <w:r>
                    <w:t>1次/</w:t>
                  </w:r>
                  <w:r>
                    <w:rPr>
                      <w:rFonts w:hint="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pPr>
                    <w:jc w:val="center"/>
                  </w:pPr>
                </w:p>
              </w:tc>
              <w:tc>
                <w:tcPr>
                  <w:tcW w:w="1994" w:type="pct"/>
                  <w:noWrap w:val="0"/>
                  <w:vAlign w:val="center"/>
                </w:tcPr>
                <w:p>
                  <w:pPr>
                    <w:jc w:val="center"/>
                    <w:rPr>
                      <w:rFonts w:hint="eastAsia"/>
                    </w:rPr>
                  </w:pPr>
                  <w:r>
                    <w:t>油气处理装置</w:t>
                  </w:r>
                  <w:r>
                    <w:rPr>
                      <w:rFonts w:hint="eastAsia"/>
                    </w:rPr>
                    <w:t>排气筒</w:t>
                  </w:r>
                </w:p>
              </w:tc>
              <w:tc>
                <w:tcPr>
                  <w:tcW w:w="1486" w:type="pct"/>
                  <w:noWrap w:val="0"/>
                  <w:vAlign w:val="center"/>
                </w:tcPr>
                <w:p>
                  <w:pPr>
                    <w:jc w:val="center"/>
                    <w:rPr>
                      <w:rFonts w:hint="eastAsia"/>
                    </w:rPr>
                  </w:pPr>
                  <w:r>
                    <w:rPr>
                      <w:rFonts w:hint="eastAsia"/>
                    </w:rPr>
                    <w:t>非甲烷总烃</w:t>
                  </w:r>
                </w:p>
              </w:tc>
              <w:tc>
                <w:tcPr>
                  <w:tcW w:w="1015" w:type="pct"/>
                  <w:noWrap w:val="0"/>
                  <w:vAlign w:val="center"/>
                </w:tcPr>
                <w:p>
                  <w:pPr>
                    <w:jc w:val="center"/>
                  </w:pPr>
                  <w:r>
                    <w:t>1次/</w:t>
                  </w:r>
                  <w:r>
                    <w:rPr>
                      <w:rFonts w:hint="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tc>
              <w:tc>
                <w:tcPr>
                  <w:tcW w:w="1994" w:type="pct"/>
                  <w:noWrap w:val="0"/>
                  <w:vAlign w:val="center"/>
                </w:tcPr>
                <w:p>
                  <w:pPr>
                    <w:jc w:val="center"/>
                  </w:pPr>
                  <w:r>
                    <w:rPr>
                      <w:rFonts w:hint="eastAsia"/>
                    </w:rPr>
                    <w:t>油气回收系统密闭点</w:t>
                  </w:r>
                </w:p>
              </w:tc>
              <w:tc>
                <w:tcPr>
                  <w:tcW w:w="1486" w:type="pct"/>
                  <w:noWrap w:val="0"/>
                  <w:vAlign w:val="center"/>
                </w:tcPr>
                <w:p>
                  <w:pPr>
                    <w:jc w:val="center"/>
                  </w:pPr>
                  <w:r>
                    <w:rPr>
                      <w:rFonts w:hint="eastAsia"/>
                    </w:rPr>
                    <w:t>泄露检测值</w:t>
                  </w:r>
                </w:p>
              </w:tc>
              <w:tc>
                <w:tcPr>
                  <w:tcW w:w="1015" w:type="pct"/>
                  <w:noWrap w:val="0"/>
                  <w:vAlign w:val="center"/>
                </w:tcPr>
                <w:p>
                  <w:pPr>
                    <w:jc w:val="center"/>
                  </w:pPr>
                  <w:r>
                    <w:t>1次/</w:t>
                  </w:r>
                  <w:r>
                    <w:rPr>
                      <w:rFonts w:hint="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tc>
              <w:tc>
                <w:tcPr>
                  <w:tcW w:w="1994" w:type="pct"/>
                  <w:noWrap w:val="0"/>
                  <w:vAlign w:val="center"/>
                </w:tcPr>
                <w:p>
                  <w:pPr>
                    <w:jc w:val="center"/>
                  </w:pPr>
                  <w:r>
                    <w:rPr>
                      <w:rFonts w:hint="eastAsia"/>
                    </w:rPr>
                    <w:t>加油油气回收立管</w:t>
                  </w:r>
                </w:p>
              </w:tc>
              <w:tc>
                <w:tcPr>
                  <w:tcW w:w="1486" w:type="pct"/>
                  <w:noWrap w:val="0"/>
                  <w:vAlign w:val="center"/>
                </w:tcPr>
                <w:p>
                  <w:pPr>
                    <w:jc w:val="center"/>
                  </w:pPr>
                  <w:r>
                    <w:rPr>
                      <w:rFonts w:hint="eastAsia"/>
                    </w:rPr>
                    <w:t>液阻、密闭性</w:t>
                  </w:r>
                </w:p>
              </w:tc>
              <w:tc>
                <w:tcPr>
                  <w:tcW w:w="1015" w:type="pct"/>
                  <w:noWrap w:val="0"/>
                  <w:vAlign w:val="center"/>
                </w:tcPr>
                <w:p>
                  <w:pPr>
                    <w:jc w:val="center"/>
                  </w:pPr>
                  <w:r>
                    <w:t>1次/</w:t>
                  </w:r>
                  <w:r>
                    <w:rPr>
                      <w:rFonts w:hint="eastAsia"/>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tc>
              <w:tc>
                <w:tcPr>
                  <w:tcW w:w="1994" w:type="pct"/>
                  <w:noWrap w:val="0"/>
                  <w:vAlign w:val="center"/>
                </w:tcPr>
                <w:p>
                  <w:pPr>
                    <w:jc w:val="center"/>
                    <w:rPr>
                      <w:rFonts w:hint="eastAsia"/>
                    </w:rPr>
                  </w:pPr>
                  <w:r>
                    <w:rPr>
                      <w:rFonts w:hint="eastAsia"/>
                    </w:rPr>
                    <w:t>加油枪喷管</w:t>
                  </w:r>
                </w:p>
              </w:tc>
              <w:tc>
                <w:tcPr>
                  <w:tcW w:w="1486" w:type="pct"/>
                  <w:noWrap w:val="0"/>
                  <w:vAlign w:val="center"/>
                </w:tcPr>
                <w:p>
                  <w:pPr>
                    <w:jc w:val="center"/>
                    <w:rPr>
                      <w:rFonts w:hint="eastAsia"/>
                    </w:rPr>
                  </w:pPr>
                  <w:r>
                    <w:rPr>
                      <w:rFonts w:hint="eastAsia"/>
                    </w:rPr>
                    <w:t>气液比</w:t>
                  </w:r>
                </w:p>
              </w:tc>
              <w:tc>
                <w:tcPr>
                  <w:tcW w:w="1015" w:type="pct"/>
                  <w:noWrap w:val="0"/>
                  <w:vAlign w:val="center"/>
                </w:tcPr>
                <w:p>
                  <w:pPr>
                    <w:jc w:val="center"/>
                  </w:pPr>
                  <w:r>
                    <w:t>1次/</w:t>
                  </w:r>
                  <w:r>
                    <w:rPr>
                      <w:rFonts w:hint="eastAsia"/>
                    </w:rPr>
                    <w:t>年</w:t>
                  </w:r>
                </w:p>
              </w:tc>
            </w:tr>
          </w:tbl>
          <w:p>
            <w:pPr>
              <w:pStyle w:val="8"/>
              <w:ind w:firstLine="0"/>
              <w:rPr>
                <w:b/>
                <w:bCs/>
              </w:rPr>
            </w:pPr>
            <w:r>
              <w:rPr>
                <w:b/>
                <w:bCs/>
              </w:rPr>
              <w:t>三、噪声的产生及治理措施</w:t>
            </w:r>
          </w:p>
          <w:p>
            <w:pPr>
              <w:spacing w:line="360" w:lineRule="auto"/>
              <w:ind w:firstLine="482" w:firstLineChars="200"/>
              <w:jc w:val="left"/>
              <w:rPr>
                <w:rFonts w:hint="eastAsia"/>
                <w:b/>
                <w:bCs/>
                <w:sz w:val="24"/>
              </w:rPr>
            </w:pPr>
            <w:r>
              <w:rPr>
                <w:rFonts w:hint="eastAsia"/>
                <w:b/>
                <w:bCs/>
                <w:sz w:val="24"/>
              </w:rPr>
              <w:t>1、源强核算</w:t>
            </w:r>
          </w:p>
          <w:p>
            <w:pPr>
              <w:spacing w:line="360" w:lineRule="auto"/>
              <w:ind w:firstLine="480" w:firstLineChars="200"/>
              <w:rPr>
                <w:sz w:val="24"/>
              </w:rPr>
            </w:pPr>
            <w:r>
              <w:rPr>
                <w:sz w:val="24"/>
              </w:rPr>
              <w:t>本项目营运期噪声源主要为加油机、潜油泵、备用柴油发电机等产生的设备 噪声，各类噪声值在 60~85dB(A)之间。本项目主要产噪设备及相应的治理措施见表</w:t>
            </w:r>
            <w:r>
              <w:rPr>
                <w:rFonts w:hint="eastAsia"/>
                <w:sz w:val="24"/>
              </w:rPr>
              <w:t>4-9</w:t>
            </w:r>
            <w:r>
              <w:rPr>
                <w:sz w:val="24"/>
              </w:rPr>
              <w:t>所示。</w:t>
            </w:r>
          </w:p>
          <w:p>
            <w:pPr>
              <w:spacing w:line="276" w:lineRule="auto"/>
              <w:jc w:val="center"/>
              <w:rPr>
                <w:rFonts w:hint="eastAsia"/>
                <w:b/>
                <w:bCs/>
                <w:szCs w:val="21"/>
              </w:rPr>
            </w:pPr>
            <w:r>
              <w:rPr>
                <w:rFonts w:hint="eastAsia"/>
                <w:b/>
                <w:bCs/>
                <w:szCs w:val="21"/>
              </w:rPr>
              <w:t>表4-9</w:t>
            </w:r>
            <w:r>
              <w:rPr>
                <w:b/>
                <w:bCs/>
                <w:szCs w:val="21"/>
              </w:rPr>
              <w:t xml:space="preserve"> </w:t>
            </w:r>
            <w:r>
              <w:rPr>
                <w:rFonts w:hint="eastAsia"/>
                <w:b/>
                <w:bCs/>
                <w:szCs w:val="21"/>
              </w:rPr>
              <w:t>工业企业噪声源强调查清单</w:t>
            </w:r>
          </w:p>
          <w:tbl>
            <w:tblPr>
              <w:tblStyle w:val="7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1"/>
              <w:gridCol w:w="1556"/>
              <w:gridCol w:w="615"/>
              <w:gridCol w:w="686"/>
              <w:gridCol w:w="686"/>
              <w:gridCol w:w="682"/>
              <w:gridCol w:w="1410"/>
              <w:gridCol w:w="804"/>
              <w:gridCol w:w="835"/>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tblHeader/>
                <w:jc w:val="center"/>
              </w:trPr>
              <w:tc>
                <w:tcPr>
                  <w:tcW w:w="401" w:type="dxa"/>
                  <w:vMerge w:val="restart"/>
                  <w:noWrap w:val="0"/>
                  <w:vAlign w:val="center"/>
                </w:tcPr>
                <w:p>
                  <w:pPr>
                    <w:jc w:val="center"/>
                    <w:rPr>
                      <w:rFonts w:hint="eastAsia"/>
                      <w:b/>
                      <w:bCs/>
                      <w:szCs w:val="21"/>
                    </w:rPr>
                  </w:pPr>
                  <w:r>
                    <w:rPr>
                      <w:rFonts w:hint="eastAsia"/>
                      <w:b/>
                      <w:bCs/>
                      <w:szCs w:val="21"/>
                    </w:rPr>
                    <w:t>序号</w:t>
                  </w:r>
                </w:p>
              </w:tc>
              <w:tc>
                <w:tcPr>
                  <w:tcW w:w="1556" w:type="dxa"/>
                  <w:vMerge w:val="restart"/>
                  <w:noWrap w:val="0"/>
                  <w:vAlign w:val="center"/>
                </w:tcPr>
                <w:p>
                  <w:pPr>
                    <w:jc w:val="center"/>
                    <w:rPr>
                      <w:rFonts w:hint="eastAsia"/>
                      <w:b/>
                      <w:bCs/>
                      <w:szCs w:val="21"/>
                    </w:rPr>
                  </w:pPr>
                  <w:r>
                    <w:rPr>
                      <w:b/>
                      <w:bCs/>
                      <w:szCs w:val="21"/>
                    </w:rPr>
                    <w:t>声源</w:t>
                  </w:r>
                  <w:r>
                    <w:rPr>
                      <w:rFonts w:hint="eastAsia"/>
                      <w:b/>
                      <w:bCs/>
                      <w:szCs w:val="21"/>
                    </w:rPr>
                    <w:t>名称</w:t>
                  </w:r>
                </w:p>
              </w:tc>
              <w:tc>
                <w:tcPr>
                  <w:tcW w:w="615" w:type="dxa"/>
                  <w:vMerge w:val="restart"/>
                  <w:noWrap w:val="0"/>
                  <w:vAlign w:val="center"/>
                </w:tcPr>
                <w:p>
                  <w:pPr>
                    <w:jc w:val="center"/>
                    <w:rPr>
                      <w:b/>
                      <w:bCs/>
                      <w:szCs w:val="21"/>
                    </w:rPr>
                  </w:pPr>
                  <w:r>
                    <w:rPr>
                      <w:rFonts w:hint="eastAsia"/>
                      <w:b/>
                      <w:bCs/>
                      <w:szCs w:val="21"/>
                    </w:rPr>
                    <w:t>型号</w:t>
                  </w:r>
                </w:p>
              </w:tc>
              <w:tc>
                <w:tcPr>
                  <w:tcW w:w="2054" w:type="dxa"/>
                  <w:gridSpan w:val="3"/>
                  <w:noWrap w:val="0"/>
                  <w:vAlign w:val="center"/>
                </w:tcPr>
                <w:p>
                  <w:pPr>
                    <w:jc w:val="center"/>
                    <w:rPr>
                      <w:b/>
                      <w:bCs/>
                      <w:szCs w:val="21"/>
                    </w:rPr>
                  </w:pPr>
                  <w:r>
                    <w:rPr>
                      <w:rFonts w:hint="eastAsia"/>
                      <w:b/>
                      <w:bCs/>
                      <w:szCs w:val="21"/>
                    </w:rPr>
                    <w:t>空间相对位置</w:t>
                  </w:r>
                </w:p>
              </w:tc>
              <w:tc>
                <w:tcPr>
                  <w:tcW w:w="2214" w:type="dxa"/>
                  <w:gridSpan w:val="2"/>
                  <w:noWrap w:val="0"/>
                  <w:vAlign w:val="center"/>
                </w:tcPr>
                <w:p>
                  <w:pPr>
                    <w:jc w:val="center"/>
                    <w:rPr>
                      <w:rFonts w:hint="eastAsia"/>
                      <w:b/>
                      <w:bCs/>
                      <w:szCs w:val="21"/>
                    </w:rPr>
                  </w:pPr>
                  <w:r>
                    <w:rPr>
                      <w:b/>
                      <w:bCs/>
                      <w:szCs w:val="21"/>
                    </w:rPr>
                    <w:t>噪声源强</w:t>
                  </w:r>
                  <w:r>
                    <w:rPr>
                      <w:rFonts w:hint="eastAsia"/>
                      <w:b/>
                      <w:bCs/>
                      <w:szCs w:val="21"/>
                    </w:rPr>
                    <w:t>（任选一种）</w:t>
                  </w:r>
                </w:p>
              </w:tc>
              <w:tc>
                <w:tcPr>
                  <w:tcW w:w="835" w:type="dxa"/>
                  <w:vMerge w:val="restart"/>
                  <w:noWrap w:val="0"/>
                  <w:vAlign w:val="center"/>
                </w:tcPr>
                <w:p>
                  <w:pPr>
                    <w:jc w:val="center"/>
                    <w:rPr>
                      <w:b/>
                      <w:bCs/>
                      <w:szCs w:val="21"/>
                    </w:rPr>
                  </w:pPr>
                  <w:r>
                    <w:rPr>
                      <w:rFonts w:hint="eastAsia"/>
                      <w:b/>
                      <w:bCs/>
                      <w:szCs w:val="21"/>
                    </w:rPr>
                    <w:t>声源控制措施</w:t>
                  </w:r>
                </w:p>
              </w:tc>
              <w:tc>
                <w:tcPr>
                  <w:tcW w:w="717" w:type="dxa"/>
                  <w:vMerge w:val="restart"/>
                  <w:noWrap w:val="0"/>
                  <w:vAlign w:val="center"/>
                </w:tcPr>
                <w:p>
                  <w:pPr>
                    <w:jc w:val="center"/>
                    <w:rPr>
                      <w:rFonts w:hint="eastAsia"/>
                      <w:b/>
                      <w:bCs/>
                      <w:szCs w:val="21"/>
                    </w:rPr>
                  </w:pPr>
                  <w:r>
                    <w:rPr>
                      <w:rFonts w:hint="eastAsia"/>
                      <w:b/>
                      <w:bCs/>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tblHeader/>
                <w:jc w:val="center"/>
              </w:trPr>
              <w:tc>
                <w:tcPr>
                  <w:tcW w:w="401" w:type="dxa"/>
                  <w:vMerge w:val="continue"/>
                  <w:noWrap w:val="0"/>
                  <w:vAlign w:val="center"/>
                </w:tcPr>
                <w:p>
                  <w:pPr>
                    <w:jc w:val="center"/>
                    <w:rPr>
                      <w:szCs w:val="21"/>
                    </w:rPr>
                  </w:pPr>
                </w:p>
              </w:tc>
              <w:tc>
                <w:tcPr>
                  <w:tcW w:w="1556" w:type="dxa"/>
                  <w:vMerge w:val="continue"/>
                  <w:noWrap w:val="0"/>
                  <w:vAlign w:val="center"/>
                </w:tcPr>
                <w:p>
                  <w:pPr>
                    <w:jc w:val="center"/>
                    <w:rPr>
                      <w:szCs w:val="21"/>
                    </w:rPr>
                  </w:pPr>
                </w:p>
              </w:tc>
              <w:tc>
                <w:tcPr>
                  <w:tcW w:w="615" w:type="dxa"/>
                  <w:vMerge w:val="continue"/>
                  <w:noWrap w:val="0"/>
                  <w:vAlign w:val="center"/>
                </w:tcPr>
                <w:p>
                  <w:pPr>
                    <w:jc w:val="center"/>
                    <w:rPr>
                      <w:szCs w:val="21"/>
                    </w:rPr>
                  </w:pPr>
                </w:p>
              </w:tc>
              <w:tc>
                <w:tcPr>
                  <w:tcW w:w="686" w:type="dxa"/>
                  <w:noWrap w:val="0"/>
                  <w:vAlign w:val="center"/>
                </w:tcPr>
                <w:p>
                  <w:pPr>
                    <w:jc w:val="center"/>
                    <w:rPr>
                      <w:b/>
                      <w:bCs/>
                      <w:szCs w:val="21"/>
                    </w:rPr>
                  </w:pPr>
                  <w:r>
                    <w:rPr>
                      <w:rFonts w:hint="eastAsia"/>
                      <w:b/>
                      <w:bCs/>
                      <w:szCs w:val="21"/>
                    </w:rPr>
                    <w:t>X</w:t>
                  </w:r>
                </w:p>
              </w:tc>
              <w:tc>
                <w:tcPr>
                  <w:tcW w:w="686" w:type="dxa"/>
                  <w:noWrap w:val="0"/>
                  <w:vAlign w:val="center"/>
                </w:tcPr>
                <w:p>
                  <w:pPr>
                    <w:jc w:val="center"/>
                    <w:rPr>
                      <w:b/>
                      <w:bCs/>
                      <w:szCs w:val="21"/>
                    </w:rPr>
                  </w:pPr>
                  <w:r>
                    <w:rPr>
                      <w:rFonts w:hint="eastAsia"/>
                      <w:b/>
                      <w:bCs/>
                      <w:szCs w:val="21"/>
                    </w:rPr>
                    <w:t>Y</w:t>
                  </w:r>
                </w:p>
              </w:tc>
              <w:tc>
                <w:tcPr>
                  <w:tcW w:w="682" w:type="dxa"/>
                  <w:noWrap w:val="0"/>
                  <w:vAlign w:val="center"/>
                </w:tcPr>
                <w:p>
                  <w:pPr>
                    <w:jc w:val="center"/>
                    <w:rPr>
                      <w:b/>
                      <w:bCs/>
                      <w:szCs w:val="21"/>
                    </w:rPr>
                  </w:pPr>
                  <w:r>
                    <w:rPr>
                      <w:rFonts w:hint="eastAsia"/>
                      <w:b/>
                      <w:bCs/>
                      <w:szCs w:val="21"/>
                    </w:rPr>
                    <w:t>Z</w:t>
                  </w:r>
                </w:p>
              </w:tc>
              <w:tc>
                <w:tcPr>
                  <w:tcW w:w="1410" w:type="dxa"/>
                  <w:noWrap w:val="0"/>
                  <w:vAlign w:val="center"/>
                </w:tcPr>
                <w:p>
                  <w:pPr>
                    <w:jc w:val="center"/>
                    <w:rPr>
                      <w:b/>
                      <w:bCs/>
                      <w:szCs w:val="21"/>
                    </w:rPr>
                  </w:pPr>
                  <w:r>
                    <w:rPr>
                      <w:b/>
                      <w:bCs/>
                      <w:szCs w:val="21"/>
                    </w:rPr>
                    <w:t>（声压级/距声源距离）/（dB（A）/m）</w:t>
                  </w:r>
                </w:p>
              </w:tc>
              <w:tc>
                <w:tcPr>
                  <w:tcW w:w="804" w:type="dxa"/>
                  <w:noWrap w:val="0"/>
                  <w:vAlign w:val="center"/>
                </w:tcPr>
                <w:p>
                  <w:pPr>
                    <w:jc w:val="center"/>
                    <w:rPr>
                      <w:b/>
                      <w:bCs/>
                      <w:szCs w:val="21"/>
                    </w:rPr>
                  </w:pPr>
                  <w:r>
                    <w:rPr>
                      <w:rFonts w:hint="eastAsia"/>
                      <w:b/>
                      <w:bCs/>
                      <w:szCs w:val="21"/>
                    </w:rPr>
                    <w:t>声功率级/</w:t>
                  </w:r>
                  <w:r>
                    <w:rPr>
                      <w:b/>
                      <w:bCs/>
                      <w:szCs w:val="21"/>
                    </w:rPr>
                    <w:t>dB（A）</w:t>
                  </w:r>
                </w:p>
              </w:tc>
              <w:tc>
                <w:tcPr>
                  <w:tcW w:w="835" w:type="dxa"/>
                  <w:vMerge w:val="continue"/>
                  <w:noWrap w:val="0"/>
                  <w:vAlign w:val="center"/>
                </w:tcPr>
                <w:p>
                  <w:pPr>
                    <w:jc w:val="center"/>
                    <w:rPr>
                      <w:rFonts w:hint="eastAsia"/>
                      <w:b/>
                      <w:bCs/>
                      <w:szCs w:val="21"/>
                    </w:rPr>
                  </w:pPr>
                </w:p>
              </w:tc>
              <w:tc>
                <w:tcPr>
                  <w:tcW w:w="717" w:type="dxa"/>
                  <w:vMerge w:val="continue"/>
                  <w:noWrap w:val="0"/>
                  <w:vAlign w:val="center"/>
                </w:tcPr>
                <w:p>
                  <w:pPr>
                    <w:jc w:val="center"/>
                    <w:rPr>
                      <w:rFonts w:hint="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1</w:t>
                  </w:r>
                </w:p>
              </w:tc>
              <w:tc>
                <w:tcPr>
                  <w:tcW w:w="1556" w:type="dxa"/>
                  <w:noWrap w:val="0"/>
                  <w:vAlign w:val="center"/>
                </w:tcPr>
                <w:p>
                  <w:pPr>
                    <w:jc w:val="center"/>
                    <w:textAlignment w:val="baseline"/>
                    <w:rPr>
                      <w:szCs w:val="21"/>
                    </w:rPr>
                  </w:pPr>
                  <w:r>
                    <w:rPr>
                      <w:rFonts w:hint="eastAsia"/>
                      <w:bCs/>
                      <w:szCs w:val="21"/>
                    </w:rPr>
                    <w:t>储罐区油泵</w:t>
                  </w:r>
                </w:p>
              </w:tc>
              <w:tc>
                <w:tcPr>
                  <w:tcW w:w="615" w:type="dxa"/>
                  <w:noWrap w:val="0"/>
                  <w:vAlign w:val="center"/>
                </w:tcPr>
                <w:p>
                  <w:pPr>
                    <w:jc w:val="center"/>
                    <w:rPr>
                      <w:szCs w:val="21"/>
                    </w:rPr>
                  </w:pPr>
                  <w:r>
                    <w:rPr>
                      <w:rFonts w:hint="eastAsia"/>
                      <w:szCs w:val="21"/>
                    </w:rPr>
                    <w:t>/</w:t>
                  </w:r>
                </w:p>
              </w:tc>
              <w:tc>
                <w:tcPr>
                  <w:tcW w:w="686" w:type="dxa"/>
                  <w:noWrap w:val="0"/>
                  <w:vAlign w:val="center"/>
                </w:tcPr>
                <w:p>
                  <w:pPr>
                    <w:jc w:val="center"/>
                    <w:rPr>
                      <w:szCs w:val="21"/>
                    </w:rPr>
                  </w:pPr>
                  <w:r>
                    <w:rPr>
                      <w:rFonts w:hint="eastAsia"/>
                      <w:szCs w:val="21"/>
                    </w:rPr>
                    <w:t>62.9</w:t>
                  </w:r>
                </w:p>
              </w:tc>
              <w:tc>
                <w:tcPr>
                  <w:tcW w:w="686" w:type="dxa"/>
                  <w:noWrap w:val="0"/>
                  <w:vAlign w:val="center"/>
                </w:tcPr>
                <w:p>
                  <w:pPr>
                    <w:jc w:val="center"/>
                    <w:rPr>
                      <w:szCs w:val="21"/>
                    </w:rPr>
                  </w:pPr>
                  <w:r>
                    <w:rPr>
                      <w:rFonts w:hint="eastAsia"/>
                      <w:szCs w:val="21"/>
                    </w:rPr>
                    <w:t>42.8</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szCs w:val="21"/>
                    </w:rPr>
                  </w:pPr>
                  <w:r>
                    <w:rPr>
                      <w:rFonts w:hint="eastAsia"/>
                      <w:szCs w:val="21"/>
                    </w:rPr>
                    <w:t>/</w:t>
                  </w:r>
                </w:p>
              </w:tc>
              <w:tc>
                <w:tcPr>
                  <w:tcW w:w="804" w:type="dxa"/>
                  <w:noWrap w:val="0"/>
                  <w:vAlign w:val="center"/>
                </w:tcPr>
                <w:p>
                  <w:pPr>
                    <w:jc w:val="center"/>
                    <w:rPr>
                      <w:szCs w:val="21"/>
                    </w:rPr>
                  </w:pPr>
                  <w:r>
                    <w:rPr>
                      <w:rFonts w:hint="eastAsia"/>
                      <w:szCs w:val="21"/>
                    </w:rPr>
                    <w:t>60</w:t>
                  </w:r>
                </w:p>
              </w:tc>
              <w:tc>
                <w:tcPr>
                  <w:tcW w:w="835" w:type="dxa"/>
                  <w:vMerge w:val="restart"/>
                  <w:noWrap w:val="0"/>
                  <w:vAlign w:val="center"/>
                </w:tcPr>
                <w:p>
                  <w:pPr>
                    <w:jc w:val="center"/>
                    <w:rPr>
                      <w:rFonts w:hint="eastAsia"/>
                      <w:szCs w:val="21"/>
                    </w:rPr>
                  </w:pPr>
                  <w:r>
                    <w:rPr>
                      <w:rFonts w:hint="eastAsia"/>
                      <w:bCs/>
                      <w:szCs w:val="21"/>
                    </w:rPr>
                    <w:t>基础减振、油泵位于液位以下</w:t>
                  </w:r>
                </w:p>
              </w:tc>
              <w:tc>
                <w:tcPr>
                  <w:tcW w:w="717" w:type="dxa"/>
                  <w:noWrap w:val="0"/>
                  <w:vAlign w:val="center"/>
                </w:tcPr>
                <w:p>
                  <w:pPr>
                    <w:jc w:val="center"/>
                    <w:rPr>
                      <w:szCs w:val="21"/>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2</w:t>
                  </w:r>
                </w:p>
              </w:tc>
              <w:tc>
                <w:tcPr>
                  <w:tcW w:w="1556" w:type="dxa"/>
                  <w:noWrap w:val="0"/>
                  <w:vAlign w:val="center"/>
                </w:tcPr>
                <w:p>
                  <w:pPr>
                    <w:jc w:val="center"/>
                    <w:textAlignment w:val="baseline"/>
                    <w:rPr>
                      <w:rFonts w:hint="eastAsia"/>
                      <w:bCs/>
                      <w:szCs w:val="21"/>
                    </w:rPr>
                  </w:pPr>
                  <w:r>
                    <w:rPr>
                      <w:rFonts w:hint="eastAsia"/>
                      <w:bCs/>
                      <w:szCs w:val="21"/>
                    </w:rPr>
                    <w:t>LNG潜液泵</w:t>
                  </w:r>
                </w:p>
              </w:tc>
              <w:tc>
                <w:tcPr>
                  <w:tcW w:w="615" w:type="dxa"/>
                  <w:noWrap w:val="0"/>
                  <w:vAlign w:val="center"/>
                </w:tcPr>
                <w:p>
                  <w:pPr>
                    <w:jc w:val="center"/>
                    <w:rPr>
                      <w:rFonts w:hint="eastAsia"/>
                      <w:szCs w:val="21"/>
                    </w:rPr>
                  </w:pPr>
                  <w:r>
                    <w:rPr>
                      <w:rFonts w:hint="eastAsia"/>
                      <w:szCs w:val="21"/>
                    </w:rPr>
                    <w:t>/</w:t>
                  </w:r>
                </w:p>
              </w:tc>
              <w:tc>
                <w:tcPr>
                  <w:tcW w:w="686" w:type="dxa"/>
                  <w:noWrap w:val="0"/>
                  <w:vAlign w:val="center"/>
                </w:tcPr>
                <w:p>
                  <w:pPr>
                    <w:jc w:val="center"/>
                    <w:rPr>
                      <w:rFonts w:hint="eastAsia"/>
                      <w:szCs w:val="21"/>
                    </w:rPr>
                  </w:pPr>
                  <w:r>
                    <w:rPr>
                      <w:rFonts w:hint="eastAsia"/>
                      <w:szCs w:val="21"/>
                    </w:rPr>
                    <w:t>21.7</w:t>
                  </w:r>
                </w:p>
              </w:tc>
              <w:tc>
                <w:tcPr>
                  <w:tcW w:w="686" w:type="dxa"/>
                  <w:noWrap w:val="0"/>
                  <w:vAlign w:val="center"/>
                </w:tcPr>
                <w:p>
                  <w:pPr>
                    <w:jc w:val="center"/>
                    <w:rPr>
                      <w:rFonts w:hint="eastAsia"/>
                      <w:szCs w:val="21"/>
                    </w:rPr>
                  </w:pPr>
                  <w:r>
                    <w:rPr>
                      <w:rFonts w:hint="eastAsia"/>
                      <w:szCs w:val="21"/>
                    </w:rPr>
                    <w:t>52.5</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3</w:t>
                  </w:r>
                </w:p>
              </w:tc>
              <w:tc>
                <w:tcPr>
                  <w:tcW w:w="1556" w:type="dxa"/>
                  <w:noWrap w:val="0"/>
                  <w:vAlign w:val="center"/>
                </w:tcPr>
                <w:p>
                  <w:pPr>
                    <w:jc w:val="center"/>
                    <w:textAlignment w:val="baseline"/>
                    <w:rPr>
                      <w:rFonts w:hint="eastAsia"/>
                      <w:bCs/>
                      <w:szCs w:val="21"/>
                    </w:rPr>
                  </w:pPr>
                  <w:r>
                    <w:rPr>
                      <w:rFonts w:hint="eastAsia"/>
                      <w:bCs/>
                      <w:szCs w:val="21"/>
                    </w:rPr>
                    <w:t>加气机1</w:t>
                  </w:r>
                </w:p>
              </w:tc>
              <w:tc>
                <w:tcPr>
                  <w:tcW w:w="615" w:type="dxa"/>
                  <w:noWrap w:val="0"/>
                  <w:vAlign w:val="center"/>
                </w:tcPr>
                <w:p>
                  <w:pPr>
                    <w:jc w:val="center"/>
                    <w:rPr>
                      <w:rFonts w:hint="eastAsia"/>
                      <w:szCs w:val="21"/>
                    </w:rPr>
                  </w:pPr>
                  <w:r>
                    <w:rPr>
                      <w:rFonts w:hint="eastAsia"/>
                      <w:szCs w:val="21"/>
                    </w:rPr>
                    <w:t>/</w:t>
                  </w:r>
                </w:p>
              </w:tc>
              <w:tc>
                <w:tcPr>
                  <w:tcW w:w="686" w:type="dxa"/>
                  <w:noWrap w:val="0"/>
                  <w:vAlign w:val="center"/>
                </w:tcPr>
                <w:p>
                  <w:pPr>
                    <w:jc w:val="center"/>
                    <w:rPr>
                      <w:rFonts w:hint="eastAsia"/>
                      <w:szCs w:val="21"/>
                    </w:rPr>
                  </w:pPr>
                  <w:r>
                    <w:rPr>
                      <w:rFonts w:hint="eastAsia"/>
                      <w:szCs w:val="21"/>
                    </w:rPr>
                    <w:t>27.2</w:t>
                  </w:r>
                </w:p>
              </w:tc>
              <w:tc>
                <w:tcPr>
                  <w:tcW w:w="686" w:type="dxa"/>
                  <w:noWrap w:val="0"/>
                  <w:vAlign w:val="center"/>
                </w:tcPr>
                <w:p>
                  <w:pPr>
                    <w:jc w:val="center"/>
                    <w:rPr>
                      <w:rFonts w:hint="eastAsia"/>
                      <w:szCs w:val="21"/>
                    </w:rPr>
                  </w:pPr>
                  <w:r>
                    <w:rPr>
                      <w:rFonts w:hint="eastAsia"/>
                      <w:szCs w:val="21"/>
                    </w:rPr>
                    <w:t>6.2</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r>
                    <w:rPr>
                      <w:rFonts w:hint="eastAsia"/>
                      <w:szCs w:val="21"/>
                    </w:rPr>
                    <w:t>/</w:t>
                  </w:r>
                </w:p>
              </w:tc>
              <w:tc>
                <w:tcPr>
                  <w:tcW w:w="804" w:type="dxa"/>
                  <w:noWrap w:val="0"/>
                  <w:vAlign w:val="center"/>
                </w:tcPr>
                <w:p>
                  <w:pPr>
                    <w:jc w:val="center"/>
                    <w:rPr>
                      <w:rFonts w:hint="eastAsia"/>
                      <w:szCs w:val="21"/>
                    </w:rPr>
                  </w:pPr>
                  <w:r>
                    <w:rPr>
                      <w:rFonts w:hint="eastAsia"/>
                      <w:szCs w:val="21"/>
                    </w:rPr>
                    <w:t>60</w:t>
                  </w:r>
                </w:p>
              </w:tc>
              <w:tc>
                <w:tcPr>
                  <w:tcW w:w="835" w:type="dxa"/>
                  <w:vMerge w:val="restart"/>
                  <w:noWrap w:val="0"/>
                  <w:vAlign w:val="center"/>
                </w:tcPr>
                <w:p>
                  <w:pPr>
                    <w:jc w:val="center"/>
                    <w:rPr>
                      <w:rFonts w:hint="eastAsia"/>
                      <w:bCs/>
                      <w:szCs w:val="21"/>
                    </w:rPr>
                  </w:pPr>
                  <w:r>
                    <w:rPr>
                      <w:rFonts w:hint="eastAsia"/>
                      <w:bCs/>
                      <w:szCs w:val="21"/>
                    </w:rPr>
                    <w:t>基础减振</w:t>
                  </w: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4</w:t>
                  </w:r>
                </w:p>
              </w:tc>
              <w:tc>
                <w:tcPr>
                  <w:tcW w:w="1556" w:type="dxa"/>
                  <w:noWrap w:val="0"/>
                  <w:vAlign w:val="center"/>
                </w:tcPr>
                <w:p>
                  <w:pPr>
                    <w:jc w:val="center"/>
                    <w:textAlignment w:val="baseline"/>
                    <w:rPr>
                      <w:rFonts w:hint="eastAsia"/>
                      <w:bCs/>
                      <w:szCs w:val="21"/>
                    </w:rPr>
                  </w:pPr>
                  <w:r>
                    <w:rPr>
                      <w:rFonts w:hint="eastAsia"/>
                      <w:bCs/>
                      <w:szCs w:val="21"/>
                    </w:rPr>
                    <w:t>加气机2</w:t>
                  </w:r>
                </w:p>
              </w:tc>
              <w:tc>
                <w:tcPr>
                  <w:tcW w:w="615" w:type="dxa"/>
                  <w:noWrap w:val="0"/>
                  <w:vAlign w:val="center"/>
                </w:tcPr>
                <w:p>
                  <w:pPr>
                    <w:jc w:val="center"/>
                    <w:rPr>
                      <w:rFonts w:hint="eastAsia"/>
                      <w:szCs w:val="21"/>
                    </w:rPr>
                  </w:pPr>
                </w:p>
              </w:tc>
              <w:tc>
                <w:tcPr>
                  <w:tcW w:w="686" w:type="dxa"/>
                  <w:noWrap w:val="0"/>
                  <w:vAlign w:val="center"/>
                </w:tcPr>
                <w:p>
                  <w:pPr>
                    <w:jc w:val="center"/>
                    <w:rPr>
                      <w:rFonts w:hint="eastAsia"/>
                      <w:szCs w:val="21"/>
                    </w:rPr>
                  </w:pPr>
                  <w:r>
                    <w:rPr>
                      <w:rFonts w:hint="eastAsia"/>
                      <w:szCs w:val="21"/>
                    </w:rPr>
                    <w:t>41.8</w:t>
                  </w:r>
                </w:p>
              </w:tc>
              <w:tc>
                <w:tcPr>
                  <w:tcW w:w="686" w:type="dxa"/>
                  <w:noWrap w:val="0"/>
                  <w:vAlign w:val="center"/>
                </w:tcPr>
                <w:p>
                  <w:pPr>
                    <w:jc w:val="center"/>
                    <w:rPr>
                      <w:rFonts w:hint="eastAsia"/>
                      <w:szCs w:val="21"/>
                    </w:rPr>
                  </w:pPr>
                  <w:r>
                    <w:rPr>
                      <w:rFonts w:hint="eastAsia"/>
                      <w:szCs w:val="21"/>
                    </w:rPr>
                    <w:t>3.7</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5</w:t>
                  </w:r>
                </w:p>
              </w:tc>
              <w:tc>
                <w:tcPr>
                  <w:tcW w:w="1556" w:type="dxa"/>
                  <w:noWrap w:val="0"/>
                  <w:vAlign w:val="center"/>
                </w:tcPr>
                <w:p>
                  <w:pPr>
                    <w:jc w:val="center"/>
                    <w:textAlignment w:val="baseline"/>
                    <w:rPr>
                      <w:rFonts w:hint="eastAsia"/>
                      <w:bCs/>
                      <w:szCs w:val="21"/>
                    </w:rPr>
                  </w:pPr>
                  <w:r>
                    <w:rPr>
                      <w:rFonts w:hint="eastAsia"/>
                      <w:bCs/>
                      <w:szCs w:val="21"/>
                    </w:rPr>
                    <w:t>加油机1</w:t>
                  </w:r>
                </w:p>
              </w:tc>
              <w:tc>
                <w:tcPr>
                  <w:tcW w:w="615" w:type="dxa"/>
                  <w:noWrap w:val="0"/>
                  <w:vAlign w:val="center"/>
                </w:tcPr>
                <w:p>
                  <w:pPr>
                    <w:jc w:val="center"/>
                    <w:rPr>
                      <w:rFonts w:hint="eastAsia"/>
                      <w:szCs w:val="21"/>
                    </w:rPr>
                  </w:pPr>
                </w:p>
              </w:tc>
              <w:tc>
                <w:tcPr>
                  <w:tcW w:w="686" w:type="dxa"/>
                  <w:noWrap w:val="0"/>
                  <w:vAlign w:val="center"/>
                </w:tcPr>
                <w:p>
                  <w:pPr>
                    <w:jc w:val="center"/>
                    <w:rPr>
                      <w:rFonts w:hint="eastAsia"/>
                      <w:szCs w:val="21"/>
                    </w:rPr>
                  </w:pPr>
                  <w:r>
                    <w:rPr>
                      <w:rFonts w:hint="eastAsia"/>
                      <w:szCs w:val="21"/>
                    </w:rPr>
                    <w:t>56.7</w:t>
                  </w:r>
                </w:p>
              </w:tc>
              <w:tc>
                <w:tcPr>
                  <w:tcW w:w="686" w:type="dxa"/>
                  <w:noWrap w:val="0"/>
                  <w:vAlign w:val="center"/>
                </w:tcPr>
                <w:p>
                  <w:pPr>
                    <w:jc w:val="center"/>
                    <w:rPr>
                      <w:rFonts w:hint="eastAsia"/>
                      <w:szCs w:val="21"/>
                    </w:rPr>
                  </w:pPr>
                  <w:r>
                    <w:rPr>
                      <w:rFonts w:hint="eastAsia"/>
                      <w:szCs w:val="21"/>
                    </w:rPr>
                    <w:t>1.6</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6</w:t>
                  </w:r>
                </w:p>
              </w:tc>
              <w:tc>
                <w:tcPr>
                  <w:tcW w:w="1556" w:type="dxa"/>
                  <w:noWrap w:val="0"/>
                  <w:vAlign w:val="center"/>
                </w:tcPr>
                <w:p>
                  <w:pPr>
                    <w:jc w:val="center"/>
                    <w:textAlignment w:val="baseline"/>
                    <w:rPr>
                      <w:rFonts w:hint="eastAsia"/>
                      <w:bCs/>
                      <w:szCs w:val="21"/>
                    </w:rPr>
                  </w:pPr>
                  <w:r>
                    <w:rPr>
                      <w:rFonts w:hint="eastAsia"/>
                      <w:bCs/>
                      <w:szCs w:val="21"/>
                    </w:rPr>
                    <w:t>加油机2</w:t>
                  </w:r>
                </w:p>
              </w:tc>
              <w:tc>
                <w:tcPr>
                  <w:tcW w:w="615" w:type="dxa"/>
                  <w:noWrap w:val="0"/>
                  <w:vAlign w:val="center"/>
                </w:tcPr>
                <w:p>
                  <w:pPr>
                    <w:jc w:val="center"/>
                    <w:rPr>
                      <w:rFonts w:hint="eastAsia"/>
                      <w:szCs w:val="21"/>
                    </w:rPr>
                  </w:pPr>
                </w:p>
              </w:tc>
              <w:tc>
                <w:tcPr>
                  <w:tcW w:w="686" w:type="dxa"/>
                  <w:noWrap w:val="0"/>
                  <w:vAlign w:val="center"/>
                </w:tcPr>
                <w:p>
                  <w:pPr>
                    <w:jc w:val="center"/>
                    <w:rPr>
                      <w:rFonts w:hint="eastAsia"/>
                      <w:szCs w:val="21"/>
                    </w:rPr>
                  </w:pPr>
                  <w:r>
                    <w:rPr>
                      <w:rFonts w:hint="eastAsia"/>
                      <w:szCs w:val="21"/>
                    </w:rPr>
                    <w:t>58.7</w:t>
                  </w:r>
                </w:p>
              </w:tc>
              <w:tc>
                <w:tcPr>
                  <w:tcW w:w="686" w:type="dxa"/>
                  <w:noWrap w:val="0"/>
                  <w:vAlign w:val="center"/>
                </w:tcPr>
                <w:p>
                  <w:pPr>
                    <w:jc w:val="center"/>
                    <w:rPr>
                      <w:rFonts w:hint="eastAsia"/>
                      <w:szCs w:val="21"/>
                    </w:rPr>
                  </w:pPr>
                  <w:r>
                    <w:rPr>
                      <w:rFonts w:hint="eastAsia"/>
                      <w:szCs w:val="21"/>
                    </w:rPr>
                    <w:t>13.4</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7</w:t>
                  </w:r>
                </w:p>
              </w:tc>
              <w:tc>
                <w:tcPr>
                  <w:tcW w:w="1556" w:type="dxa"/>
                  <w:noWrap w:val="0"/>
                  <w:vAlign w:val="center"/>
                </w:tcPr>
                <w:p>
                  <w:pPr>
                    <w:jc w:val="center"/>
                    <w:textAlignment w:val="baseline"/>
                    <w:rPr>
                      <w:rFonts w:hint="eastAsia"/>
                      <w:bCs/>
                      <w:szCs w:val="21"/>
                    </w:rPr>
                  </w:pPr>
                  <w:r>
                    <w:rPr>
                      <w:rFonts w:hint="eastAsia"/>
                      <w:bCs/>
                      <w:szCs w:val="21"/>
                    </w:rPr>
                    <w:t>加油机3</w:t>
                  </w:r>
                </w:p>
              </w:tc>
              <w:tc>
                <w:tcPr>
                  <w:tcW w:w="615" w:type="dxa"/>
                  <w:noWrap w:val="0"/>
                  <w:vAlign w:val="center"/>
                </w:tcPr>
                <w:p>
                  <w:pPr>
                    <w:jc w:val="center"/>
                    <w:rPr>
                      <w:rFonts w:hint="eastAsia"/>
                      <w:szCs w:val="21"/>
                    </w:rPr>
                  </w:pPr>
                </w:p>
              </w:tc>
              <w:tc>
                <w:tcPr>
                  <w:tcW w:w="686" w:type="dxa"/>
                  <w:noWrap w:val="0"/>
                  <w:vAlign w:val="center"/>
                </w:tcPr>
                <w:p>
                  <w:pPr>
                    <w:jc w:val="center"/>
                    <w:rPr>
                      <w:rFonts w:hint="eastAsia"/>
                      <w:szCs w:val="21"/>
                    </w:rPr>
                  </w:pPr>
                  <w:r>
                    <w:rPr>
                      <w:rFonts w:hint="eastAsia"/>
                      <w:szCs w:val="21"/>
                    </w:rPr>
                    <w:t>43.9</w:t>
                  </w:r>
                </w:p>
              </w:tc>
              <w:tc>
                <w:tcPr>
                  <w:tcW w:w="686" w:type="dxa"/>
                  <w:noWrap w:val="0"/>
                  <w:vAlign w:val="center"/>
                </w:tcPr>
                <w:p>
                  <w:pPr>
                    <w:jc w:val="center"/>
                    <w:rPr>
                      <w:rFonts w:hint="eastAsia"/>
                      <w:szCs w:val="21"/>
                    </w:rPr>
                  </w:pPr>
                  <w:r>
                    <w:rPr>
                      <w:rFonts w:hint="eastAsia"/>
                      <w:szCs w:val="21"/>
                    </w:rPr>
                    <w:t>15.9</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8</w:t>
                  </w:r>
                </w:p>
              </w:tc>
              <w:tc>
                <w:tcPr>
                  <w:tcW w:w="1556" w:type="dxa"/>
                  <w:noWrap w:val="0"/>
                  <w:vAlign w:val="center"/>
                </w:tcPr>
                <w:p>
                  <w:pPr>
                    <w:jc w:val="center"/>
                    <w:textAlignment w:val="baseline"/>
                    <w:rPr>
                      <w:rFonts w:hint="eastAsia"/>
                      <w:bCs/>
                      <w:szCs w:val="21"/>
                    </w:rPr>
                  </w:pPr>
                  <w:r>
                    <w:rPr>
                      <w:rFonts w:hint="eastAsia"/>
                      <w:bCs/>
                      <w:szCs w:val="21"/>
                    </w:rPr>
                    <w:t>加油机4</w:t>
                  </w:r>
                </w:p>
              </w:tc>
              <w:tc>
                <w:tcPr>
                  <w:tcW w:w="615" w:type="dxa"/>
                  <w:noWrap w:val="0"/>
                  <w:vAlign w:val="center"/>
                </w:tcPr>
                <w:p>
                  <w:pPr>
                    <w:jc w:val="center"/>
                    <w:rPr>
                      <w:rFonts w:hint="eastAsia"/>
                      <w:szCs w:val="21"/>
                    </w:rPr>
                  </w:pPr>
                </w:p>
              </w:tc>
              <w:tc>
                <w:tcPr>
                  <w:tcW w:w="686" w:type="dxa"/>
                  <w:noWrap w:val="0"/>
                  <w:vAlign w:val="center"/>
                </w:tcPr>
                <w:p>
                  <w:pPr>
                    <w:jc w:val="center"/>
                    <w:rPr>
                      <w:rFonts w:hint="eastAsia"/>
                      <w:szCs w:val="21"/>
                    </w:rPr>
                  </w:pPr>
                  <w:r>
                    <w:rPr>
                      <w:rFonts w:hint="eastAsia"/>
                      <w:szCs w:val="21"/>
                    </w:rPr>
                    <w:t>29.1</w:t>
                  </w:r>
                </w:p>
              </w:tc>
              <w:tc>
                <w:tcPr>
                  <w:tcW w:w="686" w:type="dxa"/>
                  <w:noWrap w:val="0"/>
                  <w:vAlign w:val="center"/>
                </w:tcPr>
                <w:p>
                  <w:pPr>
                    <w:jc w:val="center"/>
                    <w:rPr>
                      <w:rFonts w:hint="eastAsia"/>
                      <w:szCs w:val="21"/>
                    </w:rPr>
                  </w:pPr>
                  <w:r>
                    <w:rPr>
                      <w:rFonts w:hint="eastAsia"/>
                      <w:szCs w:val="21"/>
                    </w:rPr>
                    <w:t>18.3</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p>
              </w:tc>
              <w:tc>
                <w:tcPr>
                  <w:tcW w:w="804" w:type="dxa"/>
                  <w:noWrap w:val="0"/>
                  <w:vAlign w:val="center"/>
                </w:tcPr>
                <w:p>
                  <w:pPr>
                    <w:jc w:val="center"/>
                    <w:rPr>
                      <w:rFonts w:hint="eastAsia"/>
                      <w:szCs w:val="21"/>
                    </w:rPr>
                  </w:pPr>
                  <w:r>
                    <w:rPr>
                      <w:rFonts w:hint="eastAsia"/>
                      <w:szCs w:val="21"/>
                    </w:rPr>
                    <w:t>60</w:t>
                  </w:r>
                </w:p>
              </w:tc>
              <w:tc>
                <w:tcPr>
                  <w:tcW w:w="835" w:type="dxa"/>
                  <w:vMerge w:val="continue"/>
                  <w:noWrap w:val="0"/>
                  <w:vAlign w:val="center"/>
                </w:tcPr>
                <w:p>
                  <w:pPr>
                    <w:jc w:val="center"/>
                    <w:rPr>
                      <w:rFonts w:hint="eastAsia"/>
                      <w:bCs/>
                      <w:szCs w:val="21"/>
                    </w:rPr>
                  </w:pPr>
                </w:p>
              </w:tc>
              <w:tc>
                <w:tcPr>
                  <w:tcW w:w="717" w:type="dxa"/>
                  <w:noWrap w:val="0"/>
                  <w:vAlign w:val="center"/>
                </w:tcPr>
                <w:p>
                  <w:pPr>
                    <w:jc w:val="center"/>
                    <w:rPr>
                      <w:rFonts w:hint="eastAsia"/>
                    </w:rPr>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2" w:hRule="atLeast"/>
                <w:jc w:val="center"/>
              </w:trPr>
              <w:tc>
                <w:tcPr>
                  <w:tcW w:w="401" w:type="dxa"/>
                  <w:noWrap w:val="0"/>
                  <w:vAlign w:val="center"/>
                </w:tcPr>
                <w:p>
                  <w:pPr>
                    <w:jc w:val="center"/>
                    <w:textAlignment w:val="baseline"/>
                    <w:rPr>
                      <w:rFonts w:hint="eastAsia"/>
                      <w:szCs w:val="21"/>
                      <w:lang w:bidi="ar"/>
                    </w:rPr>
                  </w:pPr>
                  <w:r>
                    <w:rPr>
                      <w:rFonts w:hint="eastAsia"/>
                      <w:szCs w:val="21"/>
                      <w:lang w:bidi="ar"/>
                    </w:rPr>
                    <w:t>9</w:t>
                  </w:r>
                </w:p>
              </w:tc>
              <w:tc>
                <w:tcPr>
                  <w:tcW w:w="1556" w:type="dxa"/>
                  <w:noWrap w:val="0"/>
                  <w:vAlign w:val="center"/>
                </w:tcPr>
                <w:p>
                  <w:pPr>
                    <w:jc w:val="center"/>
                    <w:textAlignment w:val="baseline"/>
                    <w:rPr>
                      <w:rFonts w:hint="eastAsia"/>
                      <w:bCs/>
                      <w:szCs w:val="21"/>
                    </w:rPr>
                  </w:pPr>
                  <w:r>
                    <w:rPr>
                      <w:rFonts w:hint="eastAsia"/>
                      <w:bCs/>
                      <w:szCs w:val="21"/>
                    </w:rPr>
                    <w:t>柴油发电机</w:t>
                  </w:r>
                </w:p>
              </w:tc>
              <w:tc>
                <w:tcPr>
                  <w:tcW w:w="615" w:type="dxa"/>
                  <w:noWrap w:val="0"/>
                  <w:vAlign w:val="center"/>
                </w:tcPr>
                <w:p>
                  <w:pPr>
                    <w:jc w:val="center"/>
                    <w:rPr>
                      <w:rFonts w:hint="eastAsia"/>
                      <w:szCs w:val="21"/>
                    </w:rPr>
                  </w:pPr>
                  <w:r>
                    <w:rPr>
                      <w:rFonts w:hint="eastAsia"/>
                      <w:szCs w:val="21"/>
                    </w:rPr>
                    <w:t>/</w:t>
                  </w:r>
                </w:p>
              </w:tc>
              <w:tc>
                <w:tcPr>
                  <w:tcW w:w="686" w:type="dxa"/>
                  <w:noWrap w:val="0"/>
                  <w:vAlign w:val="center"/>
                </w:tcPr>
                <w:p>
                  <w:pPr>
                    <w:jc w:val="center"/>
                    <w:rPr>
                      <w:rFonts w:hint="eastAsia"/>
                      <w:szCs w:val="21"/>
                    </w:rPr>
                  </w:pPr>
                  <w:r>
                    <w:rPr>
                      <w:rFonts w:hint="eastAsia"/>
                      <w:szCs w:val="21"/>
                    </w:rPr>
                    <w:t>49.3</w:t>
                  </w:r>
                </w:p>
              </w:tc>
              <w:tc>
                <w:tcPr>
                  <w:tcW w:w="686" w:type="dxa"/>
                  <w:noWrap w:val="0"/>
                  <w:vAlign w:val="center"/>
                </w:tcPr>
                <w:p>
                  <w:pPr>
                    <w:jc w:val="center"/>
                    <w:rPr>
                      <w:rFonts w:hint="eastAsia"/>
                      <w:szCs w:val="21"/>
                    </w:rPr>
                  </w:pPr>
                  <w:r>
                    <w:rPr>
                      <w:rFonts w:hint="eastAsia"/>
                      <w:szCs w:val="21"/>
                    </w:rPr>
                    <w:t>28.9</w:t>
                  </w:r>
                </w:p>
              </w:tc>
              <w:tc>
                <w:tcPr>
                  <w:tcW w:w="682" w:type="dxa"/>
                  <w:noWrap w:val="0"/>
                  <w:vAlign w:val="center"/>
                </w:tcPr>
                <w:p>
                  <w:pPr>
                    <w:jc w:val="center"/>
                    <w:rPr>
                      <w:rFonts w:hint="eastAsia"/>
                      <w:szCs w:val="21"/>
                    </w:rPr>
                  </w:pPr>
                  <w:r>
                    <w:rPr>
                      <w:rFonts w:hint="eastAsia"/>
                      <w:szCs w:val="21"/>
                    </w:rPr>
                    <w:t>1</w:t>
                  </w:r>
                </w:p>
              </w:tc>
              <w:tc>
                <w:tcPr>
                  <w:tcW w:w="1410" w:type="dxa"/>
                  <w:noWrap w:val="0"/>
                  <w:vAlign w:val="center"/>
                </w:tcPr>
                <w:p>
                  <w:pPr>
                    <w:jc w:val="center"/>
                    <w:rPr>
                      <w:rFonts w:hint="eastAsia"/>
                      <w:szCs w:val="21"/>
                    </w:rPr>
                  </w:pPr>
                  <w:r>
                    <w:rPr>
                      <w:rFonts w:hint="eastAsia"/>
                      <w:szCs w:val="21"/>
                    </w:rPr>
                    <w:t>/</w:t>
                  </w:r>
                </w:p>
              </w:tc>
              <w:tc>
                <w:tcPr>
                  <w:tcW w:w="804" w:type="dxa"/>
                  <w:noWrap w:val="0"/>
                  <w:vAlign w:val="center"/>
                </w:tcPr>
                <w:p>
                  <w:pPr>
                    <w:jc w:val="center"/>
                    <w:rPr>
                      <w:rFonts w:hint="eastAsia"/>
                      <w:szCs w:val="21"/>
                    </w:rPr>
                  </w:pPr>
                  <w:r>
                    <w:rPr>
                      <w:rFonts w:hint="eastAsia"/>
                      <w:szCs w:val="21"/>
                    </w:rPr>
                    <w:t>85</w:t>
                  </w:r>
                </w:p>
              </w:tc>
              <w:tc>
                <w:tcPr>
                  <w:tcW w:w="835" w:type="dxa"/>
                  <w:noWrap w:val="0"/>
                  <w:vAlign w:val="center"/>
                </w:tcPr>
                <w:p>
                  <w:pPr>
                    <w:jc w:val="center"/>
                    <w:rPr>
                      <w:rFonts w:hint="eastAsia"/>
                      <w:bCs/>
                      <w:szCs w:val="21"/>
                    </w:rPr>
                  </w:pPr>
                  <w:r>
                    <w:rPr>
                      <w:rFonts w:hint="eastAsia"/>
                      <w:bCs/>
                      <w:szCs w:val="21"/>
                    </w:rPr>
                    <w:t>厂房隔声、基础减震</w:t>
                  </w:r>
                </w:p>
              </w:tc>
              <w:tc>
                <w:tcPr>
                  <w:tcW w:w="717" w:type="dxa"/>
                  <w:noWrap w:val="0"/>
                  <w:vAlign w:val="center"/>
                </w:tcPr>
                <w:p>
                  <w:pPr>
                    <w:jc w:val="center"/>
                    <w:rPr>
                      <w:rFonts w:hint="eastAsia"/>
                    </w:rPr>
                  </w:pPr>
                  <w:r>
                    <w:rPr>
                      <w:rFonts w:hint="eastAsia"/>
                    </w:rPr>
                    <w:t>偶发</w:t>
                  </w:r>
                </w:p>
              </w:tc>
            </w:tr>
          </w:tbl>
          <w:p>
            <w:pPr>
              <w:spacing w:line="360" w:lineRule="auto"/>
              <w:ind w:firstLine="482" w:firstLineChars="200"/>
              <w:jc w:val="left"/>
              <w:rPr>
                <w:b/>
                <w:bCs/>
                <w:sz w:val="24"/>
              </w:rPr>
            </w:pPr>
            <w:r>
              <w:rPr>
                <w:b/>
                <w:bCs/>
                <w:sz w:val="24"/>
              </w:rPr>
              <w:t>2、噪声治理措施</w:t>
            </w:r>
          </w:p>
          <w:p>
            <w:pPr>
              <w:spacing w:line="360" w:lineRule="auto"/>
              <w:ind w:firstLine="480" w:firstLineChars="200"/>
              <w:rPr>
                <w:sz w:val="24"/>
              </w:rPr>
            </w:pPr>
            <w:r>
              <w:rPr>
                <w:rFonts w:hint="eastAsia"/>
                <w:sz w:val="24"/>
              </w:rPr>
              <w:t>①</w:t>
            </w:r>
            <w:r>
              <w:rPr>
                <w:sz w:val="24"/>
              </w:rPr>
              <w:t>优选设备。尽量选择低噪声且符合国家噪声标准的设备。</w:t>
            </w:r>
          </w:p>
          <w:p>
            <w:pPr>
              <w:spacing w:line="360" w:lineRule="auto"/>
              <w:ind w:firstLine="480" w:firstLineChars="200"/>
              <w:rPr>
                <w:sz w:val="24"/>
              </w:rPr>
            </w:pPr>
            <w:r>
              <w:rPr>
                <w:rFonts w:hint="eastAsia"/>
                <w:sz w:val="24"/>
              </w:rPr>
              <w:t>②</w:t>
            </w:r>
            <w:r>
              <w:rPr>
                <w:sz w:val="24"/>
              </w:rPr>
              <w:t xml:space="preserve">减振消声。产噪设备安装减振垫；油泵、加油机等设备加强维护保养，定期检查、维修，及时更换老化和性能降低的旧设备。 </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 xml:space="preserve">优化布局。柴油发电机等噪声较大的设备安装在专用的房间内，并加装减震垫，减小结构传声的影响。 </w:t>
            </w:r>
          </w:p>
          <w:p>
            <w:pPr>
              <w:spacing w:line="360" w:lineRule="auto"/>
              <w:ind w:firstLine="480" w:firstLineChars="200"/>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进出站车辆噪声通过加强引导管理，尤其是夜间车辆运行、鸣笛等的引导管理</w:t>
            </w:r>
            <w:r>
              <w:rPr>
                <w:rFonts w:hint="eastAsia"/>
                <w:sz w:val="24"/>
              </w:rPr>
              <w:t>（</w:t>
            </w:r>
            <w:r>
              <w:rPr>
                <w:sz w:val="24"/>
              </w:rPr>
              <w:t>如车辆进站时减速、禁止鸣笛、加油结束后车辆尽量平稳启动等</w:t>
            </w:r>
            <w:r>
              <w:rPr>
                <w:rFonts w:hint="eastAsia"/>
                <w:sz w:val="24"/>
              </w:rPr>
              <w:t>）</w:t>
            </w:r>
            <w:r>
              <w:rPr>
                <w:sz w:val="24"/>
              </w:rPr>
              <w:t xml:space="preserve">，避免扰民。 </w:t>
            </w:r>
          </w:p>
          <w:p>
            <w:pPr>
              <w:spacing w:line="360" w:lineRule="auto"/>
              <w:ind w:firstLine="480" w:firstLineChars="200"/>
              <w:rPr>
                <w:sz w:val="24"/>
              </w:rPr>
            </w:pPr>
            <w:r>
              <w:rPr>
                <w:rFonts w:hint="eastAsia"/>
                <w:sz w:val="24"/>
              </w:rPr>
              <w:t>⑤</w:t>
            </w:r>
            <w:r>
              <w:rPr>
                <w:sz w:val="24"/>
              </w:rPr>
              <w:t>加强站区管理，尽量制止司乘人员大声喧哗。</w:t>
            </w:r>
          </w:p>
          <w:p>
            <w:pPr>
              <w:spacing w:line="360" w:lineRule="auto"/>
              <w:ind w:firstLine="482" w:firstLineChars="200"/>
              <w:rPr>
                <w:b/>
                <w:bCs/>
                <w:sz w:val="24"/>
              </w:rPr>
            </w:pPr>
            <w:r>
              <w:rPr>
                <w:rFonts w:hint="eastAsia"/>
                <w:b/>
                <w:bCs/>
                <w:sz w:val="24"/>
              </w:rPr>
              <w:t>3</w:t>
            </w:r>
            <w:r>
              <w:rPr>
                <w:b/>
                <w:bCs/>
                <w:sz w:val="24"/>
              </w:rPr>
              <w:t>、</w:t>
            </w:r>
            <w:r>
              <w:rPr>
                <w:rFonts w:hint="eastAsia"/>
                <w:b/>
                <w:bCs/>
                <w:sz w:val="24"/>
              </w:rPr>
              <w:t>环境影响机达标情况</w:t>
            </w:r>
            <w:r>
              <w:rPr>
                <w:b/>
                <w:bCs/>
                <w:sz w:val="24"/>
              </w:rPr>
              <w:t>分析</w:t>
            </w:r>
          </w:p>
          <w:p>
            <w:pPr>
              <w:spacing w:line="360" w:lineRule="auto"/>
              <w:ind w:firstLine="482" w:firstLineChars="200"/>
              <w:rPr>
                <w:b/>
                <w:sz w:val="24"/>
              </w:rPr>
            </w:pPr>
            <w:r>
              <w:rPr>
                <w:b/>
                <w:sz w:val="24"/>
              </w:rPr>
              <w:t>1）预测模式</w:t>
            </w:r>
          </w:p>
          <w:p>
            <w:pPr>
              <w:spacing w:line="360" w:lineRule="auto"/>
              <w:ind w:firstLine="480" w:firstLineChars="200"/>
              <w:rPr>
                <w:sz w:val="24"/>
              </w:rPr>
            </w:pPr>
            <w:r>
              <w:rPr>
                <w:sz w:val="24"/>
              </w:rPr>
              <w:t>本次评价采用《环境影响评价技术导则一声环境》（HJ2.4-2021）中推荐模式进行预测，用A声级计算，模式如下：</w:t>
            </w:r>
          </w:p>
          <w:p>
            <w:pPr>
              <w:spacing w:line="360" w:lineRule="auto"/>
              <w:ind w:firstLine="480" w:firstLineChars="200"/>
              <w:rPr>
                <w:sz w:val="24"/>
              </w:rPr>
            </w:pPr>
            <w:r>
              <w:rPr>
                <w:rFonts w:hint="eastAsia" w:ascii="宋体" w:hAnsi="宋体" w:cs="宋体"/>
                <w:sz w:val="24"/>
              </w:rPr>
              <w:t>①</w:t>
            </w:r>
            <w:r>
              <w:rPr>
                <w:sz w:val="24"/>
              </w:rPr>
              <w:t>室外声源</w:t>
            </w:r>
          </w:p>
          <w:p>
            <w:pPr>
              <w:spacing w:line="360" w:lineRule="auto"/>
              <w:ind w:firstLine="480" w:firstLineChars="200"/>
              <w:rPr>
                <w:sz w:val="24"/>
              </w:rPr>
            </w:pPr>
            <w:r>
              <w:rPr>
                <w:sz w:val="24"/>
              </w:rPr>
              <w:t>在预测点的声压级计算：</w:t>
            </w:r>
          </w:p>
          <w:p>
            <w:pPr>
              <w:spacing w:line="360" w:lineRule="auto"/>
              <w:ind w:firstLine="480" w:firstLineChars="200"/>
              <w:jc w:val="center"/>
              <w:rPr>
                <w:sz w:val="24"/>
              </w:rPr>
            </w:pPr>
            <w:r>
              <w:rPr>
                <w:sz w:val="24"/>
              </w:rPr>
              <w:t>L</w:t>
            </w:r>
            <w:r>
              <w:rPr>
                <w:sz w:val="24"/>
                <w:vertAlign w:val="subscript"/>
              </w:rPr>
              <w:t>p</w:t>
            </w:r>
            <w:r>
              <w:rPr>
                <w:sz w:val="24"/>
              </w:rPr>
              <w:t>(r)＝L</w:t>
            </w:r>
            <w:r>
              <w:rPr>
                <w:sz w:val="24"/>
                <w:vertAlign w:val="subscript"/>
              </w:rPr>
              <w:t>w</w:t>
            </w:r>
            <w:r>
              <w:rPr>
                <w:sz w:val="24"/>
              </w:rPr>
              <w:t>+D</w:t>
            </w:r>
            <w:r>
              <w:rPr>
                <w:sz w:val="24"/>
                <w:vertAlign w:val="subscript"/>
              </w:rPr>
              <w:t>C</w:t>
            </w:r>
            <w:r>
              <w:rPr>
                <w:sz w:val="24"/>
              </w:rPr>
              <w:t>－(A</w:t>
            </w:r>
            <w:r>
              <w:rPr>
                <w:sz w:val="24"/>
                <w:vertAlign w:val="subscript"/>
              </w:rPr>
              <w:t>div</w:t>
            </w:r>
            <w:r>
              <w:rPr>
                <w:sz w:val="24"/>
              </w:rPr>
              <w:t>＋A</w:t>
            </w:r>
            <w:r>
              <w:rPr>
                <w:sz w:val="24"/>
                <w:vertAlign w:val="subscript"/>
              </w:rPr>
              <w:t>atm</w:t>
            </w:r>
            <w:r>
              <w:rPr>
                <w:sz w:val="24"/>
              </w:rPr>
              <w:t>＋A</w:t>
            </w:r>
            <w:r>
              <w:rPr>
                <w:sz w:val="24"/>
                <w:vertAlign w:val="subscript"/>
              </w:rPr>
              <w:t>gr</w:t>
            </w:r>
            <w:r>
              <w:rPr>
                <w:sz w:val="24"/>
              </w:rPr>
              <w:t>＋A</w:t>
            </w:r>
            <w:r>
              <w:rPr>
                <w:sz w:val="24"/>
                <w:vertAlign w:val="subscript"/>
              </w:rPr>
              <w:t>bar</w:t>
            </w:r>
            <w:r>
              <w:rPr>
                <w:sz w:val="24"/>
              </w:rPr>
              <w:t>＋A</w:t>
            </w:r>
            <w:r>
              <w:rPr>
                <w:sz w:val="24"/>
                <w:vertAlign w:val="subscript"/>
              </w:rPr>
              <w:t>misc</w:t>
            </w:r>
            <w:r>
              <w:rPr>
                <w:sz w:val="24"/>
              </w:rPr>
              <w:t>)</w:t>
            </w:r>
          </w:p>
          <w:p>
            <w:pPr>
              <w:spacing w:line="360" w:lineRule="auto"/>
              <w:ind w:firstLine="480" w:firstLineChars="200"/>
              <w:rPr>
                <w:sz w:val="24"/>
              </w:rPr>
            </w:pPr>
            <w:r>
              <w:rPr>
                <w:sz w:val="24"/>
              </w:rPr>
              <w:t>式中：L</w:t>
            </w:r>
            <w:r>
              <w:rPr>
                <w:sz w:val="24"/>
                <w:vertAlign w:val="subscript"/>
              </w:rPr>
              <w:t>p</w:t>
            </w:r>
            <w:r>
              <w:rPr>
                <w:sz w:val="24"/>
              </w:rPr>
              <w:t>(r)——预测点处声压级，dB；</w:t>
            </w:r>
          </w:p>
          <w:p>
            <w:pPr>
              <w:spacing w:line="360" w:lineRule="auto"/>
              <w:ind w:firstLine="480" w:firstLineChars="200"/>
              <w:rPr>
                <w:sz w:val="24"/>
              </w:rPr>
            </w:pPr>
            <w:r>
              <w:rPr>
                <w:sz w:val="24"/>
              </w:rPr>
              <w:t>L</w:t>
            </w:r>
            <w:r>
              <w:rPr>
                <w:sz w:val="24"/>
                <w:vertAlign w:val="subscript"/>
              </w:rPr>
              <w:t>w</w:t>
            </w:r>
            <w:r>
              <w:rPr>
                <w:sz w:val="24"/>
              </w:rPr>
              <w:t>——由点声源产生的声功率级（A计权或倍频带），dB；</w:t>
            </w:r>
          </w:p>
          <w:p>
            <w:pPr>
              <w:spacing w:line="360" w:lineRule="auto"/>
              <w:ind w:firstLine="480" w:firstLineChars="200"/>
              <w:rPr>
                <w:sz w:val="24"/>
              </w:rPr>
            </w:pPr>
            <w:r>
              <w:rPr>
                <w:sz w:val="24"/>
              </w:rPr>
              <w:t>D</w:t>
            </w:r>
            <w:r>
              <w:rPr>
                <w:sz w:val="24"/>
                <w:vertAlign w:val="subscript"/>
              </w:rPr>
              <w:t>C</w:t>
            </w:r>
            <w:r>
              <w:rPr>
                <w:sz w:val="24"/>
              </w:rPr>
              <w:t>——指向性校正，它描述点声源的等效连续声压级与产生声功率级L</w:t>
            </w:r>
            <w:r>
              <w:rPr>
                <w:sz w:val="24"/>
                <w:vertAlign w:val="subscript"/>
              </w:rPr>
              <w:t>w</w:t>
            </w:r>
            <w:r>
              <w:rPr>
                <w:sz w:val="24"/>
              </w:rPr>
              <w:t>的全向点声源在规定方向的声级的偏差程度，dB；</w:t>
            </w:r>
          </w:p>
          <w:p>
            <w:pPr>
              <w:spacing w:line="360" w:lineRule="auto"/>
              <w:ind w:firstLine="480" w:firstLineChars="200"/>
              <w:rPr>
                <w:sz w:val="24"/>
              </w:rPr>
            </w:pPr>
            <w:r>
              <w:rPr>
                <w:sz w:val="24"/>
              </w:rPr>
              <w:t>A</w:t>
            </w:r>
            <w:r>
              <w:rPr>
                <w:sz w:val="24"/>
                <w:vertAlign w:val="subscript"/>
              </w:rPr>
              <w:t>div</w:t>
            </w:r>
            <w:r>
              <w:rPr>
                <w:sz w:val="24"/>
              </w:rPr>
              <w:t>——几何发散引起的衰减，dB；</w:t>
            </w:r>
          </w:p>
          <w:p>
            <w:pPr>
              <w:spacing w:line="360" w:lineRule="auto"/>
              <w:ind w:firstLine="480" w:firstLineChars="200"/>
              <w:rPr>
                <w:sz w:val="24"/>
              </w:rPr>
            </w:pPr>
            <w:r>
              <w:rPr>
                <w:sz w:val="24"/>
              </w:rPr>
              <w:t>A</w:t>
            </w:r>
            <w:r>
              <w:rPr>
                <w:sz w:val="24"/>
                <w:vertAlign w:val="subscript"/>
              </w:rPr>
              <w:t>atm</w:t>
            </w:r>
            <w:r>
              <w:rPr>
                <w:sz w:val="24"/>
              </w:rPr>
              <w:t>——大气吸收引起的衰减，dB；</w:t>
            </w:r>
          </w:p>
          <w:p>
            <w:pPr>
              <w:spacing w:line="360" w:lineRule="auto"/>
              <w:ind w:firstLine="480" w:firstLineChars="200"/>
              <w:rPr>
                <w:sz w:val="24"/>
              </w:rPr>
            </w:pPr>
            <w:r>
              <w:rPr>
                <w:sz w:val="24"/>
              </w:rPr>
              <w:t>A</w:t>
            </w:r>
            <w:r>
              <w:rPr>
                <w:sz w:val="24"/>
                <w:vertAlign w:val="subscript"/>
              </w:rPr>
              <w:t>gr</w:t>
            </w:r>
            <w:r>
              <w:rPr>
                <w:sz w:val="24"/>
              </w:rPr>
              <w:t>——地面效应引起的衰减，dB；</w:t>
            </w:r>
          </w:p>
          <w:p>
            <w:pPr>
              <w:spacing w:line="360" w:lineRule="auto"/>
              <w:ind w:firstLine="480" w:firstLineChars="200"/>
              <w:rPr>
                <w:sz w:val="24"/>
              </w:rPr>
            </w:pPr>
            <w:r>
              <w:rPr>
                <w:sz w:val="24"/>
              </w:rPr>
              <w:t>A</w:t>
            </w:r>
            <w:r>
              <w:rPr>
                <w:sz w:val="24"/>
                <w:vertAlign w:val="subscript"/>
              </w:rPr>
              <w:t>bar</w:t>
            </w:r>
            <w:r>
              <w:rPr>
                <w:sz w:val="24"/>
              </w:rPr>
              <w:t>——障碍物屏蔽引起的衰减，dB；</w:t>
            </w:r>
          </w:p>
          <w:p>
            <w:pPr>
              <w:spacing w:line="360" w:lineRule="auto"/>
              <w:ind w:firstLine="480" w:firstLineChars="200"/>
              <w:rPr>
                <w:sz w:val="24"/>
              </w:rPr>
            </w:pPr>
            <w:r>
              <w:rPr>
                <w:sz w:val="24"/>
              </w:rPr>
              <w:t>A</w:t>
            </w:r>
            <w:r>
              <w:rPr>
                <w:sz w:val="24"/>
                <w:vertAlign w:val="subscript"/>
              </w:rPr>
              <w:t>misc</w:t>
            </w:r>
            <w:r>
              <w:rPr>
                <w:sz w:val="24"/>
              </w:rPr>
              <w:t>——其他多方面效应引起的衰减，dB。</w:t>
            </w:r>
          </w:p>
          <w:p>
            <w:pPr>
              <w:spacing w:line="360" w:lineRule="auto"/>
              <w:ind w:firstLine="480" w:firstLineChars="200"/>
              <w:rPr>
                <w:sz w:val="24"/>
              </w:rPr>
            </w:pPr>
            <w:r>
              <w:rPr>
                <w:rFonts w:hint="eastAsia" w:ascii="宋体" w:hAnsi="宋体" w:cs="宋体"/>
                <w:sz w:val="24"/>
              </w:rPr>
              <w:t>②</w:t>
            </w:r>
            <w:r>
              <w:rPr>
                <w:sz w:val="24"/>
              </w:rPr>
              <w:t>室内声源在预测点的声压级计算：</w:t>
            </w:r>
          </w:p>
          <w:p>
            <w:pPr>
              <w:spacing w:line="360" w:lineRule="auto"/>
              <w:ind w:firstLine="480" w:firstLineChars="200"/>
              <w:rPr>
                <w:sz w:val="24"/>
              </w:rPr>
            </w:pPr>
            <w:r>
              <w:rPr>
                <w:sz w:val="24"/>
              </w:rPr>
              <w:t>（一）首先计算某个室内声源在靠近围护结构处的声压级：</w:t>
            </w:r>
          </w:p>
          <w:p>
            <w:pPr>
              <w:spacing w:line="360" w:lineRule="auto"/>
              <w:ind w:firstLine="480" w:firstLineChars="200"/>
              <w:jc w:val="center"/>
              <w:rPr>
                <w:sz w:val="24"/>
              </w:rPr>
            </w:pPr>
            <w:r>
              <w:rPr>
                <w:sz w:val="24"/>
              </w:rPr>
              <w:drawing>
                <wp:inline distT="0" distB="0" distL="114300" distR="114300">
                  <wp:extent cx="2176780" cy="511175"/>
                  <wp:effectExtent l="0" t="0" r="13970" b="3175"/>
                  <wp:docPr id="1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0"/>
                          <pic:cNvPicPr>
                            <a:picLocks noChangeAspect="1"/>
                          </pic:cNvPicPr>
                        </pic:nvPicPr>
                        <pic:blipFill>
                          <a:blip r:embed="rId30"/>
                          <a:stretch>
                            <a:fillRect/>
                          </a:stretch>
                        </pic:blipFill>
                        <pic:spPr>
                          <a:xfrm>
                            <a:off x="0" y="0"/>
                            <a:ext cx="2176780" cy="511175"/>
                          </a:xfrm>
                          <a:prstGeom prst="rect">
                            <a:avLst/>
                          </a:prstGeom>
                          <a:noFill/>
                          <a:ln>
                            <a:noFill/>
                          </a:ln>
                        </pic:spPr>
                      </pic:pic>
                    </a:graphicData>
                  </a:graphic>
                </wp:inline>
              </w:drawing>
            </w:r>
          </w:p>
          <w:p>
            <w:pPr>
              <w:spacing w:line="360" w:lineRule="auto"/>
              <w:ind w:firstLine="480" w:firstLineChars="200"/>
              <w:rPr>
                <w:sz w:val="24"/>
              </w:rPr>
            </w:pPr>
            <w:r>
              <w:rPr>
                <w:sz w:val="24"/>
              </w:rPr>
              <w:t>式中：L</w:t>
            </w:r>
            <w:r>
              <w:rPr>
                <w:sz w:val="24"/>
                <w:vertAlign w:val="subscript"/>
              </w:rPr>
              <w:t>p1</w:t>
            </w:r>
            <w:r>
              <w:rPr>
                <w:sz w:val="24"/>
              </w:rPr>
              <w:t>——靠近开口处（或窗户）室内某倍频带的声压级或A声级，dB；</w:t>
            </w:r>
          </w:p>
          <w:p>
            <w:pPr>
              <w:spacing w:line="360" w:lineRule="auto"/>
              <w:ind w:firstLine="480" w:firstLineChars="200"/>
              <w:rPr>
                <w:sz w:val="24"/>
              </w:rPr>
            </w:pPr>
            <w:r>
              <w:rPr>
                <w:sz w:val="24"/>
              </w:rPr>
              <w:t>Lw——点声源声功率级（A计权或倍频带），dB；</w:t>
            </w:r>
          </w:p>
          <w:p>
            <w:pPr>
              <w:spacing w:line="360" w:lineRule="auto"/>
              <w:ind w:firstLine="480" w:firstLineChars="200"/>
              <w:rPr>
                <w:sz w:val="24"/>
              </w:rPr>
            </w:pPr>
            <w:r>
              <w:rPr>
                <w:sz w:val="24"/>
              </w:rPr>
              <w:t>Q——指向性因数；通常对无指向性声源，当声源放在房间中心时，Q=1；当放在一面墙的中心时，Q=2；当放在两面墙夹角处时，Q=4；当放在三面墙夹角处时，Q=8；</w:t>
            </w:r>
          </w:p>
          <w:p>
            <w:pPr>
              <w:spacing w:line="360" w:lineRule="auto"/>
              <w:ind w:firstLine="480" w:firstLineChars="200"/>
              <w:rPr>
                <w:sz w:val="24"/>
              </w:rPr>
            </w:pPr>
            <w:r>
              <w:rPr>
                <w:sz w:val="24"/>
              </w:rPr>
              <w:t>R——房间常数；R=Sα/（1-α），S为房间内表面面积，m</w:t>
            </w:r>
            <w:r>
              <w:rPr>
                <w:sz w:val="24"/>
                <w:vertAlign w:val="superscript"/>
              </w:rPr>
              <w:t>2</w:t>
            </w:r>
            <w:r>
              <w:rPr>
                <w:sz w:val="24"/>
              </w:rPr>
              <w:t>；α为平均吸声系数；</w:t>
            </w:r>
          </w:p>
          <w:p>
            <w:pPr>
              <w:spacing w:line="360" w:lineRule="auto"/>
              <w:ind w:firstLine="480" w:firstLineChars="200"/>
              <w:rPr>
                <w:sz w:val="24"/>
              </w:rPr>
            </w:pPr>
            <w:r>
              <w:rPr>
                <w:sz w:val="24"/>
              </w:rPr>
              <w:t>r——声源到靠近围护结构某点处的距离，m。</w:t>
            </w:r>
          </w:p>
          <w:p>
            <w:pPr>
              <w:spacing w:line="360" w:lineRule="auto"/>
              <w:ind w:firstLine="480" w:firstLineChars="200"/>
              <w:rPr>
                <w:sz w:val="24"/>
              </w:rPr>
            </w:pPr>
            <w:r>
              <w:rPr>
                <w:sz w:val="24"/>
              </w:rPr>
              <w:t>（二）然后计算出所有室内声源在围护结构处产生的i倍频带叠加声压级：</w:t>
            </w:r>
          </w:p>
          <w:p>
            <w:pPr>
              <w:pStyle w:val="625"/>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066290" cy="535305"/>
                  <wp:effectExtent l="0" t="0" r="10160" b="17145"/>
                  <wp:docPr id="2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pic:cNvPicPr>
                            <a:picLocks noChangeAspect="1"/>
                          </pic:cNvPicPr>
                        </pic:nvPicPr>
                        <pic:blipFill>
                          <a:blip r:embed="rId31"/>
                          <a:stretch>
                            <a:fillRect/>
                          </a:stretch>
                        </pic:blipFill>
                        <pic:spPr>
                          <a:xfrm>
                            <a:off x="0" y="0"/>
                            <a:ext cx="2066290" cy="535305"/>
                          </a:xfrm>
                          <a:prstGeom prst="rect">
                            <a:avLst/>
                          </a:prstGeom>
                          <a:noFill/>
                          <a:ln>
                            <a:noFill/>
                          </a:ln>
                        </pic:spPr>
                      </pic:pic>
                    </a:graphicData>
                  </a:graphic>
                </wp:inline>
              </w:drawing>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pli（T）</w:t>
            </w:r>
            <w:r>
              <w:rPr>
                <w:sz w:val="24"/>
              </w:rPr>
              <w:t>——靠近围护结构处室内N个声源i倍频带的叠加声压级，dB；</w:t>
            </w:r>
          </w:p>
          <w:p>
            <w:pPr>
              <w:spacing w:line="360" w:lineRule="auto"/>
              <w:ind w:firstLine="480" w:firstLineChars="200"/>
              <w:rPr>
                <w:sz w:val="24"/>
              </w:rPr>
            </w:pPr>
            <w:r>
              <w:rPr>
                <w:sz w:val="24"/>
              </w:rPr>
              <w:t>L</w:t>
            </w:r>
            <w:r>
              <w:rPr>
                <w:sz w:val="24"/>
                <w:vertAlign w:val="subscript"/>
              </w:rPr>
              <w:t>pli</w:t>
            </w:r>
            <w:r>
              <w:rPr>
                <w:sz w:val="24"/>
              </w:rPr>
              <w:t>——室内j声源i倍频带的声压级，dB；</w:t>
            </w:r>
          </w:p>
          <w:p>
            <w:pPr>
              <w:spacing w:line="360" w:lineRule="auto"/>
              <w:ind w:firstLine="480" w:firstLineChars="200"/>
              <w:rPr>
                <w:sz w:val="24"/>
              </w:rPr>
            </w:pPr>
            <w:r>
              <w:rPr>
                <w:sz w:val="24"/>
              </w:rPr>
              <w:t>N——室内声源总数。</w:t>
            </w:r>
          </w:p>
          <w:p>
            <w:pPr>
              <w:spacing w:line="360" w:lineRule="auto"/>
              <w:ind w:firstLine="480" w:firstLineChars="200"/>
              <w:rPr>
                <w:sz w:val="24"/>
              </w:rPr>
            </w:pPr>
            <w:r>
              <w:rPr>
                <w:sz w:val="24"/>
              </w:rPr>
              <w:t>（三）计算出室外靠近围护结构处的声压级：</w:t>
            </w:r>
          </w:p>
          <w:p>
            <w:pPr>
              <w:spacing w:line="360" w:lineRule="auto"/>
              <w:ind w:firstLine="480" w:firstLineChars="200"/>
              <w:jc w:val="center"/>
              <w:rPr>
                <w:sz w:val="24"/>
              </w:rPr>
            </w:pPr>
            <w:r>
              <w:rPr>
                <w:sz w:val="24"/>
              </w:rPr>
              <w:t>L</w:t>
            </w:r>
            <w:r>
              <w:rPr>
                <w:sz w:val="24"/>
                <w:vertAlign w:val="subscript"/>
              </w:rPr>
              <w:t>p2i</w:t>
            </w:r>
            <w:r>
              <w:rPr>
                <w:sz w:val="24"/>
              </w:rPr>
              <w:t>（T）=L</w:t>
            </w:r>
            <w:r>
              <w:rPr>
                <w:sz w:val="24"/>
                <w:vertAlign w:val="subscript"/>
              </w:rPr>
              <w:t>pli</w:t>
            </w:r>
            <w:r>
              <w:rPr>
                <w:sz w:val="24"/>
              </w:rPr>
              <w:t>（T）-（TL</w:t>
            </w:r>
            <w:r>
              <w:rPr>
                <w:sz w:val="24"/>
                <w:vertAlign w:val="subscript"/>
              </w:rPr>
              <w:t>i</w:t>
            </w:r>
            <w:r>
              <w:rPr>
                <w:sz w:val="24"/>
              </w:rPr>
              <w:t>+6）</w:t>
            </w:r>
          </w:p>
          <w:p>
            <w:pPr>
              <w:spacing w:line="360" w:lineRule="auto"/>
              <w:ind w:firstLine="480" w:firstLineChars="200"/>
              <w:rPr>
                <w:sz w:val="24"/>
              </w:rPr>
            </w:pPr>
            <w:r>
              <w:rPr>
                <w:sz w:val="24"/>
              </w:rPr>
              <w:t>式中：</w:t>
            </w:r>
          </w:p>
          <w:p>
            <w:pPr>
              <w:spacing w:line="360" w:lineRule="auto"/>
              <w:ind w:firstLine="480" w:firstLineChars="200"/>
              <w:rPr>
                <w:sz w:val="24"/>
              </w:rPr>
            </w:pPr>
            <w:r>
              <w:rPr>
                <w:sz w:val="24"/>
              </w:rPr>
              <w:t>L</w:t>
            </w:r>
            <w:r>
              <w:rPr>
                <w:sz w:val="24"/>
                <w:vertAlign w:val="subscript"/>
              </w:rPr>
              <w:t>p2i</w:t>
            </w:r>
            <w:r>
              <w:rPr>
                <w:sz w:val="24"/>
              </w:rPr>
              <w:t>（T）——靠近围护结构处室外N个声源i倍频带的叠加声压级，dB；</w:t>
            </w:r>
          </w:p>
          <w:p>
            <w:pPr>
              <w:spacing w:line="360" w:lineRule="auto"/>
              <w:ind w:firstLine="480" w:firstLineChars="200"/>
              <w:rPr>
                <w:sz w:val="24"/>
              </w:rPr>
            </w:pPr>
            <w:r>
              <w:rPr>
                <w:sz w:val="24"/>
              </w:rPr>
              <w:t>L</w:t>
            </w:r>
            <w:r>
              <w:rPr>
                <w:sz w:val="24"/>
                <w:vertAlign w:val="subscript"/>
              </w:rPr>
              <w:t>pli</w:t>
            </w:r>
            <w:r>
              <w:rPr>
                <w:sz w:val="24"/>
              </w:rPr>
              <w:t>（T）——靠近围护结构处室内N个声源i倍频带的叠加声压级，dB；</w:t>
            </w:r>
          </w:p>
          <w:p>
            <w:pPr>
              <w:spacing w:line="360" w:lineRule="auto"/>
              <w:ind w:firstLine="480" w:firstLineChars="200"/>
              <w:rPr>
                <w:sz w:val="24"/>
              </w:rPr>
            </w:pPr>
            <w:r>
              <w:rPr>
                <w:sz w:val="24"/>
              </w:rPr>
              <w:t>TL</w:t>
            </w:r>
            <w:r>
              <w:rPr>
                <w:sz w:val="24"/>
                <w:vertAlign w:val="subscript"/>
              </w:rPr>
              <w:t>i</w:t>
            </w:r>
            <w:r>
              <w:rPr>
                <w:sz w:val="24"/>
              </w:rPr>
              <w:t>——围护结构i倍频带的隔声量，dB。</w:t>
            </w:r>
          </w:p>
          <w:p>
            <w:pPr>
              <w:spacing w:line="360" w:lineRule="auto"/>
              <w:ind w:firstLine="480" w:firstLineChars="200"/>
              <w:rPr>
                <w:sz w:val="24"/>
              </w:rPr>
            </w:pPr>
            <w:r>
              <w:rPr>
                <w:sz w:val="24"/>
              </w:rPr>
              <w:t>（四）将室外声级和透声面积换算成等效的室外声源，计算出等效声源第i个倍频带的声功率级：</w:t>
            </w:r>
          </w:p>
          <w:p>
            <w:pPr>
              <w:spacing w:line="360" w:lineRule="auto"/>
              <w:ind w:firstLine="480" w:firstLineChars="200"/>
              <w:jc w:val="center"/>
              <w:rPr>
                <w:sz w:val="24"/>
              </w:rPr>
            </w:pPr>
            <w:r>
              <w:rPr>
                <w:sz w:val="24"/>
              </w:rPr>
              <w:t>L</w:t>
            </w:r>
            <w:r>
              <w:rPr>
                <w:sz w:val="24"/>
                <w:vertAlign w:val="subscript"/>
              </w:rPr>
              <w:t>w</w:t>
            </w:r>
            <w:r>
              <w:rPr>
                <w:sz w:val="24"/>
              </w:rPr>
              <w:t>=L</w:t>
            </w:r>
            <w:r>
              <w:rPr>
                <w:sz w:val="24"/>
                <w:vertAlign w:val="subscript"/>
              </w:rPr>
              <w:t>p2</w:t>
            </w:r>
            <w:r>
              <w:rPr>
                <w:sz w:val="24"/>
              </w:rPr>
              <w:t>（T）+10lgS</w:t>
            </w:r>
          </w:p>
          <w:p>
            <w:pPr>
              <w:spacing w:line="360" w:lineRule="auto"/>
              <w:ind w:firstLine="480" w:firstLineChars="200"/>
              <w:rPr>
                <w:sz w:val="24"/>
              </w:rPr>
            </w:pPr>
            <w:r>
              <w:rPr>
                <w:sz w:val="24"/>
              </w:rPr>
              <w:t>式中：L</w:t>
            </w:r>
            <w:r>
              <w:rPr>
                <w:sz w:val="24"/>
                <w:vertAlign w:val="subscript"/>
              </w:rPr>
              <w:t>w</w:t>
            </w:r>
            <w:r>
              <w:rPr>
                <w:sz w:val="24"/>
              </w:rPr>
              <w:t>——中心位置位于透声面积（S）处的等效声源的倍频带声功率级，dB；</w:t>
            </w:r>
          </w:p>
          <w:p>
            <w:pPr>
              <w:spacing w:line="360" w:lineRule="auto"/>
              <w:ind w:firstLine="480" w:firstLineChars="200"/>
              <w:rPr>
                <w:sz w:val="24"/>
              </w:rPr>
            </w:pPr>
            <w:r>
              <w:rPr>
                <w:sz w:val="24"/>
              </w:rPr>
              <w:t>L</w:t>
            </w:r>
            <w:r>
              <w:rPr>
                <w:sz w:val="24"/>
                <w:vertAlign w:val="subscript"/>
              </w:rPr>
              <w:t>p2</w:t>
            </w:r>
            <w:r>
              <w:rPr>
                <w:sz w:val="24"/>
              </w:rPr>
              <w:t>（T）——靠近围护结构处室外声源的声压级，dB；</w:t>
            </w:r>
          </w:p>
          <w:p>
            <w:pPr>
              <w:spacing w:line="360" w:lineRule="auto"/>
              <w:ind w:firstLine="480" w:firstLineChars="200"/>
              <w:rPr>
                <w:sz w:val="24"/>
              </w:rPr>
            </w:pPr>
            <w:r>
              <w:rPr>
                <w:sz w:val="24"/>
              </w:rPr>
              <w:t>S——透声面积，m</w:t>
            </w:r>
            <w:r>
              <w:rPr>
                <w:sz w:val="24"/>
                <w:vertAlign w:val="superscript"/>
              </w:rPr>
              <w:t>2</w:t>
            </w:r>
            <w:r>
              <w:rPr>
                <w:sz w:val="24"/>
              </w:rPr>
              <w:t>。</w:t>
            </w:r>
          </w:p>
          <w:p>
            <w:pPr>
              <w:numPr>
                <w:ilvl w:val="0"/>
                <w:numId w:val="10"/>
              </w:numPr>
              <w:spacing w:line="360" w:lineRule="auto"/>
              <w:ind w:firstLine="480" w:firstLineChars="200"/>
              <w:rPr>
                <w:sz w:val="24"/>
              </w:rPr>
            </w:pPr>
            <w:r>
              <w:rPr>
                <w:sz w:val="24"/>
              </w:rPr>
              <w:t>等效室外声源的位置为围护结构的位置，其声功率级为L</w:t>
            </w:r>
            <w:r>
              <w:rPr>
                <w:sz w:val="24"/>
                <w:vertAlign w:val="subscript"/>
              </w:rPr>
              <w:t>w</w:t>
            </w:r>
            <w:r>
              <w:rPr>
                <w:sz w:val="24"/>
              </w:rPr>
              <w:t>，由此计算等效声源在预测点产生的声级。</w:t>
            </w:r>
          </w:p>
          <w:p>
            <w:pPr>
              <w:spacing w:line="360" w:lineRule="auto"/>
              <w:ind w:firstLine="480" w:firstLineChars="200"/>
              <w:rPr>
                <w:sz w:val="24"/>
              </w:rPr>
            </w:pPr>
            <w:r>
              <w:rPr>
                <w:rFonts w:hint="eastAsia" w:ascii="宋体" w:hAnsi="宋体" w:cs="宋体"/>
                <w:sz w:val="24"/>
              </w:rPr>
              <w:t>③</w:t>
            </w:r>
            <w:r>
              <w:rPr>
                <w:sz w:val="24"/>
              </w:rPr>
              <w:t>总声级的计算</w:t>
            </w:r>
          </w:p>
          <w:p>
            <w:pPr>
              <w:spacing w:line="360" w:lineRule="auto"/>
              <w:ind w:firstLine="480" w:firstLineChars="200"/>
              <w:rPr>
                <w:sz w:val="24"/>
              </w:rPr>
            </w:pPr>
            <w:r>
              <w:rPr>
                <w:sz w:val="24"/>
              </w:rPr>
              <w:t>设第i个室外声源在预测点产生的A声级为L</w:t>
            </w:r>
            <w:r>
              <w:rPr>
                <w:sz w:val="24"/>
                <w:vertAlign w:val="subscript"/>
              </w:rPr>
              <w:t>Ai</w:t>
            </w:r>
            <w:r>
              <w:rPr>
                <w:sz w:val="24"/>
              </w:rPr>
              <w:t>，在T时间内该声源工作时间为t</w:t>
            </w:r>
            <w:r>
              <w:rPr>
                <w:sz w:val="24"/>
                <w:vertAlign w:val="subscript"/>
              </w:rPr>
              <w:t>i</w:t>
            </w:r>
            <w:r>
              <w:rPr>
                <w:sz w:val="24"/>
              </w:rPr>
              <w:t>；第j个等效室外声源在预测点产生的A声级为L</w:t>
            </w:r>
            <w:r>
              <w:rPr>
                <w:sz w:val="24"/>
                <w:vertAlign w:val="subscript"/>
              </w:rPr>
              <w:t>Aj</w:t>
            </w:r>
            <w:r>
              <w:rPr>
                <w:sz w:val="24"/>
              </w:rPr>
              <w:t>，在T时间内该声源工作时间为t</w:t>
            </w:r>
            <w:r>
              <w:rPr>
                <w:sz w:val="24"/>
                <w:vertAlign w:val="subscript"/>
              </w:rPr>
              <w:t>j</w:t>
            </w:r>
            <w:r>
              <w:rPr>
                <w:sz w:val="24"/>
              </w:rPr>
              <w:t>，则拟建工程声源对预测点产生的贡献值（L</w:t>
            </w:r>
            <w:r>
              <w:rPr>
                <w:sz w:val="24"/>
                <w:vertAlign w:val="subscript"/>
              </w:rPr>
              <w:t>eqg</w:t>
            </w:r>
            <w:r>
              <w:rPr>
                <w:sz w:val="24"/>
              </w:rPr>
              <w:t>）为：</w:t>
            </w:r>
          </w:p>
          <w:p>
            <w:pPr>
              <w:spacing w:line="360" w:lineRule="auto"/>
              <w:ind w:firstLine="480" w:firstLineChars="200"/>
              <w:jc w:val="center"/>
              <w:rPr>
                <w:sz w:val="24"/>
              </w:rPr>
            </w:pPr>
            <w:r>
              <w:rPr>
                <w:sz w:val="24"/>
              </w:rPr>
              <w:drawing>
                <wp:inline distT="0" distB="0" distL="114300" distR="114300">
                  <wp:extent cx="2667635" cy="551815"/>
                  <wp:effectExtent l="0" t="0" r="18415" b="63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2"/>
                          <a:stretch>
                            <a:fillRect/>
                          </a:stretch>
                        </pic:blipFill>
                        <pic:spPr>
                          <a:xfrm>
                            <a:off x="0" y="0"/>
                            <a:ext cx="2667635" cy="551815"/>
                          </a:xfrm>
                          <a:prstGeom prst="rect">
                            <a:avLst/>
                          </a:prstGeom>
                          <a:noFill/>
                          <a:ln>
                            <a:noFill/>
                          </a:ln>
                        </pic:spPr>
                      </pic:pic>
                    </a:graphicData>
                  </a:graphic>
                </wp:inline>
              </w:drawing>
            </w:r>
          </w:p>
          <w:p>
            <w:pPr>
              <w:spacing w:line="360" w:lineRule="auto"/>
              <w:ind w:firstLine="480" w:firstLineChars="200"/>
              <w:rPr>
                <w:sz w:val="24"/>
              </w:rPr>
            </w:pPr>
            <w:r>
              <w:rPr>
                <w:sz w:val="24"/>
              </w:rPr>
              <w:t>式中：L</w:t>
            </w:r>
            <w:r>
              <w:rPr>
                <w:sz w:val="24"/>
                <w:vertAlign w:val="subscript"/>
              </w:rPr>
              <w:t>eqg</w:t>
            </w:r>
            <w:r>
              <w:rPr>
                <w:sz w:val="24"/>
              </w:rPr>
              <w:t>——建设项目声源在预测点产生的噪声贡献值，dB；</w:t>
            </w:r>
          </w:p>
          <w:p>
            <w:pPr>
              <w:spacing w:line="360" w:lineRule="auto"/>
              <w:ind w:firstLine="480" w:firstLineChars="200"/>
              <w:rPr>
                <w:sz w:val="24"/>
              </w:rPr>
            </w:pPr>
            <w:r>
              <w:rPr>
                <w:sz w:val="24"/>
              </w:rPr>
              <w:t>T——用于计算等效声级的时间，s；</w:t>
            </w:r>
          </w:p>
          <w:p>
            <w:pPr>
              <w:spacing w:line="360" w:lineRule="auto"/>
              <w:ind w:firstLine="480" w:firstLineChars="200"/>
              <w:rPr>
                <w:sz w:val="24"/>
              </w:rPr>
            </w:pPr>
            <w:r>
              <w:rPr>
                <w:sz w:val="24"/>
              </w:rPr>
              <w:t>N——室外声源个数；</w:t>
            </w:r>
          </w:p>
          <w:p>
            <w:pPr>
              <w:spacing w:line="360" w:lineRule="auto"/>
              <w:ind w:firstLine="480" w:firstLineChars="200"/>
              <w:rPr>
                <w:sz w:val="24"/>
              </w:rPr>
            </w:pPr>
            <w:r>
              <w:rPr>
                <w:sz w:val="24"/>
              </w:rPr>
              <w:t>t</w:t>
            </w:r>
            <w:r>
              <w:rPr>
                <w:sz w:val="24"/>
                <w:vertAlign w:val="subscript"/>
              </w:rPr>
              <w:t>i</w:t>
            </w:r>
            <w:r>
              <w:rPr>
                <w:sz w:val="24"/>
              </w:rPr>
              <w:t>——在T时间内i声源工作时间，s；</w:t>
            </w:r>
          </w:p>
          <w:p>
            <w:pPr>
              <w:spacing w:line="360" w:lineRule="auto"/>
              <w:ind w:firstLine="480" w:firstLineChars="200"/>
              <w:rPr>
                <w:sz w:val="24"/>
              </w:rPr>
            </w:pPr>
            <w:r>
              <w:rPr>
                <w:sz w:val="24"/>
              </w:rPr>
              <w:t>M——等效室外声源个数；</w:t>
            </w:r>
          </w:p>
          <w:p>
            <w:pPr>
              <w:spacing w:line="360" w:lineRule="auto"/>
              <w:ind w:firstLine="480" w:firstLineChars="200"/>
              <w:rPr>
                <w:sz w:val="24"/>
              </w:rPr>
            </w:pPr>
            <w:r>
              <w:rPr>
                <w:sz w:val="24"/>
              </w:rPr>
              <w:t>t</w:t>
            </w:r>
            <w:r>
              <w:rPr>
                <w:sz w:val="24"/>
                <w:vertAlign w:val="subscript"/>
              </w:rPr>
              <w:t>j</w:t>
            </w:r>
            <w:r>
              <w:rPr>
                <w:sz w:val="24"/>
              </w:rPr>
              <w:t>——在T时间内j声源工作时间，s。</w:t>
            </w:r>
          </w:p>
          <w:p>
            <w:pPr>
              <w:spacing w:line="360" w:lineRule="auto"/>
              <w:ind w:firstLine="482" w:firstLineChars="200"/>
              <w:rPr>
                <w:b/>
                <w:bCs/>
                <w:sz w:val="24"/>
              </w:rPr>
            </w:pPr>
            <w:r>
              <w:rPr>
                <w:b/>
                <w:bCs/>
                <w:sz w:val="24"/>
              </w:rPr>
              <w:t>2）参数确定</w:t>
            </w:r>
          </w:p>
          <w:p>
            <w:pPr>
              <w:spacing w:line="360" w:lineRule="auto"/>
              <w:ind w:firstLine="480" w:firstLineChars="200"/>
              <w:rPr>
                <w:sz w:val="24"/>
              </w:rPr>
            </w:pPr>
            <w:r>
              <w:rPr>
                <w:rFonts w:hint="eastAsia" w:ascii="宋体" w:hAnsi="宋体" w:cs="宋体"/>
                <w:sz w:val="24"/>
              </w:rPr>
              <w:t>①</w:t>
            </w:r>
            <w:r>
              <w:rPr>
                <w:sz w:val="24"/>
              </w:rPr>
              <w:t>声波几何发散引起的A声级衰减量：</w:t>
            </w:r>
          </w:p>
          <w:p>
            <w:pPr>
              <w:spacing w:line="360" w:lineRule="auto"/>
              <w:ind w:firstLine="480" w:firstLineChars="200"/>
              <w:jc w:val="center"/>
              <w:rPr>
                <w:sz w:val="24"/>
              </w:rPr>
            </w:pPr>
            <w:r>
              <w:rPr>
                <w:sz w:val="24"/>
              </w:rPr>
              <w:t>点声源A</w:t>
            </w:r>
            <w:r>
              <w:rPr>
                <w:sz w:val="24"/>
                <w:vertAlign w:val="subscript"/>
              </w:rPr>
              <w:t>div</w:t>
            </w:r>
            <w:r>
              <w:rPr>
                <w:sz w:val="24"/>
              </w:rPr>
              <w:t>= 201g(r/r</w:t>
            </w:r>
            <w:r>
              <w:rPr>
                <w:sz w:val="24"/>
                <w:vertAlign w:val="subscript"/>
              </w:rPr>
              <w:t>0</w:t>
            </w:r>
            <w:r>
              <w:rPr>
                <w:sz w:val="24"/>
              </w:rPr>
              <w:t>)</w:t>
            </w:r>
          </w:p>
          <w:p>
            <w:pPr>
              <w:spacing w:line="360" w:lineRule="auto"/>
              <w:ind w:firstLine="480" w:firstLineChars="200"/>
              <w:rPr>
                <w:sz w:val="24"/>
                <w:vertAlign w:val="subscript"/>
              </w:rPr>
            </w:pPr>
            <w:r>
              <w:rPr>
                <w:rFonts w:hint="eastAsia" w:ascii="宋体" w:hAnsi="宋体" w:cs="宋体"/>
                <w:sz w:val="24"/>
              </w:rPr>
              <w:t>②</w:t>
            </w:r>
            <w:r>
              <w:rPr>
                <w:sz w:val="24"/>
              </w:rPr>
              <w:t>空气吸收衰减量A</w:t>
            </w:r>
            <w:r>
              <w:rPr>
                <w:sz w:val="24"/>
                <w:vertAlign w:val="subscript"/>
              </w:rPr>
              <w:t>atm</w:t>
            </w:r>
            <w:r>
              <w:rPr>
                <w:sz w:val="24"/>
              </w:rPr>
              <w:t>：</w:t>
            </w:r>
          </w:p>
          <w:p>
            <w:pPr>
              <w:spacing w:line="360" w:lineRule="auto"/>
              <w:ind w:firstLine="480" w:firstLineChars="200"/>
              <w:rPr>
                <w:sz w:val="24"/>
              </w:rPr>
            </w:pPr>
            <w:r>
              <w:rPr>
                <w:sz w:val="24"/>
              </w:rPr>
              <w:t>拟建项目噪声以中低频为主，空气吸收性衰减很少，预测时可忽略不计。</w:t>
            </w:r>
          </w:p>
          <w:p>
            <w:pPr>
              <w:spacing w:line="360" w:lineRule="auto"/>
              <w:ind w:firstLine="480" w:firstLineChars="200"/>
              <w:rPr>
                <w:sz w:val="24"/>
              </w:rPr>
            </w:pPr>
            <w:r>
              <w:rPr>
                <w:rFonts w:hint="eastAsia" w:ascii="宋体" w:hAnsi="宋体" w:cs="宋体"/>
                <w:sz w:val="24"/>
              </w:rPr>
              <w:t>③</w:t>
            </w:r>
            <w:r>
              <w:rPr>
                <w:sz w:val="24"/>
              </w:rPr>
              <w:t>遮挡物引起的衰减量A</w:t>
            </w:r>
            <w:r>
              <w:rPr>
                <w:sz w:val="24"/>
                <w:vertAlign w:val="subscript"/>
              </w:rPr>
              <w:t>bar</w:t>
            </w:r>
            <w:r>
              <w:rPr>
                <w:sz w:val="24"/>
              </w:rPr>
              <w:t>：</w:t>
            </w:r>
          </w:p>
          <w:p>
            <w:pPr>
              <w:spacing w:line="360" w:lineRule="auto"/>
              <w:ind w:firstLine="480" w:firstLineChars="200"/>
              <w:rPr>
                <w:sz w:val="24"/>
              </w:rPr>
            </w:pPr>
            <w:r>
              <w:rPr>
                <w:sz w:val="24"/>
              </w:rPr>
              <w:t>噪声在向外传播过程中将受到厂房或其它车间的阻挡影响，从而引起声能量的衰减，具体衰减根据不同声级的传播途径而定，一般取0~30dB（A），本次环评取15。</w:t>
            </w:r>
          </w:p>
          <w:p>
            <w:pPr>
              <w:spacing w:line="360" w:lineRule="auto"/>
              <w:ind w:firstLine="480" w:firstLineChars="200"/>
              <w:rPr>
                <w:sz w:val="24"/>
              </w:rPr>
            </w:pPr>
            <w:r>
              <w:rPr>
                <w:rFonts w:hint="eastAsia" w:ascii="宋体" w:hAnsi="宋体" w:cs="宋体"/>
                <w:sz w:val="24"/>
              </w:rPr>
              <w:t>④</w:t>
            </w:r>
            <w:r>
              <w:rPr>
                <w:sz w:val="24"/>
              </w:rPr>
              <w:t>地面效应引起的声级衰减量A</w:t>
            </w:r>
            <w:r>
              <w:rPr>
                <w:sz w:val="24"/>
                <w:vertAlign w:val="subscript"/>
              </w:rPr>
              <w:t>gr</w:t>
            </w:r>
            <w:r>
              <w:rPr>
                <w:sz w:val="24"/>
              </w:rPr>
              <w:t>：</w:t>
            </w:r>
          </w:p>
          <w:p>
            <w:pPr>
              <w:spacing w:line="360" w:lineRule="auto"/>
              <w:ind w:firstLine="480" w:firstLineChars="200"/>
              <w:rPr>
                <w:sz w:val="24"/>
              </w:rPr>
            </w:pPr>
            <w:r>
              <w:rPr>
                <w:sz w:val="24"/>
              </w:rPr>
              <w:t>根据项目总平面布置和噪声源强及外环境状况，可以忽略本项附加衰减量。</w:t>
            </w:r>
          </w:p>
          <w:p>
            <w:pPr>
              <w:spacing w:line="360" w:lineRule="auto"/>
              <w:ind w:firstLine="480" w:firstLineChars="200"/>
              <w:rPr>
                <w:sz w:val="24"/>
              </w:rPr>
            </w:pPr>
            <w:r>
              <w:rPr>
                <w:rFonts w:hint="eastAsia" w:ascii="宋体" w:hAnsi="宋体" w:cs="宋体"/>
                <w:sz w:val="24"/>
              </w:rPr>
              <w:t>⑤</w:t>
            </w:r>
            <w:r>
              <w:rPr>
                <w:sz w:val="24"/>
              </w:rPr>
              <w:t>其他多方面效应引起的声级衰减量A</w:t>
            </w:r>
            <w:r>
              <w:rPr>
                <w:sz w:val="24"/>
                <w:vertAlign w:val="subscript"/>
              </w:rPr>
              <w:t>misc</w:t>
            </w:r>
            <w:r>
              <w:rPr>
                <w:sz w:val="24"/>
              </w:rPr>
              <w:t>：</w:t>
            </w:r>
          </w:p>
          <w:p>
            <w:pPr>
              <w:spacing w:line="360" w:lineRule="auto"/>
              <w:ind w:firstLine="480" w:firstLineChars="200"/>
              <w:rPr>
                <w:sz w:val="24"/>
              </w:rPr>
            </w:pPr>
            <w:r>
              <w:rPr>
                <w:sz w:val="24"/>
              </w:rPr>
              <w:t>其他衰减包括通过工业场所的衰减，通过房屋群的衰减等。一般情况下，不考虑自然条件（如风、温度梯度、雾）变化引起的附加修正。</w:t>
            </w:r>
          </w:p>
          <w:p>
            <w:pPr>
              <w:pStyle w:val="40"/>
              <w:spacing w:line="360" w:lineRule="auto"/>
              <w:ind w:firstLine="482" w:firstLineChars="200"/>
              <w:rPr>
                <w:rFonts w:ascii="Times New Roman" w:hAnsi="Times New Roman"/>
                <w:b/>
                <w:bCs/>
                <w:sz w:val="24"/>
                <w:szCs w:val="24"/>
              </w:rPr>
            </w:pPr>
            <w:r>
              <w:rPr>
                <w:rFonts w:hint="eastAsia" w:ascii="Times New Roman" w:hAnsi="Times New Roman"/>
                <w:b/>
                <w:bCs/>
                <w:sz w:val="24"/>
                <w:szCs w:val="24"/>
              </w:rPr>
              <w:t>3）预测结果</w:t>
            </w:r>
          </w:p>
          <w:p>
            <w:pPr>
              <w:spacing w:line="360" w:lineRule="auto"/>
              <w:ind w:firstLine="480" w:firstLineChars="200"/>
              <w:rPr>
                <w:sz w:val="24"/>
              </w:rPr>
            </w:pPr>
            <w:r>
              <w:rPr>
                <w:rFonts w:hint="eastAsia"/>
                <w:sz w:val="24"/>
              </w:rPr>
              <w:t>根据不同设备的噪声级、确定的预测模式以及拟采取的降噪措施计算出不同距离处的噪声值。项目厂界噪声贡预测结果如下表所示：</w:t>
            </w:r>
          </w:p>
          <w:p>
            <w:pPr>
              <w:jc w:val="center"/>
              <w:rPr>
                <w:rFonts w:hint="eastAsia"/>
                <w:b/>
                <w:bCs/>
                <w:szCs w:val="21"/>
              </w:rPr>
            </w:pPr>
            <w:r>
              <w:rPr>
                <w:rFonts w:hint="eastAsia"/>
                <w:b/>
                <w:bCs/>
                <w:szCs w:val="21"/>
              </w:rPr>
              <w:t>表4-10</w:t>
            </w:r>
            <w:r>
              <w:rPr>
                <w:b/>
                <w:bCs/>
                <w:szCs w:val="21"/>
              </w:rPr>
              <w:t xml:space="preserve"> </w:t>
            </w:r>
            <w:r>
              <w:rPr>
                <w:rFonts w:hint="eastAsia"/>
                <w:b/>
                <w:bCs/>
                <w:szCs w:val="21"/>
              </w:rPr>
              <w:t>运营期噪声预测结果</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883"/>
              <w:gridCol w:w="728"/>
              <w:gridCol w:w="730"/>
              <w:gridCol w:w="725"/>
              <w:gridCol w:w="727"/>
              <w:gridCol w:w="728"/>
              <w:gridCol w:w="730"/>
              <w:gridCol w:w="725"/>
              <w:gridCol w:w="727"/>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1122" w:type="pct"/>
                  <w:vMerge w:val="restart"/>
                  <w:noWrap w:val="0"/>
                  <w:vAlign w:val="center"/>
                </w:tcPr>
                <w:p>
                  <w:pPr>
                    <w:spacing w:line="240" w:lineRule="exact"/>
                    <w:jc w:val="center"/>
                    <w:rPr>
                      <w:b/>
                      <w:bCs/>
                      <w:szCs w:val="21"/>
                    </w:rPr>
                  </w:pPr>
                  <w:r>
                    <w:rPr>
                      <w:b/>
                      <w:bCs/>
                      <w:szCs w:val="21"/>
                    </w:rPr>
                    <w:t>预测点位置</w:t>
                  </w:r>
                </w:p>
              </w:tc>
              <w:tc>
                <w:tcPr>
                  <w:tcW w:w="869" w:type="pct"/>
                  <w:gridSpan w:val="2"/>
                  <w:noWrap w:val="0"/>
                  <w:vAlign w:val="center"/>
                </w:tcPr>
                <w:p>
                  <w:pPr>
                    <w:spacing w:line="240" w:lineRule="exact"/>
                    <w:jc w:val="center"/>
                    <w:rPr>
                      <w:rFonts w:eastAsia="仿宋"/>
                      <w:b/>
                      <w:bCs/>
                      <w:szCs w:val="21"/>
                    </w:rPr>
                  </w:pPr>
                  <w:r>
                    <w:rPr>
                      <w:b/>
                      <w:bCs/>
                      <w:szCs w:val="21"/>
                    </w:rPr>
                    <w:t>贡献值</w:t>
                  </w:r>
                </w:p>
              </w:tc>
              <w:tc>
                <w:tcPr>
                  <w:tcW w:w="865" w:type="pct"/>
                  <w:gridSpan w:val="2"/>
                  <w:noWrap w:val="0"/>
                  <w:vAlign w:val="center"/>
                </w:tcPr>
                <w:p>
                  <w:pPr>
                    <w:spacing w:line="240" w:lineRule="exact"/>
                    <w:jc w:val="center"/>
                    <w:rPr>
                      <w:b/>
                      <w:bCs/>
                      <w:szCs w:val="21"/>
                    </w:rPr>
                  </w:pPr>
                  <w:r>
                    <w:rPr>
                      <w:b/>
                      <w:bCs/>
                      <w:szCs w:val="21"/>
                    </w:rPr>
                    <w:t>背景值</w:t>
                  </w:r>
                </w:p>
              </w:tc>
              <w:tc>
                <w:tcPr>
                  <w:tcW w:w="869" w:type="pct"/>
                  <w:gridSpan w:val="2"/>
                  <w:noWrap w:val="0"/>
                  <w:vAlign w:val="center"/>
                </w:tcPr>
                <w:p>
                  <w:pPr>
                    <w:spacing w:line="240" w:lineRule="exact"/>
                    <w:jc w:val="center"/>
                    <w:rPr>
                      <w:b/>
                      <w:bCs/>
                      <w:szCs w:val="21"/>
                    </w:rPr>
                  </w:pPr>
                  <w:r>
                    <w:rPr>
                      <w:b/>
                      <w:bCs/>
                      <w:szCs w:val="21"/>
                    </w:rPr>
                    <w:t>叠加值</w:t>
                  </w:r>
                </w:p>
              </w:tc>
              <w:tc>
                <w:tcPr>
                  <w:tcW w:w="865" w:type="pct"/>
                  <w:gridSpan w:val="2"/>
                  <w:noWrap w:val="0"/>
                  <w:vAlign w:val="center"/>
                </w:tcPr>
                <w:p>
                  <w:pPr>
                    <w:spacing w:line="240" w:lineRule="exact"/>
                    <w:jc w:val="center"/>
                    <w:rPr>
                      <w:b/>
                      <w:bCs/>
                      <w:szCs w:val="21"/>
                    </w:rPr>
                  </w:pPr>
                  <w:r>
                    <w:rPr>
                      <w:b/>
                      <w:bCs/>
                      <w:szCs w:val="21"/>
                    </w:rPr>
                    <w:t>标准值</w:t>
                  </w:r>
                </w:p>
              </w:tc>
              <w:tc>
                <w:tcPr>
                  <w:tcW w:w="410" w:type="pct"/>
                  <w:vMerge w:val="restart"/>
                  <w:noWrap w:val="0"/>
                  <w:vAlign w:val="center"/>
                </w:tcPr>
                <w:p>
                  <w:pPr>
                    <w:spacing w:line="240" w:lineRule="exact"/>
                    <w:jc w:val="center"/>
                    <w:rPr>
                      <w:b/>
                      <w:bCs/>
                      <w:szCs w:val="21"/>
                    </w:rPr>
                  </w:pPr>
                  <w:r>
                    <w:rPr>
                      <w:b/>
                      <w:bCs/>
                      <w:szCs w:val="21"/>
                    </w:rPr>
                    <w:t>预测结果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22" w:type="pct"/>
                  <w:vMerge w:val="continue"/>
                  <w:noWrap w:val="0"/>
                  <w:vAlign w:val="center"/>
                </w:tcPr>
                <w:p>
                  <w:pPr>
                    <w:spacing w:line="240" w:lineRule="exact"/>
                    <w:jc w:val="center"/>
                    <w:rPr>
                      <w:szCs w:val="21"/>
                    </w:rPr>
                  </w:pPr>
                </w:p>
              </w:tc>
              <w:tc>
                <w:tcPr>
                  <w:tcW w:w="434" w:type="pct"/>
                  <w:noWrap w:val="0"/>
                  <w:vAlign w:val="center"/>
                </w:tcPr>
                <w:p>
                  <w:pPr>
                    <w:pStyle w:val="897"/>
                    <w:snapToGrid w:val="0"/>
                    <w:spacing w:before="0" w:after="0" w:line="240" w:lineRule="exact"/>
                    <w:rPr>
                      <w:rFonts w:cs="Times New Roman"/>
                      <w:b/>
                      <w:bCs/>
                      <w:sz w:val="21"/>
                      <w:szCs w:val="21"/>
                    </w:rPr>
                  </w:pPr>
                  <w:r>
                    <w:rPr>
                      <w:rFonts w:cs="Times New Roman"/>
                      <w:b/>
                      <w:bCs/>
                      <w:sz w:val="21"/>
                      <w:szCs w:val="21"/>
                    </w:rPr>
                    <w:t>昼间</w:t>
                  </w:r>
                </w:p>
              </w:tc>
              <w:tc>
                <w:tcPr>
                  <w:tcW w:w="435" w:type="pct"/>
                  <w:noWrap w:val="0"/>
                  <w:vAlign w:val="center"/>
                </w:tcPr>
                <w:p>
                  <w:pPr>
                    <w:pStyle w:val="897"/>
                    <w:snapToGrid w:val="0"/>
                    <w:spacing w:before="0" w:after="0" w:line="240" w:lineRule="exact"/>
                    <w:rPr>
                      <w:rFonts w:cs="Times New Roman"/>
                      <w:b/>
                      <w:bCs/>
                      <w:sz w:val="21"/>
                      <w:szCs w:val="21"/>
                    </w:rPr>
                  </w:pPr>
                  <w:r>
                    <w:rPr>
                      <w:rFonts w:cs="Times New Roman"/>
                      <w:b/>
                      <w:bCs/>
                      <w:sz w:val="21"/>
                      <w:szCs w:val="21"/>
                    </w:rPr>
                    <w:t>夜间</w:t>
                  </w:r>
                </w:p>
              </w:tc>
              <w:tc>
                <w:tcPr>
                  <w:tcW w:w="432" w:type="pct"/>
                  <w:noWrap w:val="0"/>
                  <w:vAlign w:val="center"/>
                </w:tcPr>
                <w:p>
                  <w:pPr>
                    <w:pStyle w:val="897"/>
                    <w:snapToGrid w:val="0"/>
                    <w:spacing w:before="0" w:after="0" w:line="240" w:lineRule="exact"/>
                    <w:rPr>
                      <w:rFonts w:cs="Times New Roman"/>
                      <w:sz w:val="21"/>
                      <w:szCs w:val="21"/>
                    </w:rPr>
                  </w:pPr>
                  <w:r>
                    <w:rPr>
                      <w:rFonts w:cs="Times New Roman"/>
                      <w:b/>
                      <w:bCs/>
                      <w:sz w:val="21"/>
                      <w:szCs w:val="21"/>
                    </w:rPr>
                    <w:t>昼间</w:t>
                  </w:r>
                </w:p>
              </w:tc>
              <w:tc>
                <w:tcPr>
                  <w:tcW w:w="433" w:type="pct"/>
                  <w:noWrap w:val="0"/>
                  <w:vAlign w:val="center"/>
                </w:tcPr>
                <w:p>
                  <w:pPr>
                    <w:pStyle w:val="897"/>
                    <w:snapToGrid w:val="0"/>
                    <w:spacing w:before="0" w:after="0" w:line="240" w:lineRule="exact"/>
                    <w:rPr>
                      <w:rFonts w:cs="Times New Roman"/>
                      <w:sz w:val="21"/>
                      <w:szCs w:val="21"/>
                    </w:rPr>
                  </w:pPr>
                  <w:r>
                    <w:rPr>
                      <w:rFonts w:cs="Times New Roman"/>
                      <w:b/>
                      <w:bCs/>
                      <w:sz w:val="21"/>
                      <w:szCs w:val="21"/>
                    </w:rPr>
                    <w:t>夜间</w:t>
                  </w:r>
                </w:p>
              </w:tc>
              <w:tc>
                <w:tcPr>
                  <w:tcW w:w="434" w:type="pct"/>
                  <w:noWrap w:val="0"/>
                  <w:vAlign w:val="center"/>
                </w:tcPr>
                <w:p>
                  <w:pPr>
                    <w:pStyle w:val="897"/>
                    <w:snapToGrid w:val="0"/>
                    <w:spacing w:before="0" w:after="0" w:line="240" w:lineRule="exact"/>
                    <w:rPr>
                      <w:rFonts w:cs="Times New Roman"/>
                      <w:sz w:val="21"/>
                      <w:szCs w:val="21"/>
                    </w:rPr>
                  </w:pPr>
                  <w:r>
                    <w:rPr>
                      <w:rFonts w:cs="Times New Roman"/>
                      <w:b/>
                      <w:bCs/>
                      <w:sz w:val="21"/>
                      <w:szCs w:val="21"/>
                    </w:rPr>
                    <w:t>昼间</w:t>
                  </w:r>
                </w:p>
              </w:tc>
              <w:tc>
                <w:tcPr>
                  <w:tcW w:w="435" w:type="pct"/>
                  <w:noWrap w:val="0"/>
                  <w:vAlign w:val="center"/>
                </w:tcPr>
                <w:p>
                  <w:pPr>
                    <w:pStyle w:val="897"/>
                    <w:snapToGrid w:val="0"/>
                    <w:spacing w:before="0" w:after="0" w:line="240" w:lineRule="exact"/>
                    <w:rPr>
                      <w:rFonts w:cs="Times New Roman"/>
                      <w:sz w:val="21"/>
                      <w:szCs w:val="21"/>
                    </w:rPr>
                  </w:pPr>
                  <w:r>
                    <w:rPr>
                      <w:rFonts w:cs="Times New Roman"/>
                      <w:b/>
                      <w:bCs/>
                      <w:sz w:val="21"/>
                      <w:szCs w:val="21"/>
                    </w:rPr>
                    <w:t>夜间</w:t>
                  </w:r>
                </w:p>
              </w:tc>
              <w:tc>
                <w:tcPr>
                  <w:tcW w:w="432" w:type="pct"/>
                  <w:noWrap w:val="0"/>
                  <w:vAlign w:val="center"/>
                </w:tcPr>
                <w:p>
                  <w:pPr>
                    <w:pStyle w:val="897"/>
                    <w:snapToGrid w:val="0"/>
                    <w:spacing w:before="0" w:after="0" w:line="240" w:lineRule="exact"/>
                    <w:rPr>
                      <w:rFonts w:cs="Times New Roman"/>
                      <w:b/>
                      <w:bCs/>
                      <w:sz w:val="21"/>
                      <w:szCs w:val="21"/>
                    </w:rPr>
                  </w:pPr>
                  <w:r>
                    <w:rPr>
                      <w:rFonts w:cs="Times New Roman"/>
                      <w:b/>
                      <w:bCs/>
                      <w:sz w:val="21"/>
                      <w:szCs w:val="21"/>
                    </w:rPr>
                    <w:t>昼间</w:t>
                  </w:r>
                </w:p>
              </w:tc>
              <w:tc>
                <w:tcPr>
                  <w:tcW w:w="433" w:type="pct"/>
                  <w:noWrap w:val="0"/>
                  <w:vAlign w:val="center"/>
                </w:tcPr>
                <w:p>
                  <w:pPr>
                    <w:pStyle w:val="897"/>
                    <w:snapToGrid w:val="0"/>
                    <w:spacing w:before="0" w:after="0" w:line="240" w:lineRule="exact"/>
                    <w:rPr>
                      <w:rFonts w:cs="Times New Roman"/>
                      <w:b/>
                      <w:bCs/>
                      <w:sz w:val="21"/>
                      <w:szCs w:val="21"/>
                    </w:rPr>
                  </w:pPr>
                  <w:r>
                    <w:rPr>
                      <w:rFonts w:cs="Times New Roman"/>
                      <w:b/>
                      <w:bCs/>
                      <w:sz w:val="21"/>
                      <w:szCs w:val="21"/>
                    </w:rPr>
                    <w:t>夜间</w:t>
                  </w:r>
                </w:p>
              </w:tc>
              <w:tc>
                <w:tcPr>
                  <w:tcW w:w="410" w:type="pct"/>
                  <w:vMerge w:val="continue"/>
                  <w:noWrap w:val="0"/>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22" w:type="pct"/>
                  <w:noWrap w:val="0"/>
                  <w:vAlign w:val="center"/>
                </w:tcPr>
                <w:p>
                  <w:pPr>
                    <w:spacing w:line="240" w:lineRule="exact"/>
                    <w:jc w:val="center"/>
                    <w:rPr>
                      <w:szCs w:val="21"/>
                    </w:rPr>
                  </w:pPr>
                  <w:r>
                    <w:rPr>
                      <w:szCs w:val="21"/>
                    </w:rPr>
                    <w:t>项目东面厂界外1m</w:t>
                  </w:r>
                </w:p>
              </w:tc>
              <w:tc>
                <w:tcPr>
                  <w:tcW w:w="434"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49.8</w:t>
                  </w:r>
                </w:p>
              </w:tc>
              <w:tc>
                <w:tcPr>
                  <w:tcW w:w="435"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49.8</w:t>
                  </w:r>
                </w:p>
              </w:tc>
              <w:tc>
                <w:tcPr>
                  <w:tcW w:w="432" w:type="pct"/>
                  <w:noWrap w:val="0"/>
                  <w:vAlign w:val="center"/>
                </w:tcPr>
                <w:p>
                  <w:pPr>
                    <w:spacing w:line="240" w:lineRule="exact"/>
                    <w:jc w:val="center"/>
                    <w:rPr>
                      <w:szCs w:val="21"/>
                    </w:rPr>
                  </w:pPr>
                  <w:r>
                    <w:rPr>
                      <w:szCs w:val="21"/>
                    </w:rPr>
                    <w:t>/</w:t>
                  </w:r>
                </w:p>
              </w:tc>
              <w:tc>
                <w:tcPr>
                  <w:tcW w:w="433" w:type="pct"/>
                  <w:noWrap w:val="0"/>
                  <w:vAlign w:val="center"/>
                </w:tcPr>
                <w:p>
                  <w:pPr>
                    <w:spacing w:line="240" w:lineRule="exact"/>
                    <w:jc w:val="center"/>
                    <w:rPr>
                      <w:szCs w:val="21"/>
                    </w:rPr>
                  </w:pPr>
                  <w:r>
                    <w:rPr>
                      <w:szCs w:val="21"/>
                    </w:rPr>
                    <w:t>/</w:t>
                  </w:r>
                </w:p>
              </w:tc>
              <w:tc>
                <w:tcPr>
                  <w:tcW w:w="434" w:type="pct"/>
                  <w:noWrap w:val="0"/>
                  <w:vAlign w:val="center"/>
                </w:tcPr>
                <w:p>
                  <w:pPr>
                    <w:spacing w:line="240" w:lineRule="exact"/>
                    <w:jc w:val="center"/>
                    <w:rPr>
                      <w:szCs w:val="21"/>
                    </w:rPr>
                  </w:pPr>
                  <w:r>
                    <w:rPr>
                      <w:szCs w:val="21"/>
                    </w:rPr>
                    <w:t>/</w:t>
                  </w:r>
                </w:p>
              </w:tc>
              <w:tc>
                <w:tcPr>
                  <w:tcW w:w="435" w:type="pct"/>
                  <w:noWrap w:val="0"/>
                  <w:vAlign w:val="center"/>
                </w:tcPr>
                <w:p>
                  <w:pPr>
                    <w:spacing w:line="240" w:lineRule="exact"/>
                    <w:jc w:val="center"/>
                    <w:rPr>
                      <w:szCs w:val="21"/>
                    </w:rPr>
                  </w:pPr>
                  <w:r>
                    <w:rPr>
                      <w:szCs w:val="21"/>
                    </w:rPr>
                    <w:t>/</w:t>
                  </w:r>
                </w:p>
              </w:tc>
              <w:tc>
                <w:tcPr>
                  <w:tcW w:w="432" w:type="pct"/>
                  <w:noWrap w:val="0"/>
                  <w:vAlign w:val="center"/>
                </w:tcPr>
                <w:p>
                  <w:pPr>
                    <w:spacing w:line="240" w:lineRule="exact"/>
                    <w:jc w:val="center"/>
                    <w:rPr>
                      <w:rFonts w:hint="eastAsia"/>
                      <w:szCs w:val="21"/>
                    </w:rPr>
                  </w:pPr>
                  <w:r>
                    <w:rPr>
                      <w:szCs w:val="21"/>
                    </w:rPr>
                    <w:t>6</w:t>
                  </w:r>
                  <w:r>
                    <w:rPr>
                      <w:rFonts w:hint="eastAsia"/>
                      <w:szCs w:val="21"/>
                    </w:rPr>
                    <w:t>0</w:t>
                  </w:r>
                </w:p>
              </w:tc>
              <w:tc>
                <w:tcPr>
                  <w:tcW w:w="433" w:type="pct"/>
                  <w:noWrap w:val="0"/>
                  <w:vAlign w:val="center"/>
                </w:tcPr>
                <w:p>
                  <w:pPr>
                    <w:spacing w:line="240" w:lineRule="exact"/>
                    <w:jc w:val="center"/>
                    <w:rPr>
                      <w:rFonts w:hint="eastAsia"/>
                      <w:szCs w:val="21"/>
                    </w:rPr>
                  </w:pPr>
                  <w:r>
                    <w:rPr>
                      <w:szCs w:val="21"/>
                    </w:rPr>
                    <w:t>5</w:t>
                  </w:r>
                  <w:r>
                    <w:rPr>
                      <w:rFonts w:hint="eastAsia"/>
                      <w:szCs w:val="21"/>
                    </w:rPr>
                    <w:t>0</w:t>
                  </w:r>
                </w:p>
              </w:tc>
              <w:tc>
                <w:tcPr>
                  <w:tcW w:w="410" w:type="pct"/>
                  <w:noWrap w:val="0"/>
                  <w:vAlign w:val="center"/>
                </w:tcPr>
                <w:p>
                  <w:pPr>
                    <w:spacing w:line="240" w:lineRule="exact"/>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22" w:type="pct"/>
                  <w:noWrap w:val="0"/>
                  <w:vAlign w:val="center"/>
                </w:tcPr>
                <w:p>
                  <w:pPr>
                    <w:spacing w:line="240" w:lineRule="exact"/>
                    <w:jc w:val="center"/>
                    <w:rPr>
                      <w:szCs w:val="21"/>
                    </w:rPr>
                  </w:pPr>
                  <w:r>
                    <w:rPr>
                      <w:szCs w:val="21"/>
                    </w:rPr>
                    <w:t>项目南面厂界外1m</w:t>
                  </w:r>
                </w:p>
              </w:tc>
              <w:tc>
                <w:tcPr>
                  <w:tcW w:w="434"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48.5</w:t>
                  </w:r>
                </w:p>
              </w:tc>
              <w:tc>
                <w:tcPr>
                  <w:tcW w:w="435"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48.5</w:t>
                  </w:r>
                </w:p>
              </w:tc>
              <w:tc>
                <w:tcPr>
                  <w:tcW w:w="432" w:type="pct"/>
                  <w:noWrap w:val="0"/>
                  <w:vAlign w:val="center"/>
                </w:tcPr>
                <w:p>
                  <w:pPr>
                    <w:spacing w:line="240" w:lineRule="exact"/>
                    <w:jc w:val="center"/>
                    <w:rPr>
                      <w:szCs w:val="21"/>
                    </w:rPr>
                  </w:pPr>
                  <w:r>
                    <w:rPr>
                      <w:szCs w:val="21"/>
                    </w:rPr>
                    <w:t>/</w:t>
                  </w:r>
                </w:p>
              </w:tc>
              <w:tc>
                <w:tcPr>
                  <w:tcW w:w="433" w:type="pct"/>
                  <w:noWrap w:val="0"/>
                  <w:vAlign w:val="center"/>
                </w:tcPr>
                <w:p>
                  <w:pPr>
                    <w:spacing w:line="240" w:lineRule="exact"/>
                    <w:jc w:val="center"/>
                    <w:rPr>
                      <w:szCs w:val="21"/>
                    </w:rPr>
                  </w:pPr>
                  <w:r>
                    <w:rPr>
                      <w:szCs w:val="21"/>
                    </w:rPr>
                    <w:t>/</w:t>
                  </w:r>
                </w:p>
              </w:tc>
              <w:tc>
                <w:tcPr>
                  <w:tcW w:w="434" w:type="pct"/>
                  <w:noWrap w:val="0"/>
                  <w:vAlign w:val="center"/>
                </w:tcPr>
                <w:p>
                  <w:pPr>
                    <w:spacing w:line="240" w:lineRule="exact"/>
                    <w:jc w:val="center"/>
                    <w:rPr>
                      <w:szCs w:val="21"/>
                    </w:rPr>
                  </w:pPr>
                  <w:r>
                    <w:rPr>
                      <w:szCs w:val="21"/>
                    </w:rPr>
                    <w:t>/</w:t>
                  </w:r>
                </w:p>
              </w:tc>
              <w:tc>
                <w:tcPr>
                  <w:tcW w:w="435" w:type="pct"/>
                  <w:noWrap w:val="0"/>
                  <w:vAlign w:val="center"/>
                </w:tcPr>
                <w:p>
                  <w:pPr>
                    <w:spacing w:line="240" w:lineRule="exact"/>
                    <w:jc w:val="center"/>
                    <w:rPr>
                      <w:szCs w:val="21"/>
                    </w:rPr>
                  </w:pPr>
                  <w:r>
                    <w:rPr>
                      <w:szCs w:val="21"/>
                    </w:rPr>
                    <w:t>/</w:t>
                  </w:r>
                </w:p>
              </w:tc>
              <w:tc>
                <w:tcPr>
                  <w:tcW w:w="432" w:type="pct"/>
                  <w:noWrap w:val="0"/>
                  <w:vAlign w:val="center"/>
                </w:tcPr>
                <w:p>
                  <w:pPr>
                    <w:spacing w:line="240" w:lineRule="exact"/>
                    <w:jc w:val="center"/>
                    <w:rPr>
                      <w:szCs w:val="21"/>
                    </w:rPr>
                  </w:pPr>
                  <w:r>
                    <w:rPr>
                      <w:szCs w:val="21"/>
                    </w:rPr>
                    <w:t>6</w:t>
                  </w:r>
                  <w:r>
                    <w:rPr>
                      <w:rFonts w:hint="eastAsia"/>
                      <w:szCs w:val="21"/>
                    </w:rPr>
                    <w:t>0</w:t>
                  </w:r>
                </w:p>
              </w:tc>
              <w:tc>
                <w:tcPr>
                  <w:tcW w:w="433" w:type="pct"/>
                  <w:noWrap w:val="0"/>
                  <w:vAlign w:val="center"/>
                </w:tcPr>
                <w:p>
                  <w:pPr>
                    <w:spacing w:line="240" w:lineRule="exact"/>
                    <w:jc w:val="center"/>
                    <w:rPr>
                      <w:szCs w:val="21"/>
                    </w:rPr>
                  </w:pPr>
                  <w:r>
                    <w:rPr>
                      <w:szCs w:val="21"/>
                    </w:rPr>
                    <w:t>5</w:t>
                  </w:r>
                  <w:r>
                    <w:rPr>
                      <w:rFonts w:hint="eastAsia"/>
                      <w:szCs w:val="21"/>
                    </w:rPr>
                    <w:t>0</w:t>
                  </w:r>
                </w:p>
              </w:tc>
              <w:tc>
                <w:tcPr>
                  <w:tcW w:w="410" w:type="pct"/>
                  <w:noWrap w:val="0"/>
                  <w:vAlign w:val="center"/>
                </w:tcPr>
                <w:p>
                  <w:pPr>
                    <w:spacing w:line="240" w:lineRule="exact"/>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22" w:type="pct"/>
                  <w:noWrap w:val="0"/>
                  <w:vAlign w:val="center"/>
                </w:tcPr>
                <w:p>
                  <w:pPr>
                    <w:spacing w:line="240" w:lineRule="exact"/>
                    <w:jc w:val="center"/>
                    <w:rPr>
                      <w:szCs w:val="21"/>
                    </w:rPr>
                  </w:pPr>
                  <w:r>
                    <w:rPr>
                      <w:szCs w:val="21"/>
                    </w:rPr>
                    <w:t>项目西面厂界外1m</w:t>
                  </w:r>
                </w:p>
              </w:tc>
              <w:tc>
                <w:tcPr>
                  <w:tcW w:w="434"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48.9</w:t>
                  </w:r>
                </w:p>
              </w:tc>
              <w:tc>
                <w:tcPr>
                  <w:tcW w:w="435"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48.9</w:t>
                  </w:r>
                </w:p>
              </w:tc>
              <w:tc>
                <w:tcPr>
                  <w:tcW w:w="432" w:type="pct"/>
                  <w:noWrap w:val="0"/>
                  <w:vAlign w:val="center"/>
                </w:tcPr>
                <w:p>
                  <w:pPr>
                    <w:spacing w:line="240" w:lineRule="exact"/>
                    <w:jc w:val="center"/>
                    <w:rPr>
                      <w:szCs w:val="21"/>
                    </w:rPr>
                  </w:pPr>
                  <w:r>
                    <w:rPr>
                      <w:szCs w:val="21"/>
                    </w:rPr>
                    <w:t>/</w:t>
                  </w:r>
                </w:p>
              </w:tc>
              <w:tc>
                <w:tcPr>
                  <w:tcW w:w="433" w:type="pct"/>
                  <w:noWrap w:val="0"/>
                  <w:vAlign w:val="center"/>
                </w:tcPr>
                <w:p>
                  <w:pPr>
                    <w:spacing w:line="240" w:lineRule="exact"/>
                    <w:jc w:val="center"/>
                    <w:rPr>
                      <w:szCs w:val="21"/>
                    </w:rPr>
                  </w:pPr>
                  <w:r>
                    <w:rPr>
                      <w:szCs w:val="21"/>
                    </w:rPr>
                    <w:t>/</w:t>
                  </w:r>
                </w:p>
              </w:tc>
              <w:tc>
                <w:tcPr>
                  <w:tcW w:w="434" w:type="pct"/>
                  <w:noWrap w:val="0"/>
                  <w:vAlign w:val="center"/>
                </w:tcPr>
                <w:p>
                  <w:pPr>
                    <w:spacing w:line="240" w:lineRule="exact"/>
                    <w:jc w:val="center"/>
                    <w:rPr>
                      <w:szCs w:val="21"/>
                    </w:rPr>
                  </w:pPr>
                  <w:r>
                    <w:rPr>
                      <w:szCs w:val="21"/>
                    </w:rPr>
                    <w:t>/</w:t>
                  </w:r>
                </w:p>
              </w:tc>
              <w:tc>
                <w:tcPr>
                  <w:tcW w:w="435" w:type="pct"/>
                  <w:noWrap w:val="0"/>
                  <w:vAlign w:val="center"/>
                </w:tcPr>
                <w:p>
                  <w:pPr>
                    <w:spacing w:line="240" w:lineRule="exact"/>
                    <w:jc w:val="center"/>
                    <w:rPr>
                      <w:szCs w:val="21"/>
                    </w:rPr>
                  </w:pPr>
                  <w:r>
                    <w:rPr>
                      <w:szCs w:val="21"/>
                    </w:rPr>
                    <w:t>/</w:t>
                  </w:r>
                </w:p>
              </w:tc>
              <w:tc>
                <w:tcPr>
                  <w:tcW w:w="432" w:type="pct"/>
                  <w:noWrap w:val="0"/>
                  <w:vAlign w:val="center"/>
                </w:tcPr>
                <w:p>
                  <w:pPr>
                    <w:spacing w:line="240" w:lineRule="exact"/>
                    <w:jc w:val="center"/>
                    <w:rPr>
                      <w:szCs w:val="21"/>
                    </w:rPr>
                  </w:pPr>
                  <w:r>
                    <w:rPr>
                      <w:szCs w:val="21"/>
                    </w:rPr>
                    <w:t>6</w:t>
                  </w:r>
                  <w:r>
                    <w:rPr>
                      <w:rFonts w:hint="eastAsia"/>
                      <w:szCs w:val="21"/>
                    </w:rPr>
                    <w:t>0</w:t>
                  </w:r>
                </w:p>
              </w:tc>
              <w:tc>
                <w:tcPr>
                  <w:tcW w:w="433" w:type="pct"/>
                  <w:noWrap w:val="0"/>
                  <w:vAlign w:val="center"/>
                </w:tcPr>
                <w:p>
                  <w:pPr>
                    <w:spacing w:line="240" w:lineRule="exact"/>
                    <w:jc w:val="center"/>
                    <w:rPr>
                      <w:szCs w:val="21"/>
                    </w:rPr>
                  </w:pPr>
                  <w:r>
                    <w:rPr>
                      <w:szCs w:val="21"/>
                    </w:rPr>
                    <w:t>5</w:t>
                  </w:r>
                  <w:r>
                    <w:rPr>
                      <w:rFonts w:hint="eastAsia"/>
                      <w:szCs w:val="21"/>
                    </w:rPr>
                    <w:t>0</w:t>
                  </w:r>
                </w:p>
              </w:tc>
              <w:tc>
                <w:tcPr>
                  <w:tcW w:w="410" w:type="pct"/>
                  <w:noWrap w:val="0"/>
                  <w:vAlign w:val="center"/>
                </w:tcPr>
                <w:p>
                  <w:pPr>
                    <w:spacing w:line="240" w:lineRule="exact"/>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122" w:type="pct"/>
                  <w:noWrap w:val="0"/>
                  <w:vAlign w:val="center"/>
                </w:tcPr>
                <w:p>
                  <w:pPr>
                    <w:spacing w:line="240" w:lineRule="exact"/>
                    <w:jc w:val="center"/>
                    <w:rPr>
                      <w:szCs w:val="21"/>
                    </w:rPr>
                  </w:pPr>
                  <w:r>
                    <w:rPr>
                      <w:szCs w:val="21"/>
                    </w:rPr>
                    <w:t>项目北面厂界外1m</w:t>
                  </w:r>
                </w:p>
              </w:tc>
              <w:tc>
                <w:tcPr>
                  <w:tcW w:w="434"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49.2</w:t>
                  </w:r>
                </w:p>
              </w:tc>
              <w:tc>
                <w:tcPr>
                  <w:tcW w:w="435" w:type="pct"/>
                  <w:noWrap w:val="0"/>
                  <w:vAlign w:val="center"/>
                </w:tcPr>
                <w:p>
                  <w:pPr>
                    <w:pStyle w:val="897"/>
                    <w:snapToGrid w:val="0"/>
                    <w:spacing w:before="0" w:after="0" w:line="240" w:lineRule="exact"/>
                    <w:rPr>
                      <w:rFonts w:cs="Times New Roman"/>
                      <w:sz w:val="21"/>
                      <w:szCs w:val="21"/>
                    </w:rPr>
                  </w:pPr>
                  <w:r>
                    <w:rPr>
                      <w:rFonts w:hint="eastAsia" w:cs="Times New Roman"/>
                      <w:sz w:val="21"/>
                      <w:szCs w:val="21"/>
                    </w:rPr>
                    <w:t>49.2</w:t>
                  </w:r>
                </w:p>
              </w:tc>
              <w:tc>
                <w:tcPr>
                  <w:tcW w:w="432" w:type="pct"/>
                  <w:noWrap w:val="0"/>
                  <w:vAlign w:val="center"/>
                </w:tcPr>
                <w:p>
                  <w:pPr>
                    <w:spacing w:line="240" w:lineRule="exact"/>
                    <w:jc w:val="center"/>
                    <w:rPr>
                      <w:szCs w:val="21"/>
                    </w:rPr>
                  </w:pPr>
                  <w:r>
                    <w:rPr>
                      <w:szCs w:val="21"/>
                    </w:rPr>
                    <w:t>/</w:t>
                  </w:r>
                </w:p>
              </w:tc>
              <w:tc>
                <w:tcPr>
                  <w:tcW w:w="433" w:type="pct"/>
                  <w:noWrap w:val="0"/>
                  <w:vAlign w:val="center"/>
                </w:tcPr>
                <w:p>
                  <w:pPr>
                    <w:spacing w:line="240" w:lineRule="exact"/>
                    <w:jc w:val="center"/>
                    <w:rPr>
                      <w:szCs w:val="21"/>
                    </w:rPr>
                  </w:pPr>
                  <w:r>
                    <w:rPr>
                      <w:szCs w:val="21"/>
                    </w:rPr>
                    <w:t>/</w:t>
                  </w:r>
                </w:p>
              </w:tc>
              <w:tc>
                <w:tcPr>
                  <w:tcW w:w="434" w:type="pct"/>
                  <w:noWrap w:val="0"/>
                  <w:vAlign w:val="center"/>
                </w:tcPr>
                <w:p>
                  <w:pPr>
                    <w:spacing w:line="240" w:lineRule="exact"/>
                    <w:jc w:val="center"/>
                    <w:rPr>
                      <w:szCs w:val="21"/>
                    </w:rPr>
                  </w:pPr>
                  <w:r>
                    <w:rPr>
                      <w:szCs w:val="21"/>
                    </w:rPr>
                    <w:t>/</w:t>
                  </w:r>
                </w:p>
              </w:tc>
              <w:tc>
                <w:tcPr>
                  <w:tcW w:w="435" w:type="pct"/>
                  <w:noWrap w:val="0"/>
                  <w:vAlign w:val="center"/>
                </w:tcPr>
                <w:p>
                  <w:pPr>
                    <w:spacing w:line="240" w:lineRule="exact"/>
                    <w:jc w:val="center"/>
                    <w:rPr>
                      <w:szCs w:val="21"/>
                    </w:rPr>
                  </w:pPr>
                  <w:r>
                    <w:rPr>
                      <w:szCs w:val="21"/>
                    </w:rPr>
                    <w:t>/</w:t>
                  </w:r>
                </w:p>
              </w:tc>
              <w:tc>
                <w:tcPr>
                  <w:tcW w:w="432" w:type="pct"/>
                  <w:noWrap w:val="0"/>
                  <w:vAlign w:val="center"/>
                </w:tcPr>
                <w:p>
                  <w:pPr>
                    <w:spacing w:line="240" w:lineRule="exact"/>
                    <w:jc w:val="center"/>
                    <w:rPr>
                      <w:szCs w:val="21"/>
                    </w:rPr>
                  </w:pPr>
                  <w:r>
                    <w:rPr>
                      <w:szCs w:val="21"/>
                    </w:rPr>
                    <w:t>6</w:t>
                  </w:r>
                  <w:r>
                    <w:rPr>
                      <w:rFonts w:hint="eastAsia"/>
                      <w:szCs w:val="21"/>
                    </w:rPr>
                    <w:t>0</w:t>
                  </w:r>
                </w:p>
              </w:tc>
              <w:tc>
                <w:tcPr>
                  <w:tcW w:w="433" w:type="pct"/>
                  <w:noWrap w:val="0"/>
                  <w:vAlign w:val="center"/>
                </w:tcPr>
                <w:p>
                  <w:pPr>
                    <w:spacing w:line="240" w:lineRule="exact"/>
                    <w:jc w:val="center"/>
                    <w:rPr>
                      <w:szCs w:val="21"/>
                    </w:rPr>
                  </w:pPr>
                  <w:r>
                    <w:rPr>
                      <w:szCs w:val="21"/>
                    </w:rPr>
                    <w:t>5</w:t>
                  </w:r>
                  <w:r>
                    <w:rPr>
                      <w:rFonts w:hint="eastAsia"/>
                      <w:szCs w:val="21"/>
                    </w:rPr>
                    <w:t>0</w:t>
                  </w:r>
                </w:p>
              </w:tc>
              <w:tc>
                <w:tcPr>
                  <w:tcW w:w="410" w:type="pct"/>
                  <w:noWrap w:val="0"/>
                  <w:vAlign w:val="center"/>
                </w:tcPr>
                <w:p>
                  <w:pPr>
                    <w:spacing w:line="240" w:lineRule="exact"/>
                    <w:jc w:val="center"/>
                    <w:rPr>
                      <w:szCs w:val="21"/>
                    </w:rPr>
                  </w:pPr>
                  <w:r>
                    <w:rPr>
                      <w:szCs w:val="21"/>
                    </w:rPr>
                    <w:t>达标</w:t>
                  </w:r>
                </w:p>
              </w:tc>
            </w:tr>
          </w:tbl>
          <w:p>
            <w:pPr>
              <w:spacing w:line="360" w:lineRule="auto"/>
              <w:ind w:firstLine="480" w:firstLineChars="200"/>
              <w:rPr>
                <w:sz w:val="24"/>
              </w:rPr>
            </w:pPr>
            <w:r>
              <w:rPr>
                <w:rFonts w:hint="eastAsia"/>
                <w:sz w:val="24"/>
              </w:rPr>
              <w:t>由预测结果可知，营运期昼间厂界四周预测点噪声排放值均满足《工业企业厂界环境噪声排放标准》（GB12348-2008）2类标准限值要求，可实现达标排放。</w:t>
            </w:r>
          </w:p>
          <w:p>
            <w:pPr>
              <w:spacing w:line="360" w:lineRule="auto"/>
              <w:ind w:firstLine="482" w:firstLineChars="200"/>
              <w:rPr>
                <w:b/>
                <w:bCs/>
                <w:sz w:val="24"/>
              </w:rPr>
            </w:pPr>
            <w:r>
              <w:rPr>
                <w:rFonts w:hint="eastAsia"/>
                <w:b/>
                <w:bCs/>
                <w:sz w:val="24"/>
              </w:rPr>
              <w:t>4</w:t>
            </w:r>
            <w:r>
              <w:rPr>
                <w:b/>
                <w:bCs/>
                <w:sz w:val="24"/>
              </w:rPr>
              <w:t>、监测计划</w:t>
            </w:r>
          </w:p>
          <w:p>
            <w:pPr>
              <w:pStyle w:val="40"/>
              <w:spacing w:line="360" w:lineRule="auto"/>
              <w:ind w:firstLine="480" w:firstLineChars="200"/>
              <w:rPr>
                <w:rFonts w:ascii="Times New Roman" w:hAnsi="Times New Roman"/>
                <w:sz w:val="24"/>
                <w:szCs w:val="24"/>
              </w:rPr>
            </w:pPr>
            <w:r>
              <w:rPr>
                <w:rFonts w:ascii="Times New Roman" w:hAnsi="Times New Roman"/>
                <w:sz w:val="24"/>
                <w:szCs w:val="24"/>
              </w:rPr>
              <w:t>本次环评根据《排污单位自行监测技术指南 总则》（HJ817-2017）</w:t>
            </w:r>
            <w:r>
              <w:rPr>
                <w:rFonts w:hint="eastAsia" w:ascii="Times New Roman" w:hAnsi="Times New Roman"/>
                <w:sz w:val="24"/>
                <w:szCs w:val="24"/>
              </w:rPr>
              <w:t>，</w:t>
            </w:r>
            <w:r>
              <w:rPr>
                <w:rFonts w:ascii="Times New Roman" w:hAnsi="Times New Roman"/>
                <w:sz w:val="24"/>
                <w:szCs w:val="24"/>
              </w:rPr>
              <w:t>并结合本项目污染物的特点，制定营运期监测计划见下表</w:t>
            </w:r>
            <w:r>
              <w:rPr>
                <w:rFonts w:hint="eastAsia" w:ascii="Times New Roman" w:hAnsi="Times New Roman"/>
                <w:sz w:val="24"/>
                <w:szCs w:val="24"/>
              </w:rPr>
              <w:t>。</w:t>
            </w:r>
          </w:p>
          <w:p>
            <w:pPr>
              <w:adjustRightInd w:val="0"/>
              <w:snapToGrid w:val="0"/>
              <w:spacing w:before="120" w:beforeLines="50"/>
              <w:ind w:firstLine="426" w:firstLineChars="202"/>
              <w:jc w:val="center"/>
              <w:rPr>
                <w:b/>
                <w:bCs/>
                <w:szCs w:val="21"/>
              </w:rPr>
            </w:pPr>
            <w:r>
              <w:rPr>
                <w:b/>
                <w:bCs/>
                <w:szCs w:val="21"/>
              </w:rPr>
              <w:t>表4-1</w:t>
            </w:r>
            <w:r>
              <w:rPr>
                <w:rFonts w:hint="eastAsia"/>
                <w:b/>
                <w:bCs/>
                <w:szCs w:val="21"/>
              </w:rPr>
              <w:t>1</w:t>
            </w:r>
            <w:r>
              <w:rPr>
                <w:b/>
                <w:bCs/>
                <w:szCs w:val="21"/>
              </w:rPr>
              <w:t xml:space="preserve"> 项目噪声例行监测计划一览表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699"/>
              <w:gridCol w:w="2405"/>
              <w:gridCol w:w="2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noWrap w:val="0"/>
                  <w:vAlign w:val="center"/>
                </w:tcPr>
                <w:p>
                  <w:pPr>
                    <w:pStyle w:val="40"/>
                    <w:jc w:val="center"/>
                    <w:rPr>
                      <w:rFonts w:ascii="Times New Roman" w:hAnsi="Times New Roman"/>
                      <w:b/>
                      <w:bCs/>
                      <w:sz w:val="21"/>
                    </w:rPr>
                  </w:pPr>
                  <w:r>
                    <w:rPr>
                      <w:rFonts w:ascii="Times New Roman" w:hAnsi="Times New Roman"/>
                      <w:b/>
                      <w:bCs/>
                      <w:sz w:val="21"/>
                    </w:rPr>
                    <w:t>监测点位</w:t>
                  </w:r>
                </w:p>
              </w:tc>
              <w:tc>
                <w:tcPr>
                  <w:tcW w:w="1012" w:type="pct"/>
                  <w:noWrap w:val="0"/>
                  <w:vAlign w:val="center"/>
                </w:tcPr>
                <w:p>
                  <w:pPr>
                    <w:pStyle w:val="40"/>
                    <w:jc w:val="center"/>
                    <w:rPr>
                      <w:rFonts w:ascii="Times New Roman" w:hAnsi="Times New Roman"/>
                      <w:b/>
                      <w:bCs/>
                      <w:sz w:val="21"/>
                    </w:rPr>
                  </w:pPr>
                  <w:r>
                    <w:rPr>
                      <w:rFonts w:ascii="Times New Roman" w:hAnsi="Times New Roman"/>
                      <w:b/>
                      <w:bCs/>
                      <w:sz w:val="21"/>
                    </w:rPr>
                    <w:t>监测指标</w:t>
                  </w:r>
                </w:p>
              </w:tc>
              <w:tc>
                <w:tcPr>
                  <w:tcW w:w="1433" w:type="pct"/>
                  <w:noWrap w:val="0"/>
                  <w:vAlign w:val="center"/>
                </w:tcPr>
                <w:p>
                  <w:pPr>
                    <w:pStyle w:val="40"/>
                    <w:jc w:val="center"/>
                    <w:rPr>
                      <w:rFonts w:ascii="Times New Roman" w:hAnsi="Times New Roman"/>
                      <w:b/>
                      <w:bCs/>
                      <w:sz w:val="21"/>
                    </w:rPr>
                  </w:pPr>
                  <w:r>
                    <w:rPr>
                      <w:rFonts w:ascii="Times New Roman" w:hAnsi="Times New Roman"/>
                      <w:b/>
                      <w:bCs/>
                      <w:sz w:val="21"/>
                    </w:rPr>
                    <w:t>监测频次</w:t>
                  </w:r>
                </w:p>
              </w:tc>
              <w:tc>
                <w:tcPr>
                  <w:tcW w:w="1717" w:type="pct"/>
                  <w:noWrap w:val="0"/>
                  <w:vAlign w:val="center"/>
                </w:tcPr>
                <w:p>
                  <w:pPr>
                    <w:pStyle w:val="40"/>
                    <w:jc w:val="center"/>
                    <w:rPr>
                      <w:rFonts w:ascii="Times New Roman" w:hAnsi="Times New Roman"/>
                      <w:b/>
                      <w:bCs/>
                      <w:sz w:val="21"/>
                    </w:rPr>
                  </w:pPr>
                  <w:r>
                    <w:rPr>
                      <w:rFonts w:ascii="Times New Roman" w:hAnsi="Times New Roman"/>
                      <w:b/>
                      <w:bCs/>
                      <w:sz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pct"/>
                  <w:noWrap w:val="0"/>
                  <w:vAlign w:val="center"/>
                </w:tcPr>
                <w:p>
                  <w:pPr>
                    <w:pStyle w:val="40"/>
                    <w:jc w:val="center"/>
                    <w:rPr>
                      <w:rFonts w:hint="eastAsia" w:ascii="Times New Roman" w:hAnsi="Times New Roman"/>
                      <w:sz w:val="21"/>
                    </w:rPr>
                  </w:pPr>
                  <w:r>
                    <w:rPr>
                      <w:rFonts w:hint="eastAsia" w:ascii="Times New Roman" w:hAnsi="Times New Roman"/>
                      <w:sz w:val="21"/>
                    </w:rPr>
                    <w:t>场界四周</w:t>
                  </w:r>
                </w:p>
              </w:tc>
              <w:tc>
                <w:tcPr>
                  <w:tcW w:w="1012" w:type="pct"/>
                  <w:noWrap w:val="0"/>
                  <w:vAlign w:val="center"/>
                </w:tcPr>
                <w:p>
                  <w:pPr>
                    <w:pStyle w:val="40"/>
                    <w:jc w:val="center"/>
                    <w:rPr>
                      <w:rFonts w:ascii="Times New Roman" w:hAnsi="Times New Roman"/>
                      <w:sz w:val="21"/>
                    </w:rPr>
                  </w:pPr>
                  <w:r>
                    <w:rPr>
                      <w:rFonts w:ascii="Times New Roman" w:hAnsi="Times New Roman"/>
                      <w:sz w:val="21"/>
                    </w:rPr>
                    <w:t>噪声</w:t>
                  </w:r>
                </w:p>
              </w:tc>
              <w:tc>
                <w:tcPr>
                  <w:tcW w:w="1433" w:type="pct"/>
                  <w:noWrap w:val="0"/>
                  <w:vAlign w:val="center"/>
                </w:tcPr>
                <w:p>
                  <w:pPr>
                    <w:pStyle w:val="40"/>
                    <w:jc w:val="center"/>
                    <w:rPr>
                      <w:rFonts w:ascii="Times New Roman" w:hAnsi="Times New Roman"/>
                      <w:sz w:val="21"/>
                    </w:rPr>
                  </w:pPr>
                  <w:r>
                    <w:rPr>
                      <w:rFonts w:ascii="Times New Roman" w:hAnsi="Times New Roman"/>
                      <w:sz w:val="21"/>
                    </w:rPr>
                    <w:t>1次/季度</w:t>
                  </w:r>
                  <w:r>
                    <w:rPr>
                      <w:rFonts w:hint="eastAsia" w:ascii="Times New Roman" w:hAnsi="Times New Roman"/>
                      <w:sz w:val="21"/>
                    </w:rPr>
                    <w:t>，每次监测1天，昼夜各1次</w:t>
                  </w:r>
                </w:p>
              </w:tc>
              <w:tc>
                <w:tcPr>
                  <w:tcW w:w="1717" w:type="pct"/>
                  <w:noWrap w:val="0"/>
                  <w:vAlign w:val="center"/>
                </w:tcPr>
                <w:p>
                  <w:pPr>
                    <w:pStyle w:val="40"/>
                    <w:jc w:val="center"/>
                    <w:rPr>
                      <w:rFonts w:ascii="Times New Roman" w:hAnsi="Times New Roman"/>
                      <w:sz w:val="21"/>
                    </w:rPr>
                  </w:pPr>
                  <w:r>
                    <w:rPr>
                      <w:rFonts w:ascii="Times New Roman" w:hAnsi="Times New Roman"/>
                      <w:sz w:val="21"/>
                    </w:rPr>
                    <w:t>《工业企业厂界环境噪声排放标准》（GB12348-2008）2类标准</w:t>
                  </w:r>
                </w:p>
              </w:tc>
            </w:tr>
          </w:tbl>
          <w:p>
            <w:pPr>
              <w:spacing w:line="360" w:lineRule="auto"/>
              <w:rPr>
                <w:b/>
                <w:bCs/>
                <w:sz w:val="24"/>
              </w:rPr>
            </w:pPr>
            <w:r>
              <w:rPr>
                <w:b/>
                <w:bCs/>
                <w:sz w:val="24"/>
              </w:rPr>
              <w:t xml:space="preserve">四、固废产生及治理措施 </w:t>
            </w:r>
          </w:p>
          <w:p>
            <w:pPr>
              <w:tabs>
                <w:tab w:val="left" w:pos="6832"/>
              </w:tabs>
              <w:spacing w:line="360" w:lineRule="auto"/>
              <w:ind w:firstLine="480"/>
              <w:rPr>
                <w:sz w:val="24"/>
              </w:rPr>
            </w:pPr>
            <w:r>
              <w:rPr>
                <w:sz w:val="24"/>
              </w:rPr>
              <w:t>本项目运营期产生的固体废弃物主要为员工产生的生活垃圾、</w:t>
            </w:r>
            <w:r>
              <w:rPr>
                <w:rFonts w:hint="eastAsia"/>
                <w:sz w:val="24"/>
              </w:rPr>
              <w:t>化粪池</w:t>
            </w:r>
            <w:r>
              <w:rPr>
                <w:sz w:val="24"/>
              </w:rPr>
              <w:t>和隔 油池污泥、隔油池废油、储油罐清罐废水及废渣、沾油废物</w:t>
            </w:r>
            <w:r>
              <w:rPr>
                <w:rFonts w:hint="eastAsia"/>
                <w:sz w:val="24"/>
              </w:rPr>
              <w:t>（</w:t>
            </w:r>
            <w:r>
              <w:rPr>
                <w:sz w:val="24"/>
              </w:rPr>
              <w:t>含油废</w:t>
            </w:r>
            <w:r>
              <w:rPr>
                <w:rFonts w:hint="eastAsia"/>
                <w:sz w:val="24"/>
              </w:rPr>
              <w:t>棉纱</w:t>
            </w:r>
            <w:r>
              <w:rPr>
                <w:sz w:val="24"/>
              </w:rPr>
              <w:t>和</w:t>
            </w:r>
            <w:r>
              <w:rPr>
                <w:rFonts w:hint="eastAsia"/>
                <w:sz w:val="24"/>
              </w:rPr>
              <w:t>废含油手套</w:t>
            </w:r>
            <w:r>
              <w:rPr>
                <w:sz w:val="24"/>
              </w:rPr>
              <w:t>等) 。</w:t>
            </w:r>
          </w:p>
          <w:p>
            <w:pPr>
              <w:tabs>
                <w:tab w:val="left" w:pos="6832"/>
              </w:tabs>
              <w:spacing w:line="360" w:lineRule="auto"/>
              <w:ind w:firstLine="480"/>
              <w:rPr>
                <w:b/>
                <w:bCs/>
                <w:sz w:val="24"/>
              </w:rPr>
            </w:pPr>
            <w:r>
              <w:rPr>
                <w:rFonts w:hint="eastAsia"/>
                <w:b/>
                <w:bCs/>
                <w:sz w:val="24"/>
              </w:rPr>
              <w:t>（1）</w:t>
            </w:r>
            <w:r>
              <w:rPr>
                <w:b/>
                <w:bCs/>
                <w:sz w:val="24"/>
              </w:rPr>
              <w:t xml:space="preserve">产生情况 </w:t>
            </w:r>
          </w:p>
          <w:p>
            <w:pPr>
              <w:tabs>
                <w:tab w:val="left" w:pos="6832"/>
              </w:tabs>
              <w:spacing w:line="360" w:lineRule="auto"/>
              <w:ind w:firstLine="480"/>
              <w:rPr>
                <w:b/>
                <w:bCs/>
                <w:sz w:val="24"/>
              </w:rPr>
            </w:pPr>
            <w:r>
              <w:rPr>
                <w:b/>
                <w:bCs/>
                <w:sz w:val="24"/>
              </w:rPr>
              <w:t>一般固废：</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生活垃圾</w:t>
            </w:r>
          </w:p>
          <w:p>
            <w:pPr>
              <w:tabs>
                <w:tab w:val="left" w:pos="6832"/>
              </w:tabs>
              <w:spacing w:line="360" w:lineRule="auto"/>
              <w:ind w:firstLine="480"/>
              <w:rPr>
                <w:sz w:val="24"/>
              </w:rPr>
            </w:pPr>
            <w:r>
              <w:rPr>
                <w:sz w:val="24"/>
              </w:rPr>
              <w:t>项目运营期站内定员10人，按每人每天产生生活垃圾0.5kg计，则项目人员产生的生活垃圾 5.0kg/d ，年产生活垃圾 1.825t/a；每天经过加油加气站的司乘人员按</w:t>
            </w:r>
            <w:r>
              <w:rPr>
                <w:rFonts w:hint="eastAsia"/>
                <w:sz w:val="24"/>
              </w:rPr>
              <w:t>6</w:t>
            </w:r>
            <w:r>
              <w:rPr>
                <w:sz w:val="24"/>
              </w:rPr>
              <w:t>00人计，每人每天产生生活垃圾0.05kg，则司乘人员产生的生活垃圾 30kg/d，年产生活垃圾10.95t/a；合计</w:t>
            </w:r>
            <w:r>
              <w:rPr>
                <w:rFonts w:hint="eastAsia"/>
                <w:sz w:val="24"/>
              </w:rPr>
              <w:t>站内</w:t>
            </w:r>
            <w:r>
              <w:rPr>
                <w:sz w:val="24"/>
              </w:rPr>
              <w:t>生活垃圾产生量为3</w:t>
            </w:r>
            <w:r>
              <w:rPr>
                <w:rFonts w:hint="eastAsia"/>
                <w:sz w:val="24"/>
              </w:rPr>
              <w:t>5</w:t>
            </w:r>
            <w:r>
              <w:rPr>
                <w:sz w:val="24"/>
              </w:rPr>
              <w:t>kg/d</w:t>
            </w:r>
            <w:r>
              <w:rPr>
                <w:rFonts w:hint="eastAsia"/>
                <w:sz w:val="24"/>
              </w:rPr>
              <w:t>，12.775</w:t>
            </w:r>
            <w:r>
              <w:rPr>
                <w:sz w:val="24"/>
              </w:rPr>
              <w:t>t/a。</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化粪</w:t>
            </w:r>
            <w:r>
              <w:rPr>
                <w:sz w:val="24"/>
              </w:rPr>
              <w:t>池和隔油池污泥</w:t>
            </w:r>
          </w:p>
          <w:p>
            <w:pPr>
              <w:tabs>
                <w:tab w:val="left" w:pos="6832"/>
              </w:tabs>
              <w:spacing w:line="360" w:lineRule="auto"/>
              <w:ind w:firstLine="480"/>
              <w:rPr>
                <w:sz w:val="24"/>
              </w:rPr>
            </w:pPr>
            <w:r>
              <w:rPr>
                <w:sz w:val="24"/>
              </w:rPr>
              <w:t>项目营运期</w:t>
            </w:r>
            <w:r>
              <w:rPr>
                <w:rFonts w:hint="eastAsia"/>
                <w:sz w:val="24"/>
              </w:rPr>
              <w:t>化粪</w:t>
            </w:r>
            <w:r>
              <w:rPr>
                <w:sz w:val="24"/>
              </w:rPr>
              <w:t>池和隔油池产生的污泥定期清掏，污泥产生量约</w:t>
            </w:r>
            <w:r>
              <w:rPr>
                <w:rFonts w:hint="eastAsia"/>
                <w:sz w:val="24"/>
              </w:rPr>
              <w:t>1.5</w:t>
            </w:r>
            <w:r>
              <w:rPr>
                <w:sz w:val="24"/>
              </w:rPr>
              <w:t>t/a，属一般固废。</w:t>
            </w:r>
          </w:p>
          <w:p>
            <w:pPr>
              <w:tabs>
                <w:tab w:val="left" w:pos="6832"/>
              </w:tabs>
              <w:spacing w:line="360" w:lineRule="auto"/>
              <w:ind w:firstLine="480"/>
              <w:rPr>
                <w:b/>
                <w:bCs/>
                <w:sz w:val="24"/>
              </w:rPr>
            </w:pPr>
            <w:r>
              <w:rPr>
                <w:b/>
                <w:bCs/>
                <w:sz w:val="24"/>
              </w:rPr>
              <w:t>危险固废：</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隔油池废油</w:t>
            </w:r>
            <w:r>
              <w:rPr>
                <w:rFonts w:hint="eastAsia"/>
                <w:sz w:val="24"/>
              </w:rPr>
              <w:t>（</w:t>
            </w:r>
            <w:r>
              <w:rPr>
                <w:sz w:val="24"/>
              </w:rPr>
              <w:t>HW08</w:t>
            </w:r>
            <w:r>
              <w:rPr>
                <w:rFonts w:hint="eastAsia"/>
                <w:sz w:val="24"/>
              </w:rPr>
              <w:t>）</w:t>
            </w:r>
          </w:p>
          <w:p>
            <w:pPr>
              <w:tabs>
                <w:tab w:val="left" w:pos="6832"/>
              </w:tabs>
              <w:spacing w:line="360" w:lineRule="auto"/>
              <w:ind w:firstLine="480"/>
              <w:rPr>
                <w:sz w:val="24"/>
              </w:rPr>
            </w:pPr>
            <w:r>
              <w:rPr>
                <w:sz w:val="24"/>
              </w:rPr>
              <w:t>本项目设置</w:t>
            </w:r>
            <w:r>
              <w:rPr>
                <w:rFonts w:hint="eastAsia"/>
                <w:sz w:val="24"/>
              </w:rPr>
              <w:t>水封</w:t>
            </w:r>
            <w:r>
              <w:rPr>
                <w:sz w:val="24"/>
              </w:rPr>
              <w:t>隔油池</w:t>
            </w:r>
            <w:r>
              <w:rPr>
                <w:rFonts w:hint="eastAsia"/>
                <w:sz w:val="24"/>
              </w:rPr>
              <w:t>1</w:t>
            </w:r>
            <w:r>
              <w:rPr>
                <w:sz w:val="24"/>
              </w:rPr>
              <w:t>座，容积为</w:t>
            </w:r>
            <w:r>
              <w:rPr>
                <w:rFonts w:hint="eastAsia"/>
                <w:sz w:val="24"/>
              </w:rPr>
              <w:t>4.5</w:t>
            </w:r>
            <w:r>
              <w:rPr>
                <w:sz w:val="24"/>
              </w:rPr>
              <w:t>m</w:t>
            </w:r>
            <w:r>
              <w:rPr>
                <w:sz w:val="24"/>
                <w:vertAlign w:val="superscript"/>
              </w:rPr>
              <w:t>3</w:t>
            </w:r>
            <w:r>
              <w:rPr>
                <w:sz w:val="24"/>
              </w:rPr>
              <w:t>用于</w:t>
            </w:r>
            <w:r>
              <w:rPr>
                <w:rFonts w:hint="eastAsia"/>
                <w:sz w:val="24"/>
              </w:rPr>
              <w:t>地面冲洗废水及</w:t>
            </w:r>
            <w:r>
              <w:rPr>
                <w:sz w:val="24"/>
              </w:rPr>
              <w:t>站内初期雨水的隔油沉淀处理</w:t>
            </w:r>
            <w:r>
              <w:rPr>
                <w:rFonts w:hint="eastAsia"/>
                <w:sz w:val="24"/>
              </w:rPr>
              <w:t>；两格式隔油沉淀池1座，单格容积不小于1</w:t>
            </w:r>
            <w:r>
              <w:rPr>
                <w:sz w:val="24"/>
              </w:rPr>
              <w:t>m</w:t>
            </w:r>
            <w:r>
              <w:rPr>
                <w:rFonts w:hint="eastAsia"/>
                <w:sz w:val="24"/>
                <w:vertAlign w:val="superscript"/>
              </w:rPr>
              <w:t>3</w:t>
            </w:r>
            <w:r>
              <w:rPr>
                <w:rFonts w:hint="eastAsia"/>
                <w:sz w:val="24"/>
              </w:rPr>
              <w:t>，用于洗车废水的循环处理。</w:t>
            </w:r>
            <w:r>
              <w:rPr>
                <w:sz w:val="24"/>
              </w:rPr>
              <w:t>隔油池年收集废油量约 0.0</w:t>
            </w:r>
            <w:r>
              <w:rPr>
                <w:rFonts w:hint="eastAsia"/>
                <w:sz w:val="24"/>
              </w:rPr>
              <w:t>2</w:t>
            </w:r>
            <w:r>
              <w:rPr>
                <w:sz w:val="24"/>
              </w:rPr>
              <w:t>t/a</w:t>
            </w:r>
            <w:r>
              <w:rPr>
                <w:rFonts w:hint="eastAsia"/>
                <w:sz w:val="24"/>
              </w:rPr>
              <w:t>，</w:t>
            </w:r>
            <w:r>
              <w:rPr>
                <w:sz w:val="24"/>
              </w:rPr>
              <w:t>属于</w:t>
            </w:r>
            <w:r>
              <w:rPr>
                <w:rFonts w:hint="eastAsia"/>
                <w:sz w:val="24"/>
              </w:rPr>
              <w:t>“</w:t>
            </w:r>
            <w:r>
              <w:rPr>
                <w:sz w:val="24"/>
              </w:rPr>
              <w:t>HW08废矿物油与含矿物油废物</w:t>
            </w:r>
            <w:r>
              <w:rPr>
                <w:rFonts w:hint="eastAsia"/>
                <w:sz w:val="24"/>
              </w:rPr>
              <w:t>”</w:t>
            </w:r>
            <w:r>
              <w:rPr>
                <w:sz w:val="24"/>
              </w:rPr>
              <w:t>类别中非特定行业 900-210-08</w:t>
            </w:r>
            <w:r>
              <w:rPr>
                <w:rFonts w:hint="eastAsia"/>
                <w:sz w:val="24"/>
              </w:rPr>
              <w:t>“</w:t>
            </w:r>
            <w:r>
              <w:rPr>
                <w:sz w:val="24"/>
              </w:rPr>
              <w:t xml:space="preserve">油/水分离设施产生的废油、油泥及废水处理产生的浮渣和污泥 </w:t>
            </w:r>
            <w:r>
              <w:rPr>
                <w:rFonts w:hint="eastAsia"/>
                <w:sz w:val="24"/>
              </w:rPr>
              <w:t>（</w:t>
            </w:r>
            <w:r>
              <w:rPr>
                <w:sz w:val="24"/>
              </w:rPr>
              <w:t>不包括废水 生化处理污泥</w:t>
            </w:r>
            <w:r>
              <w:rPr>
                <w:rFonts w:hint="eastAsia"/>
                <w:sz w:val="24"/>
              </w:rPr>
              <w:t>）”</w:t>
            </w:r>
            <w:r>
              <w:rPr>
                <w:sz w:val="24"/>
              </w:rPr>
              <w:t>。</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 xml:space="preserve">清罐废水及废渣 </w:t>
            </w:r>
            <w:r>
              <w:rPr>
                <w:rFonts w:hint="eastAsia"/>
                <w:sz w:val="24"/>
              </w:rPr>
              <w:t>（</w:t>
            </w:r>
            <w:r>
              <w:rPr>
                <w:sz w:val="24"/>
              </w:rPr>
              <w:t>HW08</w:t>
            </w:r>
            <w:r>
              <w:rPr>
                <w:rFonts w:hint="eastAsia"/>
                <w:sz w:val="24"/>
              </w:rPr>
              <w:t>）</w:t>
            </w:r>
          </w:p>
          <w:p>
            <w:pPr>
              <w:tabs>
                <w:tab w:val="left" w:pos="6832"/>
              </w:tabs>
              <w:spacing w:line="360" w:lineRule="auto"/>
              <w:ind w:firstLine="480"/>
              <w:rPr>
                <w:sz w:val="24"/>
              </w:rPr>
            </w:pPr>
            <w:r>
              <w:rPr>
                <w:sz w:val="24"/>
              </w:rPr>
              <w:t xml:space="preserve">加油加气站拟采用隔爆型免维修油罐，使用时间较长，使用一定年限后直接 报废。但由于地埋油罐长期储油会有少量油垢产生，须定期委托专业清罐公司对储油罐进行清洁，清除储罐产生的废渣 </w:t>
            </w:r>
            <w:r>
              <w:rPr>
                <w:rFonts w:hint="eastAsia"/>
                <w:sz w:val="24"/>
              </w:rPr>
              <w:t>（</w:t>
            </w:r>
            <w:r>
              <w:rPr>
                <w:sz w:val="24"/>
              </w:rPr>
              <w:t>一般</w:t>
            </w:r>
            <w:r>
              <w:rPr>
                <w:rFonts w:hint="eastAsia"/>
                <w:sz w:val="24"/>
              </w:rPr>
              <w:t>3</w:t>
            </w:r>
            <w:r>
              <w:rPr>
                <w:sz w:val="24"/>
              </w:rPr>
              <w:t>年清洁一次，采用自来水机械清 洁的方式</w:t>
            </w:r>
            <w:r>
              <w:rPr>
                <w:rFonts w:hint="eastAsia"/>
                <w:sz w:val="24"/>
              </w:rPr>
              <w:t>）</w:t>
            </w:r>
            <w:r>
              <w:rPr>
                <w:sz w:val="24"/>
              </w:rPr>
              <w:t>，清罐过程中含油废水及废渣产生量约0.</w:t>
            </w:r>
            <w:r>
              <w:rPr>
                <w:rFonts w:hint="eastAsia"/>
                <w:sz w:val="24"/>
              </w:rPr>
              <w:t>3</w:t>
            </w:r>
            <w:r>
              <w:rPr>
                <w:sz w:val="24"/>
              </w:rPr>
              <w:t>t/次，</w:t>
            </w:r>
            <w:r>
              <w:t>其属</w:t>
            </w:r>
            <w:r>
              <w:rPr>
                <w:sz w:val="24"/>
              </w:rPr>
              <w:t>于</w:t>
            </w:r>
            <w:r>
              <w:rPr>
                <w:rFonts w:hint="eastAsia"/>
                <w:sz w:val="24"/>
              </w:rPr>
              <w:t>“</w:t>
            </w:r>
            <w:r>
              <w:rPr>
                <w:sz w:val="24"/>
              </w:rPr>
              <w:t>HW08 废矿物油与含矿物油废物</w:t>
            </w:r>
            <w:r>
              <w:rPr>
                <w:rFonts w:hint="eastAsia"/>
                <w:sz w:val="24"/>
              </w:rPr>
              <w:t>”</w:t>
            </w:r>
            <w:r>
              <w:rPr>
                <w:sz w:val="24"/>
              </w:rPr>
              <w:t>类别中非特定行业251-001-08</w:t>
            </w:r>
            <w:r>
              <w:rPr>
                <w:rFonts w:hint="eastAsia"/>
                <w:sz w:val="24"/>
              </w:rPr>
              <w:t>“</w:t>
            </w:r>
            <w:r>
              <w:rPr>
                <w:sz w:val="24"/>
              </w:rPr>
              <w:t>清洗矿物油储存、输送设施过程中产生的油/水和烃/水混合物</w:t>
            </w:r>
            <w:r>
              <w:rPr>
                <w:rFonts w:hint="eastAsia"/>
                <w:sz w:val="24"/>
              </w:rPr>
              <w:t>”</w:t>
            </w:r>
            <w:r>
              <w:rPr>
                <w:sz w:val="24"/>
              </w:rPr>
              <w:t>。</w:t>
            </w:r>
          </w:p>
          <w:p>
            <w:pPr>
              <w:tabs>
                <w:tab w:val="left" w:pos="6832"/>
              </w:tabs>
              <w:spacing w:line="360" w:lineRule="auto"/>
              <w:ind w:firstLine="480"/>
              <w:rPr>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sz w:val="24"/>
              </w:rPr>
              <w:t>沾油废物</w:t>
            </w:r>
            <w:r>
              <w:rPr>
                <w:rFonts w:hint="eastAsia"/>
                <w:sz w:val="24"/>
              </w:rPr>
              <w:t>（</w:t>
            </w:r>
            <w:r>
              <w:rPr>
                <w:sz w:val="24"/>
              </w:rPr>
              <w:t>HW49</w:t>
            </w:r>
            <w:r>
              <w:rPr>
                <w:rFonts w:hint="eastAsia"/>
                <w:sz w:val="24"/>
              </w:rPr>
              <w:t>）</w:t>
            </w:r>
          </w:p>
          <w:p>
            <w:pPr>
              <w:tabs>
                <w:tab w:val="left" w:pos="6832"/>
              </w:tabs>
              <w:spacing w:line="360" w:lineRule="auto"/>
              <w:ind w:firstLine="480"/>
              <w:rPr>
                <w:sz w:val="24"/>
              </w:rPr>
            </w:pPr>
            <w:r>
              <w:rPr>
                <w:sz w:val="24"/>
              </w:rPr>
              <w:t>加油加气站营运过程中会产生</w:t>
            </w:r>
            <w:r>
              <w:rPr>
                <w:rFonts w:hint="eastAsia"/>
                <w:sz w:val="24"/>
              </w:rPr>
              <w:t>废</w:t>
            </w:r>
            <w:r>
              <w:rPr>
                <w:sz w:val="24"/>
              </w:rPr>
              <w:t>含油</w:t>
            </w:r>
            <w:r>
              <w:rPr>
                <w:rFonts w:hint="eastAsia"/>
                <w:sz w:val="24"/>
              </w:rPr>
              <w:t>棉纱</w:t>
            </w:r>
            <w:r>
              <w:rPr>
                <w:sz w:val="24"/>
              </w:rPr>
              <w:t>和</w:t>
            </w:r>
            <w:r>
              <w:rPr>
                <w:rFonts w:hint="eastAsia"/>
                <w:sz w:val="24"/>
              </w:rPr>
              <w:t>废含油手套</w:t>
            </w:r>
            <w:r>
              <w:rPr>
                <w:sz w:val="24"/>
              </w:rPr>
              <w:t>等沾油废物，其产生量</w:t>
            </w:r>
            <w:r>
              <w:rPr>
                <w:rFonts w:hint="eastAsia"/>
                <w:sz w:val="24"/>
              </w:rPr>
              <w:t>约为</w:t>
            </w:r>
            <w:r>
              <w:rPr>
                <w:sz w:val="24"/>
              </w:rPr>
              <w:t>0.0</w:t>
            </w:r>
            <w:r>
              <w:rPr>
                <w:rFonts w:hint="eastAsia"/>
                <w:sz w:val="24"/>
              </w:rPr>
              <w:t>5</w:t>
            </w:r>
            <w:r>
              <w:rPr>
                <w:sz w:val="24"/>
              </w:rPr>
              <w:t>t/a ，属于</w:t>
            </w:r>
            <w:r>
              <w:rPr>
                <w:rFonts w:hint="eastAsia"/>
                <w:sz w:val="24"/>
              </w:rPr>
              <w:t>“</w:t>
            </w:r>
            <w:r>
              <w:rPr>
                <w:sz w:val="24"/>
              </w:rPr>
              <w:t>HW49</w:t>
            </w:r>
            <w:r>
              <w:rPr>
                <w:rFonts w:hint="eastAsia"/>
                <w:sz w:val="24"/>
              </w:rPr>
              <w:t>其他废物”类别中</w:t>
            </w:r>
            <w:r>
              <w:rPr>
                <w:sz w:val="24"/>
              </w:rPr>
              <w:t>非特定行业900-041-49</w:t>
            </w:r>
            <w:r>
              <w:rPr>
                <w:rFonts w:hint="eastAsia"/>
                <w:sz w:val="24"/>
              </w:rPr>
              <w:t>“</w:t>
            </w:r>
            <w:r>
              <w:rPr>
                <w:sz w:val="24"/>
              </w:rPr>
              <w:t>含有或沾染毒性、感染性危险废物的废弃包装物、容器、过滤吸附介质</w:t>
            </w:r>
            <w:r>
              <w:rPr>
                <w:rFonts w:hint="eastAsia"/>
                <w:sz w:val="24"/>
              </w:rPr>
              <w:t>”</w:t>
            </w:r>
            <w:r>
              <w:rPr>
                <w:sz w:val="24"/>
              </w:rPr>
              <w:t>。</w:t>
            </w:r>
          </w:p>
          <w:p>
            <w:pPr>
              <w:tabs>
                <w:tab w:val="left" w:pos="6832"/>
              </w:tabs>
              <w:spacing w:line="360" w:lineRule="auto"/>
              <w:ind w:firstLine="480"/>
              <w:rPr>
                <w:b/>
                <w:bCs/>
                <w:sz w:val="24"/>
              </w:rPr>
            </w:pPr>
            <w:r>
              <w:rPr>
                <w:rFonts w:hint="eastAsia"/>
                <w:b/>
                <w:bCs/>
                <w:sz w:val="24"/>
              </w:rPr>
              <w:t>（2）</w:t>
            </w:r>
            <w:r>
              <w:rPr>
                <w:b/>
                <w:bCs/>
                <w:sz w:val="24"/>
              </w:rPr>
              <w:t>拟采取的治理措施及去向</w:t>
            </w:r>
          </w:p>
          <w:p>
            <w:pPr>
              <w:tabs>
                <w:tab w:val="left" w:pos="6832"/>
              </w:tabs>
              <w:spacing w:line="360" w:lineRule="auto"/>
              <w:ind w:firstLine="480"/>
              <w:rPr>
                <w:sz w:val="24"/>
              </w:rPr>
            </w:pPr>
            <w:r>
              <w:rPr>
                <w:sz w:val="24"/>
              </w:rPr>
              <w:t>结合本项目具体情况，本评价要求项目营运期采取的固废治理措施如下：</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生活垃圾：站区内设置垃圾收集桶</w:t>
            </w:r>
            <w:r>
              <w:rPr>
                <w:rFonts w:hint="eastAsia"/>
                <w:sz w:val="24"/>
              </w:rPr>
              <w:t>进行分类</w:t>
            </w:r>
            <w:r>
              <w:rPr>
                <w:sz w:val="24"/>
              </w:rPr>
              <w:t>收集，交由当地环卫部门定期清运</w:t>
            </w:r>
            <w:r>
              <w:rPr>
                <w:rFonts w:hint="eastAsia"/>
                <w:sz w:val="24"/>
              </w:rPr>
              <w:t>处置</w:t>
            </w:r>
            <w:r>
              <w:rPr>
                <w:sz w:val="24"/>
              </w:rPr>
              <w:t>。</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化粪</w:t>
            </w:r>
            <w:r>
              <w:rPr>
                <w:sz w:val="24"/>
              </w:rPr>
              <w:t>池及隔油池污泥：</w:t>
            </w:r>
            <w:r>
              <w:rPr>
                <w:rFonts w:hint="eastAsia"/>
                <w:sz w:val="24"/>
              </w:rPr>
              <w:t>委托环卫部门定期清掏处置</w:t>
            </w:r>
            <w:r>
              <w:rPr>
                <w:sz w:val="24"/>
              </w:rPr>
              <w:t>。</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清罐废水及废渣</w:t>
            </w:r>
            <w:r>
              <w:rPr>
                <w:rFonts w:hint="eastAsia"/>
                <w:sz w:val="24"/>
              </w:rPr>
              <w:t>（</w:t>
            </w:r>
            <w:r>
              <w:rPr>
                <w:sz w:val="24"/>
              </w:rPr>
              <w:t>HW08</w:t>
            </w:r>
            <w:r>
              <w:rPr>
                <w:rFonts w:hint="eastAsia"/>
                <w:sz w:val="24"/>
              </w:rPr>
              <w:t>）</w:t>
            </w:r>
            <w:r>
              <w:rPr>
                <w:sz w:val="24"/>
              </w:rPr>
              <w:t>：要求建设单位与专业的清罐公司签订清罐协议， 该加油加气站油罐到一定年限后</w:t>
            </w:r>
            <w:r>
              <w:rPr>
                <w:rFonts w:hint="eastAsia"/>
                <w:sz w:val="24"/>
              </w:rPr>
              <w:t>（</w:t>
            </w:r>
            <w:r>
              <w:rPr>
                <w:sz w:val="24"/>
              </w:rPr>
              <w:t>一般为3年</w:t>
            </w:r>
            <w:r>
              <w:rPr>
                <w:rFonts w:hint="eastAsia"/>
                <w:sz w:val="24"/>
              </w:rPr>
              <w:t>）</w:t>
            </w:r>
            <w:r>
              <w:rPr>
                <w:sz w:val="24"/>
              </w:rPr>
              <w:t>，委托其进行油罐的清洗，少量的清洗废水及废渣交由清洗单位回收处置。</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隔油池废油</w:t>
            </w:r>
            <w:r>
              <w:rPr>
                <w:rFonts w:hint="eastAsia"/>
                <w:sz w:val="24"/>
              </w:rPr>
              <w:t>（</w:t>
            </w:r>
            <w:r>
              <w:rPr>
                <w:sz w:val="24"/>
              </w:rPr>
              <w:t>HW08) ：隔油池应定期对池内浮油进行清掏回收，回收后的 废油由隔油池集油管排出，桶装收集后暂存于站内危废暂存间，定期交由有该类 危废处理资质的单位清运处置。</w:t>
            </w:r>
          </w:p>
          <w:p>
            <w:pPr>
              <w:tabs>
                <w:tab w:val="left" w:pos="6832"/>
              </w:tabs>
              <w:spacing w:line="360" w:lineRule="auto"/>
              <w:ind w:firstLine="480"/>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sz w:val="24"/>
              </w:rPr>
              <w:t>沾油废物</w:t>
            </w:r>
            <w:r>
              <w:rPr>
                <w:rFonts w:hint="eastAsia"/>
                <w:sz w:val="24"/>
              </w:rPr>
              <w:t>（</w:t>
            </w:r>
            <w:r>
              <w:rPr>
                <w:sz w:val="24"/>
              </w:rPr>
              <w:t>HW49</w:t>
            </w:r>
            <w:r>
              <w:rPr>
                <w:rFonts w:hint="eastAsia"/>
                <w:sz w:val="24"/>
              </w:rPr>
              <w:t>）</w:t>
            </w:r>
            <w:r>
              <w:rPr>
                <w:sz w:val="24"/>
              </w:rPr>
              <w:t>：根据《国家危险废物名录》该加油加气站营运期产生的</w:t>
            </w:r>
            <w:r>
              <w:rPr>
                <w:rFonts w:hint="eastAsia"/>
                <w:sz w:val="24"/>
              </w:rPr>
              <w:t>废</w:t>
            </w:r>
            <w:r>
              <w:rPr>
                <w:sz w:val="24"/>
              </w:rPr>
              <w:t>含油</w:t>
            </w:r>
            <w:r>
              <w:rPr>
                <w:rFonts w:hint="eastAsia"/>
                <w:sz w:val="24"/>
              </w:rPr>
              <w:t>棉纱</w:t>
            </w:r>
            <w:r>
              <w:rPr>
                <w:sz w:val="24"/>
              </w:rPr>
              <w:t>和</w:t>
            </w:r>
            <w:r>
              <w:rPr>
                <w:rFonts w:hint="eastAsia"/>
                <w:sz w:val="24"/>
              </w:rPr>
              <w:t>废含油手套</w:t>
            </w:r>
            <w:r>
              <w:rPr>
                <w:sz w:val="24"/>
              </w:rPr>
              <w:t>等沾油废物，属于HW49类危废</w:t>
            </w:r>
            <w:r>
              <w:rPr>
                <w:rFonts w:hint="eastAsia"/>
                <w:sz w:val="24"/>
              </w:rPr>
              <w:t>（</w:t>
            </w:r>
            <w:r>
              <w:rPr>
                <w:sz w:val="24"/>
              </w:rPr>
              <w:t>危废代码：900-041-49</w:t>
            </w:r>
            <w:r>
              <w:rPr>
                <w:rFonts w:hint="eastAsia"/>
                <w:sz w:val="24"/>
              </w:rPr>
              <w:t>）</w:t>
            </w:r>
            <w:r>
              <w:rPr>
                <w:sz w:val="24"/>
              </w:rPr>
              <w:t>，应将其收集后，暂存于危废暂存间内，定期交由有该类危废处理资质的单位清运处置。</w:t>
            </w:r>
          </w:p>
          <w:p>
            <w:pPr>
              <w:tabs>
                <w:tab w:val="left" w:pos="6832"/>
              </w:tabs>
              <w:spacing w:line="360" w:lineRule="auto"/>
              <w:ind w:firstLine="480"/>
              <w:rPr>
                <w:sz w:val="24"/>
              </w:rPr>
            </w:pPr>
            <w:r>
              <w:rPr>
                <w:sz w:val="24"/>
              </w:rPr>
              <w:t>同时，结合工程分析及项目特征，本评价要求，本项目严格按照《危险废物贮存污控制标准》要求设置危废暂存间1间，面积约2m</w:t>
            </w:r>
            <w:r>
              <w:rPr>
                <w:sz w:val="24"/>
                <w:vertAlign w:val="superscript"/>
              </w:rPr>
              <w:t>2</w:t>
            </w:r>
            <w:r>
              <w:rPr>
                <w:sz w:val="24"/>
              </w:rPr>
              <w:t>，建议设在站房中一专用房间内；该危废暂存间的设置应满足如下要求：</w:t>
            </w:r>
          </w:p>
          <w:p>
            <w:pPr>
              <w:tabs>
                <w:tab w:val="left" w:pos="6832"/>
              </w:tabs>
              <w:spacing w:line="360" w:lineRule="auto"/>
              <w:ind w:firstLine="480"/>
              <w:rPr>
                <w:sz w:val="24"/>
              </w:rPr>
            </w:pPr>
            <w:r>
              <w:rPr>
                <w:sz w:val="24"/>
              </w:rPr>
              <w:t>A</w:t>
            </w:r>
            <w:r>
              <w:rPr>
                <w:rFonts w:hint="eastAsia"/>
                <w:sz w:val="24"/>
              </w:rPr>
              <w:t>、</w:t>
            </w:r>
            <w:r>
              <w:rPr>
                <w:sz w:val="24"/>
              </w:rPr>
              <w:t>密闭设置，且应有隔离设施和防风、防晒、防雨设施，地面及1.0m高的 墙裙做好相应的防渗防漏处理，防渗层为</w:t>
            </w:r>
            <w:r>
              <w:rPr>
                <w:rFonts w:hint="eastAsia"/>
                <w:sz w:val="24"/>
              </w:rPr>
              <w:t>2m</w:t>
            </w:r>
            <w:r>
              <w:rPr>
                <w:sz w:val="24"/>
              </w:rPr>
              <w:t>m厚高密度聚乙烯，或至少2mm厚的其它人工材料，危废暂存间的渗透系数不大于1.0×10</w:t>
            </w:r>
            <w:r>
              <w:rPr>
                <w:sz w:val="24"/>
                <w:vertAlign w:val="superscript"/>
              </w:rPr>
              <w:t>-10</w:t>
            </w:r>
            <w:r>
              <w:rPr>
                <w:sz w:val="24"/>
              </w:rPr>
              <w:t>cm/s，暂存间设置明显 标识、标牌，分类暂存各危险固废；同时应及时、妥善清运危废，尽量减少危废临时贮存量；</w:t>
            </w:r>
          </w:p>
          <w:p>
            <w:pPr>
              <w:tabs>
                <w:tab w:val="left" w:pos="6832"/>
              </w:tabs>
              <w:spacing w:line="360" w:lineRule="auto"/>
              <w:ind w:firstLine="480"/>
              <w:rPr>
                <w:sz w:val="24"/>
              </w:rPr>
            </w:pPr>
            <w:r>
              <w:rPr>
                <w:sz w:val="24"/>
              </w:rPr>
              <w:t>B、采用专用桶装容器进行收集暂存，储存危废的</w:t>
            </w:r>
            <w:r>
              <w:rPr>
                <w:rFonts w:hint="eastAsia"/>
                <w:sz w:val="24"/>
              </w:rPr>
              <w:t>收集桶</w:t>
            </w:r>
            <w:r>
              <w:rPr>
                <w:sz w:val="24"/>
              </w:rPr>
              <w:t>质量应完整无损、无锈蚀、不泄漏，容器上必须粘贴符合标准的标签；</w:t>
            </w:r>
          </w:p>
          <w:p>
            <w:pPr>
              <w:tabs>
                <w:tab w:val="left" w:pos="6832"/>
              </w:tabs>
              <w:spacing w:line="360" w:lineRule="auto"/>
              <w:ind w:firstLine="480"/>
              <w:rPr>
                <w:sz w:val="24"/>
              </w:rPr>
            </w:pPr>
            <w:r>
              <w:rPr>
                <w:sz w:val="24"/>
              </w:rPr>
              <w:t>C、禁止使用带有易与汽油不兼容物质的包装桶储存加油加气站危险废物；一般废物储存场所和危险废弃物储存场所应保持5m以上距离；</w:t>
            </w:r>
          </w:p>
          <w:p>
            <w:pPr>
              <w:tabs>
                <w:tab w:val="left" w:pos="6832"/>
              </w:tabs>
              <w:spacing w:line="360" w:lineRule="auto"/>
              <w:ind w:firstLine="480"/>
              <w:rPr>
                <w:sz w:val="24"/>
              </w:rPr>
            </w:pPr>
            <w:r>
              <w:rPr>
                <w:sz w:val="24"/>
              </w:rPr>
              <w:t>D、项目建设单位须作好危险废物情况的记录及转运台账，记录上须注明危 险废物的名称、来源、数量、特性和包装容器的类别、入库日期、存放库位、废物出库日期及接收单位名称。</w:t>
            </w:r>
          </w:p>
          <w:p>
            <w:pPr>
              <w:tabs>
                <w:tab w:val="left" w:pos="6832"/>
              </w:tabs>
              <w:spacing w:line="360" w:lineRule="auto"/>
              <w:ind w:firstLine="480"/>
              <w:rPr>
                <w:sz w:val="24"/>
              </w:rPr>
            </w:pPr>
            <w:r>
              <w:rPr>
                <w:sz w:val="24"/>
              </w:rPr>
              <w:t>本项目固体废物产生及排放情况、危险废物特性及处置情况见表4-</w:t>
            </w:r>
            <w:r>
              <w:rPr>
                <w:rFonts w:hint="eastAsia"/>
                <w:sz w:val="24"/>
              </w:rPr>
              <w:t>12、表</w:t>
            </w:r>
            <w:r>
              <w:rPr>
                <w:sz w:val="24"/>
              </w:rPr>
              <w:t>4-</w:t>
            </w:r>
            <w:r>
              <w:rPr>
                <w:rFonts w:hint="eastAsia"/>
                <w:sz w:val="24"/>
              </w:rPr>
              <w:t>13</w:t>
            </w:r>
            <w:r>
              <w:rPr>
                <w:sz w:val="24"/>
              </w:rPr>
              <w:t>所示。</w:t>
            </w:r>
          </w:p>
          <w:p>
            <w:pPr>
              <w:jc w:val="center"/>
              <w:rPr>
                <w:b/>
                <w:bCs/>
                <w:kern w:val="0"/>
                <w:szCs w:val="21"/>
              </w:rPr>
            </w:pPr>
            <w:r>
              <w:rPr>
                <w:b/>
                <w:bCs/>
                <w:kern w:val="0"/>
                <w:szCs w:val="21"/>
              </w:rPr>
              <w:t>表4-1</w:t>
            </w:r>
            <w:r>
              <w:rPr>
                <w:rFonts w:hint="eastAsia"/>
                <w:b/>
                <w:bCs/>
                <w:kern w:val="0"/>
                <w:szCs w:val="21"/>
              </w:rPr>
              <w:t>2</w:t>
            </w:r>
            <w:r>
              <w:rPr>
                <w:b/>
                <w:bCs/>
                <w:kern w:val="0"/>
                <w:szCs w:val="21"/>
              </w:rPr>
              <w:t>本项目固体废物产生及排放情况一览表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109"/>
              <w:gridCol w:w="990"/>
              <w:gridCol w:w="885"/>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b/>
                      <w:bCs/>
                      <w:kern w:val="0"/>
                      <w:szCs w:val="21"/>
                    </w:rPr>
                  </w:pPr>
                  <w:r>
                    <w:rPr>
                      <w:b/>
                      <w:bCs/>
                      <w:kern w:val="0"/>
                      <w:szCs w:val="21"/>
                    </w:rPr>
                    <w:t>固体废弃物名称</w:t>
                  </w:r>
                </w:p>
              </w:tc>
              <w:tc>
                <w:tcPr>
                  <w:tcW w:w="661" w:type="pct"/>
                  <w:noWrap w:val="0"/>
                  <w:vAlign w:val="center"/>
                </w:tcPr>
                <w:p>
                  <w:pPr>
                    <w:jc w:val="center"/>
                    <w:rPr>
                      <w:b/>
                      <w:bCs/>
                      <w:kern w:val="0"/>
                      <w:szCs w:val="21"/>
                    </w:rPr>
                  </w:pPr>
                  <w:r>
                    <w:rPr>
                      <w:b/>
                      <w:bCs/>
                      <w:kern w:val="0"/>
                      <w:szCs w:val="21"/>
                    </w:rPr>
                    <w:t>产生环节</w:t>
                  </w:r>
                </w:p>
              </w:tc>
              <w:tc>
                <w:tcPr>
                  <w:tcW w:w="590" w:type="pct"/>
                  <w:noWrap w:val="0"/>
                  <w:vAlign w:val="center"/>
                </w:tcPr>
                <w:p>
                  <w:pPr>
                    <w:jc w:val="center"/>
                    <w:rPr>
                      <w:b/>
                      <w:bCs/>
                      <w:kern w:val="0"/>
                      <w:szCs w:val="21"/>
                    </w:rPr>
                  </w:pPr>
                  <w:r>
                    <w:rPr>
                      <w:b/>
                      <w:bCs/>
                      <w:kern w:val="0"/>
                      <w:szCs w:val="21"/>
                    </w:rPr>
                    <w:t>产生量（t/a）</w:t>
                  </w:r>
                </w:p>
              </w:tc>
              <w:tc>
                <w:tcPr>
                  <w:tcW w:w="527" w:type="pct"/>
                  <w:noWrap w:val="0"/>
                  <w:vAlign w:val="center"/>
                </w:tcPr>
                <w:p>
                  <w:pPr>
                    <w:jc w:val="center"/>
                    <w:rPr>
                      <w:b/>
                      <w:bCs/>
                      <w:kern w:val="0"/>
                      <w:szCs w:val="21"/>
                    </w:rPr>
                  </w:pPr>
                  <w:r>
                    <w:rPr>
                      <w:b/>
                      <w:bCs/>
                      <w:kern w:val="0"/>
                      <w:szCs w:val="21"/>
                    </w:rPr>
                    <w:t>废弃物性质</w:t>
                  </w:r>
                </w:p>
              </w:tc>
              <w:tc>
                <w:tcPr>
                  <w:tcW w:w="2201" w:type="pct"/>
                  <w:noWrap w:val="0"/>
                  <w:vAlign w:val="center"/>
                </w:tcPr>
                <w:p>
                  <w:pPr>
                    <w:jc w:val="center"/>
                    <w:rPr>
                      <w:b/>
                      <w:bCs/>
                      <w:kern w:val="0"/>
                      <w:szCs w:val="21"/>
                    </w:rPr>
                  </w:pPr>
                  <w:r>
                    <w:rPr>
                      <w:b/>
                      <w:bCs/>
                      <w:kern w:val="0"/>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rFonts w:hint="eastAsia"/>
                      <w:kern w:val="0"/>
                      <w:szCs w:val="21"/>
                    </w:rPr>
                  </w:pPr>
                  <w:r>
                    <w:rPr>
                      <w:rFonts w:hint="eastAsia"/>
                      <w:kern w:val="0"/>
                      <w:szCs w:val="21"/>
                    </w:rPr>
                    <w:t>生活垃圾</w:t>
                  </w:r>
                </w:p>
              </w:tc>
              <w:tc>
                <w:tcPr>
                  <w:tcW w:w="661" w:type="pct"/>
                  <w:noWrap w:val="0"/>
                  <w:vAlign w:val="center"/>
                </w:tcPr>
                <w:p>
                  <w:pPr>
                    <w:jc w:val="center"/>
                    <w:rPr>
                      <w:kern w:val="0"/>
                      <w:szCs w:val="21"/>
                    </w:rPr>
                  </w:pPr>
                  <w:r>
                    <w:rPr>
                      <w:rFonts w:hint="eastAsia"/>
                      <w:kern w:val="0"/>
                      <w:szCs w:val="21"/>
                    </w:rPr>
                    <w:t>人员生活</w:t>
                  </w:r>
                </w:p>
              </w:tc>
              <w:tc>
                <w:tcPr>
                  <w:tcW w:w="590" w:type="pct"/>
                  <w:noWrap w:val="0"/>
                  <w:vAlign w:val="center"/>
                </w:tcPr>
                <w:p>
                  <w:pPr>
                    <w:jc w:val="center"/>
                    <w:rPr>
                      <w:kern w:val="0"/>
                      <w:szCs w:val="21"/>
                    </w:rPr>
                  </w:pPr>
                  <w:r>
                    <w:rPr>
                      <w:rFonts w:hint="eastAsia"/>
                      <w:kern w:val="0"/>
                      <w:szCs w:val="21"/>
                    </w:rPr>
                    <w:t>12.775</w:t>
                  </w:r>
                </w:p>
              </w:tc>
              <w:tc>
                <w:tcPr>
                  <w:tcW w:w="527" w:type="pct"/>
                  <w:vMerge w:val="restart"/>
                  <w:noWrap w:val="0"/>
                  <w:vAlign w:val="center"/>
                </w:tcPr>
                <w:p>
                  <w:pPr>
                    <w:jc w:val="center"/>
                    <w:rPr>
                      <w:kern w:val="0"/>
                      <w:szCs w:val="21"/>
                    </w:rPr>
                  </w:pPr>
                  <w:r>
                    <w:rPr>
                      <w:kern w:val="0"/>
                      <w:szCs w:val="21"/>
                    </w:rPr>
                    <w:t>一般固废</w:t>
                  </w:r>
                </w:p>
              </w:tc>
              <w:tc>
                <w:tcPr>
                  <w:tcW w:w="2201" w:type="pct"/>
                  <w:noWrap w:val="0"/>
                  <w:vAlign w:val="center"/>
                </w:tcPr>
                <w:p>
                  <w:pPr>
                    <w:jc w:val="center"/>
                    <w:rPr>
                      <w:kern w:val="0"/>
                      <w:szCs w:val="21"/>
                    </w:rPr>
                  </w:pPr>
                  <w:r>
                    <w:rPr>
                      <w:rFonts w:hint="eastAsia"/>
                      <w:kern w:val="0"/>
                      <w:szCs w:val="21"/>
                    </w:rPr>
                    <w:t>设垃圾桶进行分类收集，</w:t>
                  </w:r>
                  <w:r>
                    <w:rPr>
                      <w:kern w:val="0"/>
                      <w:szCs w:val="21"/>
                    </w:rPr>
                    <w:t>交由当地环卫部门定期清运</w:t>
                  </w:r>
                  <w:r>
                    <w:rPr>
                      <w:rFonts w:hint="eastAsia"/>
                      <w:kern w:val="0"/>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rFonts w:hint="eastAsia"/>
                      <w:kern w:val="0"/>
                      <w:szCs w:val="21"/>
                    </w:rPr>
                  </w:pPr>
                  <w:r>
                    <w:rPr>
                      <w:rFonts w:hint="eastAsia"/>
                      <w:kern w:val="0"/>
                      <w:szCs w:val="21"/>
                    </w:rPr>
                    <w:t>化粪池及隔油池污泥</w:t>
                  </w:r>
                </w:p>
              </w:tc>
              <w:tc>
                <w:tcPr>
                  <w:tcW w:w="661" w:type="pct"/>
                  <w:noWrap w:val="0"/>
                  <w:vAlign w:val="center"/>
                </w:tcPr>
                <w:p>
                  <w:pPr>
                    <w:jc w:val="center"/>
                    <w:rPr>
                      <w:kern w:val="0"/>
                      <w:szCs w:val="21"/>
                    </w:rPr>
                  </w:pPr>
                  <w:r>
                    <w:rPr>
                      <w:rFonts w:hint="eastAsia"/>
                      <w:kern w:val="0"/>
                      <w:szCs w:val="21"/>
                    </w:rPr>
                    <w:t>废水沉淀处理</w:t>
                  </w:r>
                </w:p>
              </w:tc>
              <w:tc>
                <w:tcPr>
                  <w:tcW w:w="590" w:type="pct"/>
                  <w:noWrap w:val="0"/>
                  <w:vAlign w:val="center"/>
                </w:tcPr>
                <w:p>
                  <w:pPr>
                    <w:jc w:val="center"/>
                    <w:rPr>
                      <w:rFonts w:hint="eastAsia"/>
                      <w:kern w:val="0"/>
                      <w:szCs w:val="21"/>
                    </w:rPr>
                  </w:pPr>
                  <w:r>
                    <w:rPr>
                      <w:rFonts w:hint="eastAsia"/>
                      <w:kern w:val="0"/>
                      <w:szCs w:val="21"/>
                    </w:rPr>
                    <w:t>1.5</w:t>
                  </w:r>
                </w:p>
              </w:tc>
              <w:tc>
                <w:tcPr>
                  <w:tcW w:w="527" w:type="pct"/>
                  <w:vMerge w:val="continue"/>
                  <w:noWrap w:val="0"/>
                  <w:vAlign w:val="center"/>
                </w:tcPr>
                <w:p>
                  <w:pPr>
                    <w:jc w:val="center"/>
                    <w:rPr>
                      <w:kern w:val="0"/>
                      <w:szCs w:val="21"/>
                    </w:rPr>
                  </w:pPr>
                </w:p>
              </w:tc>
              <w:tc>
                <w:tcPr>
                  <w:tcW w:w="2201" w:type="pct"/>
                  <w:noWrap w:val="0"/>
                  <w:vAlign w:val="center"/>
                </w:tcPr>
                <w:p>
                  <w:pPr>
                    <w:jc w:val="center"/>
                    <w:rPr>
                      <w:rFonts w:hint="eastAsia"/>
                      <w:kern w:val="0"/>
                      <w:szCs w:val="21"/>
                    </w:rPr>
                  </w:pPr>
                  <w:r>
                    <w:rPr>
                      <w:rFonts w:hint="eastAsia"/>
                      <w:kern w:val="0"/>
                      <w:szCs w:val="21"/>
                    </w:rPr>
                    <w:t>委托环卫部门定期清掏处置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rFonts w:hint="eastAsia"/>
                      <w:kern w:val="0"/>
                      <w:szCs w:val="21"/>
                    </w:rPr>
                  </w:pPr>
                  <w:r>
                    <w:rPr>
                      <w:rFonts w:hint="eastAsia"/>
                      <w:kern w:val="0"/>
                      <w:szCs w:val="21"/>
                    </w:rPr>
                    <w:t>隔油池废油</w:t>
                  </w:r>
                </w:p>
              </w:tc>
              <w:tc>
                <w:tcPr>
                  <w:tcW w:w="661" w:type="pct"/>
                  <w:noWrap w:val="0"/>
                  <w:vAlign w:val="center"/>
                </w:tcPr>
                <w:p>
                  <w:pPr>
                    <w:jc w:val="center"/>
                    <w:rPr>
                      <w:rFonts w:hint="eastAsia"/>
                      <w:kern w:val="0"/>
                      <w:szCs w:val="21"/>
                    </w:rPr>
                  </w:pPr>
                  <w:r>
                    <w:rPr>
                      <w:rFonts w:hint="eastAsia"/>
                      <w:kern w:val="0"/>
                      <w:szCs w:val="21"/>
                    </w:rPr>
                    <w:t>生产废水隔油处理</w:t>
                  </w:r>
                </w:p>
              </w:tc>
              <w:tc>
                <w:tcPr>
                  <w:tcW w:w="590" w:type="pct"/>
                  <w:noWrap w:val="0"/>
                  <w:vAlign w:val="center"/>
                </w:tcPr>
                <w:p>
                  <w:pPr>
                    <w:jc w:val="center"/>
                    <w:rPr>
                      <w:rFonts w:hint="eastAsia"/>
                      <w:kern w:val="0"/>
                      <w:szCs w:val="21"/>
                    </w:rPr>
                  </w:pPr>
                  <w:r>
                    <w:rPr>
                      <w:rFonts w:hint="eastAsia"/>
                      <w:kern w:val="0"/>
                      <w:szCs w:val="21"/>
                    </w:rPr>
                    <w:t>0.02</w:t>
                  </w:r>
                </w:p>
              </w:tc>
              <w:tc>
                <w:tcPr>
                  <w:tcW w:w="527" w:type="pct"/>
                  <w:vMerge w:val="restart"/>
                  <w:noWrap w:val="0"/>
                  <w:vAlign w:val="center"/>
                </w:tcPr>
                <w:p>
                  <w:pPr>
                    <w:jc w:val="center"/>
                    <w:rPr>
                      <w:kern w:val="0"/>
                      <w:szCs w:val="21"/>
                    </w:rPr>
                  </w:pPr>
                  <w:r>
                    <w:rPr>
                      <w:rFonts w:hint="eastAsia"/>
                      <w:kern w:val="0"/>
                      <w:szCs w:val="21"/>
                    </w:rPr>
                    <w:t>危险废物</w:t>
                  </w:r>
                </w:p>
              </w:tc>
              <w:tc>
                <w:tcPr>
                  <w:tcW w:w="2201" w:type="pct"/>
                  <w:noWrap w:val="0"/>
                  <w:vAlign w:val="center"/>
                </w:tcPr>
                <w:p>
                  <w:pPr>
                    <w:jc w:val="center"/>
                    <w:rPr>
                      <w:rFonts w:hint="eastAsia"/>
                      <w:kern w:val="0"/>
                      <w:szCs w:val="21"/>
                    </w:rPr>
                  </w:pPr>
                  <w:r>
                    <w:rPr>
                      <w:rFonts w:hint="eastAsia"/>
                      <w:kern w:val="0"/>
                      <w:szCs w:val="21"/>
                    </w:rPr>
                    <w:t>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kern w:val="0"/>
                      <w:szCs w:val="21"/>
                    </w:rPr>
                  </w:pPr>
                  <w:r>
                    <w:rPr>
                      <w:kern w:val="0"/>
                      <w:szCs w:val="21"/>
                    </w:rPr>
                    <w:t>清罐废水及废渣</w:t>
                  </w:r>
                </w:p>
              </w:tc>
              <w:tc>
                <w:tcPr>
                  <w:tcW w:w="661" w:type="pct"/>
                  <w:noWrap w:val="0"/>
                  <w:vAlign w:val="center"/>
                </w:tcPr>
                <w:p>
                  <w:pPr>
                    <w:jc w:val="center"/>
                    <w:rPr>
                      <w:kern w:val="0"/>
                      <w:szCs w:val="21"/>
                    </w:rPr>
                  </w:pPr>
                  <w:r>
                    <w:rPr>
                      <w:rFonts w:hint="eastAsia"/>
                      <w:kern w:val="0"/>
                      <w:szCs w:val="21"/>
                    </w:rPr>
                    <w:t>油罐清洗</w:t>
                  </w:r>
                </w:p>
              </w:tc>
              <w:tc>
                <w:tcPr>
                  <w:tcW w:w="590" w:type="pct"/>
                  <w:noWrap w:val="0"/>
                  <w:vAlign w:val="center"/>
                </w:tcPr>
                <w:p>
                  <w:pPr>
                    <w:jc w:val="center"/>
                    <w:rPr>
                      <w:kern w:val="0"/>
                      <w:szCs w:val="21"/>
                    </w:rPr>
                  </w:pPr>
                  <w:r>
                    <w:rPr>
                      <w:rFonts w:hint="eastAsia"/>
                      <w:kern w:val="0"/>
                      <w:szCs w:val="21"/>
                    </w:rPr>
                    <w:t>0.3</w:t>
                  </w:r>
                </w:p>
              </w:tc>
              <w:tc>
                <w:tcPr>
                  <w:tcW w:w="527" w:type="pct"/>
                  <w:vMerge w:val="continue"/>
                  <w:noWrap w:val="0"/>
                  <w:vAlign w:val="center"/>
                </w:tcPr>
                <w:p>
                  <w:pPr>
                    <w:jc w:val="center"/>
                    <w:rPr>
                      <w:kern w:val="0"/>
                      <w:szCs w:val="21"/>
                    </w:rPr>
                  </w:pPr>
                </w:p>
              </w:tc>
              <w:tc>
                <w:tcPr>
                  <w:tcW w:w="2201" w:type="pct"/>
                  <w:noWrap w:val="0"/>
                  <w:vAlign w:val="center"/>
                </w:tcPr>
                <w:p>
                  <w:pPr>
                    <w:spacing w:before="32" w:line="228" w:lineRule="auto"/>
                    <w:ind w:left="156"/>
                    <w:jc w:val="center"/>
                    <w:rPr>
                      <w:kern w:val="0"/>
                      <w:szCs w:val="21"/>
                    </w:rPr>
                  </w:pPr>
                  <w:r>
                    <w:rPr>
                      <w:kern w:val="0"/>
                      <w:szCs w:val="21"/>
                    </w:rPr>
                    <w:t>交由专业的清罐公司</w:t>
                  </w:r>
                  <w:r>
                    <w:rPr>
                      <w:rFonts w:hint="eastAsia"/>
                      <w:kern w:val="0"/>
                      <w:szCs w:val="21"/>
                    </w:rPr>
                    <w:t>一并处置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pct"/>
                  <w:noWrap w:val="0"/>
                  <w:vAlign w:val="center"/>
                </w:tcPr>
                <w:p>
                  <w:pPr>
                    <w:jc w:val="center"/>
                    <w:rPr>
                      <w:kern w:val="0"/>
                      <w:szCs w:val="21"/>
                    </w:rPr>
                  </w:pPr>
                  <w:r>
                    <w:rPr>
                      <w:kern w:val="0"/>
                      <w:szCs w:val="21"/>
                    </w:rPr>
                    <w:t>沾油废物</w:t>
                  </w:r>
                </w:p>
              </w:tc>
              <w:tc>
                <w:tcPr>
                  <w:tcW w:w="661" w:type="pct"/>
                  <w:noWrap w:val="0"/>
                  <w:vAlign w:val="center"/>
                </w:tcPr>
                <w:p>
                  <w:pPr>
                    <w:jc w:val="center"/>
                    <w:rPr>
                      <w:kern w:val="0"/>
                      <w:szCs w:val="21"/>
                    </w:rPr>
                  </w:pPr>
                  <w:r>
                    <w:rPr>
                      <w:rFonts w:hint="eastAsia"/>
                      <w:kern w:val="0"/>
                      <w:szCs w:val="21"/>
                    </w:rPr>
                    <w:t>日常检修</w:t>
                  </w:r>
                </w:p>
              </w:tc>
              <w:tc>
                <w:tcPr>
                  <w:tcW w:w="590" w:type="pct"/>
                  <w:noWrap w:val="0"/>
                  <w:vAlign w:val="center"/>
                </w:tcPr>
                <w:p>
                  <w:pPr>
                    <w:jc w:val="center"/>
                    <w:rPr>
                      <w:kern w:val="0"/>
                      <w:szCs w:val="21"/>
                    </w:rPr>
                  </w:pPr>
                  <w:r>
                    <w:rPr>
                      <w:rFonts w:hint="eastAsia"/>
                      <w:kern w:val="0"/>
                      <w:szCs w:val="21"/>
                    </w:rPr>
                    <w:t>0.05</w:t>
                  </w:r>
                </w:p>
              </w:tc>
              <w:tc>
                <w:tcPr>
                  <w:tcW w:w="527" w:type="pct"/>
                  <w:vMerge w:val="continue"/>
                  <w:noWrap w:val="0"/>
                  <w:vAlign w:val="center"/>
                </w:tcPr>
                <w:p>
                  <w:pPr>
                    <w:jc w:val="center"/>
                    <w:rPr>
                      <w:kern w:val="0"/>
                      <w:szCs w:val="21"/>
                    </w:rPr>
                  </w:pPr>
                </w:p>
              </w:tc>
              <w:tc>
                <w:tcPr>
                  <w:tcW w:w="2201" w:type="pct"/>
                  <w:noWrap w:val="0"/>
                  <w:vAlign w:val="center"/>
                </w:tcPr>
                <w:p>
                  <w:pPr>
                    <w:jc w:val="center"/>
                    <w:rPr>
                      <w:kern w:val="0"/>
                      <w:szCs w:val="21"/>
                    </w:rPr>
                  </w:pPr>
                  <w:r>
                    <w:rPr>
                      <w:rFonts w:hint="eastAsia"/>
                      <w:kern w:val="0"/>
                      <w:szCs w:val="21"/>
                    </w:rPr>
                    <w:t>委托有资质的单位处理</w:t>
                  </w:r>
                </w:p>
              </w:tc>
            </w:tr>
          </w:tbl>
          <w:p>
            <w:pPr>
              <w:jc w:val="center"/>
              <w:rPr>
                <w:b/>
                <w:bCs/>
                <w:kern w:val="0"/>
                <w:szCs w:val="21"/>
              </w:rPr>
            </w:pPr>
            <w:r>
              <w:rPr>
                <w:b/>
                <w:bCs/>
                <w:kern w:val="0"/>
                <w:szCs w:val="21"/>
              </w:rPr>
              <w:t>表4-1</w:t>
            </w:r>
            <w:r>
              <w:rPr>
                <w:rFonts w:hint="eastAsia"/>
                <w:b/>
                <w:bCs/>
                <w:kern w:val="0"/>
                <w:szCs w:val="21"/>
              </w:rPr>
              <w:t>3</w:t>
            </w:r>
            <w:r>
              <w:rPr>
                <w:b/>
                <w:bCs/>
                <w:kern w:val="0"/>
                <w:szCs w:val="21"/>
              </w:rPr>
              <w:t xml:space="preserve"> 项目危险废物特性及处置情况一览表</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11"/>
              <w:gridCol w:w="1323"/>
              <w:gridCol w:w="728"/>
              <w:gridCol w:w="675"/>
              <w:gridCol w:w="675"/>
              <w:gridCol w:w="728"/>
              <w:gridCol w:w="675"/>
              <w:gridCol w:w="678"/>
              <w:gridCol w:w="708"/>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jc w:val="center"/>
                    <w:rPr>
                      <w:b/>
                      <w:bCs/>
                      <w:kern w:val="0"/>
                      <w:szCs w:val="21"/>
                    </w:rPr>
                  </w:pPr>
                  <w:r>
                    <w:rPr>
                      <w:b/>
                      <w:bCs/>
                      <w:kern w:val="0"/>
                      <w:szCs w:val="21"/>
                    </w:rPr>
                    <w:t>危险废物名称</w:t>
                  </w:r>
                </w:p>
              </w:tc>
              <w:tc>
                <w:tcPr>
                  <w:tcW w:w="483" w:type="pct"/>
                  <w:noWrap w:val="0"/>
                  <w:vAlign w:val="center"/>
                </w:tcPr>
                <w:p>
                  <w:pPr>
                    <w:jc w:val="center"/>
                    <w:rPr>
                      <w:b/>
                      <w:bCs/>
                      <w:kern w:val="0"/>
                      <w:szCs w:val="21"/>
                    </w:rPr>
                  </w:pPr>
                  <w:r>
                    <w:rPr>
                      <w:b/>
                      <w:bCs/>
                      <w:kern w:val="0"/>
                      <w:szCs w:val="21"/>
                    </w:rPr>
                    <w:t>危险废物类别</w:t>
                  </w:r>
                </w:p>
              </w:tc>
              <w:tc>
                <w:tcPr>
                  <w:tcW w:w="788" w:type="pct"/>
                  <w:noWrap w:val="0"/>
                  <w:vAlign w:val="center"/>
                </w:tcPr>
                <w:p>
                  <w:pPr>
                    <w:jc w:val="center"/>
                    <w:rPr>
                      <w:b/>
                      <w:bCs/>
                      <w:kern w:val="0"/>
                      <w:szCs w:val="21"/>
                    </w:rPr>
                  </w:pPr>
                  <w:r>
                    <w:rPr>
                      <w:b/>
                      <w:bCs/>
                      <w:kern w:val="0"/>
                      <w:szCs w:val="21"/>
                    </w:rPr>
                    <w:t>危险废物代码</w:t>
                  </w:r>
                </w:p>
              </w:tc>
              <w:tc>
                <w:tcPr>
                  <w:tcW w:w="434" w:type="pct"/>
                  <w:noWrap w:val="0"/>
                  <w:vAlign w:val="center"/>
                </w:tcPr>
                <w:p>
                  <w:pPr>
                    <w:jc w:val="center"/>
                    <w:rPr>
                      <w:b/>
                      <w:bCs/>
                      <w:kern w:val="0"/>
                      <w:szCs w:val="21"/>
                    </w:rPr>
                  </w:pPr>
                  <w:r>
                    <w:rPr>
                      <w:b/>
                      <w:bCs/>
                      <w:kern w:val="0"/>
                      <w:szCs w:val="21"/>
                    </w:rPr>
                    <w:t>产生量</w:t>
                  </w:r>
                </w:p>
              </w:tc>
              <w:tc>
                <w:tcPr>
                  <w:tcW w:w="402" w:type="pct"/>
                  <w:noWrap w:val="0"/>
                  <w:vAlign w:val="center"/>
                </w:tcPr>
                <w:p>
                  <w:pPr>
                    <w:jc w:val="center"/>
                    <w:rPr>
                      <w:b/>
                      <w:bCs/>
                      <w:kern w:val="0"/>
                      <w:szCs w:val="21"/>
                    </w:rPr>
                  </w:pPr>
                  <w:r>
                    <w:rPr>
                      <w:b/>
                      <w:bCs/>
                      <w:kern w:val="0"/>
                      <w:szCs w:val="21"/>
                    </w:rPr>
                    <w:t>产生工序及装置</w:t>
                  </w:r>
                </w:p>
              </w:tc>
              <w:tc>
                <w:tcPr>
                  <w:tcW w:w="402" w:type="pct"/>
                  <w:noWrap w:val="0"/>
                  <w:vAlign w:val="center"/>
                </w:tcPr>
                <w:p>
                  <w:pPr>
                    <w:jc w:val="center"/>
                    <w:rPr>
                      <w:b/>
                      <w:bCs/>
                      <w:kern w:val="0"/>
                      <w:szCs w:val="21"/>
                    </w:rPr>
                  </w:pPr>
                  <w:r>
                    <w:rPr>
                      <w:b/>
                      <w:bCs/>
                      <w:kern w:val="0"/>
                      <w:szCs w:val="21"/>
                    </w:rPr>
                    <w:t>形态</w:t>
                  </w:r>
                </w:p>
              </w:tc>
              <w:tc>
                <w:tcPr>
                  <w:tcW w:w="434" w:type="pct"/>
                  <w:noWrap w:val="0"/>
                  <w:vAlign w:val="center"/>
                </w:tcPr>
                <w:p>
                  <w:pPr>
                    <w:jc w:val="center"/>
                    <w:rPr>
                      <w:b/>
                      <w:bCs/>
                      <w:kern w:val="0"/>
                      <w:szCs w:val="21"/>
                    </w:rPr>
                  </w:pPr>
                  <w:r>
                    <w:rPr>
                      <w:b/>
                      <w:bCs/>
                      <w:kern w:val="0"/>
                      <w:szCs w:val="21"/>
                    </w:rPr>
                    <w:t>主要成分</w:t>
                  </w:r>
                </w:p>
              </w:tc>
              <w:tc>
                <w:tcPr>
                  <w:tcW w:w="402" w:type="pct"/>
                  <w:noWrap w:val="0"/>
                  <w:vAlign w:val="center"/>
                </w:tcPr>
                <w:p>
                  <w:pPr>
                    <w:jc w:val="center"/>
                    <w:rPr>
                      <w:b/>
                      <w:bCs/>
                      <w:kern w:val="0"/>
                      <w:szCs w:val="21"/>
                    </w:rPr>
                  </w:pPr>
                  <w:r>
                    <w:rPr>
                      <w:b/>
                      <w:bCs/>
                      <w:kern w:val="0"/>
                      <w:szCs w:val="21"/>
                    </w:rPr>
                    <w:t>产废周期</w:t>
                  </w:r>
                </w:p>
              </w:tc>
              <w:tc>
                <w:tcPr>
                  <w:tcW w:w="404" w:type="pct"/>
                  <w:noWrap w:val="0"/>
                  <w:vAlign w:val="center"/>
                </w:tcPr>
                <w:p>
                  <w:pPr>
                    <w:jc w:val="center"/>
                    <w:rPr>
                      <w:b/>
                      <w:bCs/>
                      <w:kern w:val="0"/>
                      <w:szCs w:val="21"/>
                    </w:rPr>
                  </w:pPr>
                  <w:r>
                    <w:rPr>
                      <w:b/>
                      <w:bCs/>
                      <w:kern w:val="0"/>
                      <w:szCs w:val="21"/>
                    </w:rPr>
                    <w:t>危险特性</w:t>
                  </w:r>
                </w:p>
              </w:tc>
              <w:tc>
                <w:tcPr>
                  <w:tcW w:w="422" w:type="pct"/>
                  <w:noWrap w:val="0"/>
                  <w:vAlign w:val="center"/>
                </w:tcPr>
                <w:p>
                  <w:pPr>
                    <w:jc w:val="center"/>
                    <w:rPr>
                      <w:b/>
                      <w:bCs/>
                      <w:kern w:val="0"/>
                      <w:szCs w:val="21"/>
                    </w:rPr>
                  </w:pPr>
                  <w:r>
                    <w:rPr>
                      <w:b/>
                      <w:bCs/>
                      <w:kern w:val="0"/>
                      <w:szCs w:val="21"/>
                    </w:rPr>
                    <w:t>贮存方式</w:t>
                  </w:r>
                </w:p>
              </w:tc>
              <w:tc>
                <w:tcPr>
                  <w:tcW w:w="427" w:type="pct"/>
                  <w:noWrap w:val="0"/>
                  <w:vAlign w:val="center"/>
                </w:tcPr>
                <w:p>
                  <w:pPr>
                    <w:jc w:val="center"/>
                    <w:rPr>
                      <w:b/>
                      <w:bCs/>
                      <w:kern w:val="0"/>
                      <w:szCs w:val="21"/>
                    </w:rPr>
                  </w:pPr>
                  <w:r>
                    <w:rPr>
                      <w:b/>
                      <w:bCs/>
                      <w:kern w:val="0"/>
                      <w:szCs w:val="21"/>
                    </w:rPr>
                    <w:t>处置及去向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jc w:val="center"/>
                    <w:rPr>
                      <w:kern w:val="0"/>
                      <w:szCs w:val="21"/>
                    </w:rPr>
                  </w:pPr>
                  <w:r>
                    <w:rPr>
                      <w:rFonts w:hint="eastAsia"/>
                      <w:kern w:val="0"/>
                      <w:szCs w:val="21"/>
                    </w:rPr>
                    <w:t>隔油池废油</w:t>
                  </w:r>
                </w:p>
              </w:tc>
              <w:tc>
                <w:tcPr>
                  <w:tcW w:w="483" w:type="pct"/>
                  <w:noWrap w:val="0"/>
                  <w:vAlign w:val="center"/>
                </w:tcPr>
                <w:p>
                  <w:pPr>
                    <w:jc w:val="center"/>
                    <w:rPr>
                      <w:kern w:val="0"/>
                      <w:szCs w:val="21"/>
                    </w:rPr>
                  </w:pPr>
                  <w:r>
                    <w:rPr>
                      <w:kern w:val="0"/>
                      <w:szCs w:val="21"/>
                    </w:rPr>
                    <w:t>HW</w:t>
                  </w:r>
                  <w:r>
                    <w:rPr>
                      <w:rFonts w:hint="eastAsia"/>
                      <w:kern w:val="0"/>
                      <w:szCs w:val="21"/>
                    </w:rPr>
                    <w:t>08</w:t>
                  </w:r>
                </w:p>
              </w:tc>
              <w:tc>
                <w:tcPr>
                  <w:tcW w:w="788" w:type="pct"/>
                  <w:noWrap w:val="0"/>
                  <w:vAlign w:val="center"/>
                </w:tcPr>
                <w:p>
                  <w:pPr>
                    <w:pStyle w:val="40"/>
                    <w:jc w:val="center"/>
                    <w:rPr>
                      <w:rFonts w:ascii="Times New Roman" w:hAnsi="Times New Roman"/>
                      <w:sz w:val="21"/>
                    </w:rPr>
                  </w:pPr>
                  <w:r>
                    <w:rPr>
                      <w:rFonts w:ascii="Times New Roman" w:hAnsi="Times New Roman"/>
                      <w:sz w:val="21"/>
                    </w:rPr>
                    <w:t>900-210-08</w:t>
                  </w:r>
                </w:p>
              </w:tc>
              <w:tc>
                <w:tcPr>
                  <w:tcW w:w="434" w:type="pct"/>
                  <w:noWrap w:val="0"/>
                  <w:vAlign w:val="center"/>
                </w:tcPr>
                <w:p>
                  <w:pPr>
                    <w:pStyle w:val="40"/>
                    <w:jc w:val="center"/>
                    <w:rPr>
                      <w:rFonts w:ascii="Times New Roman" w:hAnsi="Times New Roman"/>
                      <w:sz w:val="21"/>
                    </w:rPr>
                  </w:pPr>
                  <w:r>
                    <w:rPr>
                      <w:rFonts w:ascii="Times New Roman" w:hAnsi="Times New Roman"/>
                      <w:sz w:val="21"/>
                    </w:rPr>
                    <w:t>0.0</w:t>
                  </w:r>
                  <w:r>
                    <w:rPr>
                      <w:rFonts w:hint="eastAsia" w:ascii="Times New Roman" w:hAnsi="Times New Roman"/>
                      <w:sz w:val="21"/>
                    </w:rPr>
                    <w:t>2</w:t>
                  </w:r>
                </w:p>
              </w:tc>
              <w:tc>
                <w:tcPr>
                  <w:tcW w:w="402" w:type="pct"/>
                  <w:noWrap w:val="0"/>
                  <w:vAlign w:val="center"/>
                </w:tcPr>
                <w:p>
                  <w:pPr>
                    <w:pStyle w:val="40"/>
                    <w:jc w:val="center"/>
                    <w:rPr>
                      <w:rFonts w:ascii="Times New Roman" w:hAnsi="Times New Roman"/>
                      <w:sz w:val="21"/>
                    </w:rPr>
                  </w:pPr>
                  <w:r>
                    <w:rPr>
                      <w:rFonts w:hint="eastAsia"/>
                    </w:rPr>
                    <w:t>隔油池</w:t>
                  </w:r>
                </w:p>
              </w:tc>
              <w:tc>
                <w:tcPr>
                  <w:tcW w:w="402" w:type="pct"/>
                  <w:noWrap w:val="0"/>
                  <w:vAlign w:val="center"/>
                </w:tcPr>
                <w:p>
                  <w:pPr>
                    <w:jc w:val="center"/>
                    <w:rPr>
                      <w:kern w:val="0"/>
                      <w:szCs w:val="21"/>
                    </w:rPr>
                  </w:pPr>
                  <w:r>
                    <w:rPr>
                      <w:kern w:val="0"/>
                      <w:szCs w:val="21"/>
                    </w:rPr>
                    <w:t>固</w:t>
                  </w:r>
                </w:p>
              </w:tc>
              <w:tc>
                <w:tcPr>
                  <w:tcW w:w="434" w:type="pct"/>
                  <w:noWrap w:val="0"/>
                  <w:vAlign w:val="center"/>
                </w:tcPr>
                <w:p>
                  <w:pPr>
                    <w:jc w:val="center"/>
                    <w:rPr>
                      <w:kern w:val="0"/>
                      <w:szCs w:val="21"/>
                    </w:rPr>
                  </w:pPr>
                  <w:r>
                    <w:rPr>
                      <w:rFonts w:hint="eastAsia"/>
                      <w:kern w:val="0"/>
                      <w:szCs w:val="21"/>
                    </w:rPr>
                    <w:t>汽柴油</w:t>
                  </w:r>
                </w:p>
              </w:tc>
              <w:tc>
                <w:tcPr>
                  <w:tcW w:w="402" w:type="pct"/>
                  <w:noWrap w:val="0"/>
                  <w:vAlign w:val="center"/>
                </w:tcPr>
                <w:p>
                  <w:pPr>
                    <w:jc w:val="center"/>
                    <w:rPr>
                      <w:kern w:val="0"/>
                      <w:szCs w:val="21"/>
                    </w:rPr>
                  </w:pPr>
                  <w:r>
                    <w:rPr>
                      <w:rFonts w:hint="eastAsia"/>
                      <w:kern w:val="0"/>
                      <w:szCs w:val="21"/>
                    </w:rPr>
                    <w:t>1月</w:t>
                  </w:r>
                </w:p>
              </w:tc>
              <w:tc>
                <w:tcPr>
                  <w:tcW w:w="404" w:type="pct"/>
                  <w:noWrap w:val="0"/>
                  <w:vAlign w:val="center"/>
                </w:tcPr>
                <w:p>
                  <w:pPr>
                    <w:jc w:val="center"/>
                    <w:rPr>
                      <w:kern w:val="0"/>
                      <w:szCs w:val="21"/>
                    </w:rPr>
                  </w:pPr>
                  <w:r>
                    <w:rPr>
                      <w:kern w:val="0"/>
                      <w:szCs w:val="21"/>
                    </w:rPr>
                    <w:t>T</w:t>
                  </w:r>
                  <w:r>
                    <w:rPr>
                      <w:rFonts w:hint="eastAsia"/>
                      <w:kern w:val="0"/>
                      <w:szCs w:val="21"/>
                    </w:rPr>
                    <w:t>/I</w:t>
                  </w:r>
                </w:p>
              </w:tc>
              <w:tc>
                <w:tcPr>
                  <w:tcW w:w="422" w:type="pct"/>
                  <w:noWrap w:val="0"/>
                  <w:vAlign w:val="center"/>
                </w:tcPr>
                <w:p>
                  <w:pPr>
                    <w:jc w:val="center"/>
                    <w:rPr>
                      <w:kern w:val="0"/>
                      <w:szCs w:val="21"/>
                    </w:rPr>
                  </w:pPr>
                  <w:r>
                    <w:rPr>
                      <w:kern w:val="0"/>
                      <w:szCs w:val="21"/>
                    </w:rPr>
                    <w:t>桶装密封</w:t>
                  </w:r>
                </w:p>
              </w:tc>
              <w:tc>
                <w:tcPr>
                  <w:tcW w:w="427" w:type="pct"/>
                  <w:vMerge w:val="restart"/>
                  <w:noWrap w:val="0"/>
                  <w:vAlign w:val="center"/>
                </w:tcPr>
                <w:p>
                  <w:pPr>
                    <w:jc w:val="center"/>
                    <w:rPr>
                      <w:kern w:val="0"/>
                      <w:szCs w:val="21"/>
                    </w:rPr>
                  </w:pPr>
                  <w:r>
                    <w:rPr>
                      <w:rFonts w:hint="eastAsia"/>
                      <w:kern w:val="0"/>
                      <w:szCs w:val="21"/>
                    </w:rPr>
                    <w:t>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pStyle w:val="40"/>
                    <w:rPr>
                      <w:rFonts w:ascii="Times New Roman" w:hAnsi="Times New Roman"/>
                      <w:sz w:val="21"/>
                    </w:rPr>
                  </w:pPr>
                  <w:r>
                    <w:rPr>
                      <w:rFonts w:ascii="Times New Roman" w:hAnsi="Times New Roman"/>
                      <w:sz w:val="21"/>
                    </w:rPr>
                    <w:t>清罐废水及废渣</w:t>
                  </w:r>
                </w:p>
              </w:tc>
              <w:tc>
                <w:tcPr>
                  <w:tcW w:w="483" w:type="pct"/>
                  <w:noWrap w:val="0"/>
                  <w:vAlign w:val="center"/>
                </w:tcPr>
                <w:p>
                  <w:pPr>
                    <w:pStyle w:val="40"/>
                    <w:rPr>
                      <w:rFonts w:ascii="Times New Roman" w:hAnsi="Times New Roman"/>
                      <w:sz w:val="21"/>
                    </w:rPr>
                  </w:pPr>
                  <w:r>
                    <w:rPr>
                      <w:rFonts w:ascii="Times New Roman" w:hAnsi="Times New Roman"/>
                      <w:sz w:val="21"/>
                    </w:rPr>
                    <w:t>HW</w:t>
                  </w:r>
                  <w:r>
                    <w:rPr>
                      <w:rFonts w:hint="eastAsia" w:ascii="Times New Roman" w:hAnsi="Times New Roman"/>
                      <w:sz w:val="21"/>
                    </w:rPr>
                    <w:t>08</w:t>
                  </w:r>
                </w:p>
              </w:tc>
              <w:tc>
                <w:tcPr>
                  <w:tcW w:w="788" w:type="pct"/>
                  <w:noWrap w:val="0"/>
                  <w:vAlign w:val="center"/>
                </w:tcPr>
                <w:p>
                  <w:pPr>
                    <w:pStyle w:val="40"/>
                    <w:jc w:val="center"/>
                    <w:rPr>
                      <w:rFonts w:ascii="Times New Roman" w:hAnsi="Times New Roman"/>
                      <w:sz w:val="21"/>
                    </w:rPr>
                  </w:pPr>
                  <w:r>
                    <w:rPr>
                      <w:rFonts w:ascii="Times New Roman" w:hAnsi="Times New Roman"/>
                      <w:sz w:val="21"/>
                    </w:rPr>
                    <w:t>251-001-08</w:t>
                  </w:r>
                </w:p>
              </w:tc>
              <w:tc>
                <w:tcPr>
                  <w:tcW w:w="434" w:type="pct"/>
                  <w:noWrap w:val="0"/>
                  <w:vAlign w:val="center"/>
                </w:tcPr>
                <w:p>
                  <w:pPr>
                    <w:pStyle w:val="40"/>
                    <w:jc w:val="center"/>
                    <w:rPr>
                      <w:rFonts w:ascii="Times New Roman" w:hAnsi="Times New Roman"/>
                      <w:sz w:val="21"/>
                    </w:rPr>
                  </w:pPr>
                  <w:r>
                    <w:rPr>
                      <w:rFonts w:hint="eastAsia" w:ascii="Times New Roman" w:hAnsi="Times New Roman"/>
                      <w:sz w:val="21"/>
                    </w:rPr>
                    <w:t>0.3</w:t>
                  </w:r>
                </w:p>
              </w:tc>
              <w:tc>
                <w:tcPr>
                  <w:tcW w:w="402" w:type="pct"/>
                  <w:noWrap w:val="0"/>
                  <w:vAlign w:val="center"/>
                </w:tcPr>
                <w:p>
                  <w:pPr>
                    <w:pStyle w:val="40"/>
                    <w:jc w:val="center"/>
                    <w:rPr>
                      <w:rFonts w:ascii="Times New Roman" w:hAnsi="Times New Roman"/>
                      <w:sz w:val="21"/>
                    </w:rPr>
                  </w:pPr>
                  <w:r>
                    <w:rPr>
                      <w:rFonts w:hint="eastAsia"/>
                    </w:rPr>
                    <w:t>油罐清洗</w:t>
                  </w:r>
                </w:p>
              </w:tc>
              <w:tc>
                <w:tcPr>
                  <w:tcW w:w="402" w:type="pct"/>
                  <w:noWrap w:val="0"/>
                  <w:vAlign w:val="center"/>
                </w:tcPr>
                <w:p>
                  <w:pPr>
                    <w:pStyle w:val="40"/>
                    <w:jc w:val="center"/>
                    <w:rPr>
                      <w:rFonts w:ascii="Times New Roman" w:hAnsi="Times New Roman"/>
                      <w:sz w:val="21"/>
                    </w:rPr>
                  </w:pPr>
                  <w:r>
                    <w:rPr>
                      <w:rFonts w:ascii="Times New Roman" w:hAnsi="Times New Roman"/>
                      <w:sz w:val="21"/>
                    </w:rPr>
                    <w:t>液</w:t>
                  </w:r>
                </w:p>
              </w:tc>
              <w:tc>
                <w:tcPr>
                  <w:tcW w:w="434" w:type="pct"/>
                  <w:noWrap w:val="0"/>
                  <w:vAlign w:val="center"/>
                </w:tcPr>
                <w:p>
                  <w:pPr>
                    <w:pStyle w:val="40"/>
                    <w:rPr>
                      <w:rFonts w:ascii="Times New Roman" w:hAnsi="Times New Roman"/>
                      <w:sz w:val="21"/>
                    </w:rPr>
                  </w:pPr>
                  <w:r>
                    <w:rPr>
                      <w:rFonts w:hint="eastAsia" w:ascii="Times New Roman" w:hAnsi="Times New Roman"/>
                      <w:sz w:val="21"/>
                    </w:rPr>
                    <w:t>汽柴油</w:t>
                  </w:r>
                </w:p>
              </w:tc>
              <w:tc>
                <w:tcPr>
                  <w:tcW w:w="402" w:type="pct"/>
                  <w:noWrap w:val="0"/>
                  <w:vAlign w:val="center"/>
                </w:tcPr>
                <w:p>
                  <w:pPr>
                    <w:pStyle w:val="40"/>
                    <w:rPr>
                      <w:rFonts w:ascii="Times New Roman" w:hAnsi="Times New Roman"/>
                      <w:sz w:val="21"/>
                    </w:rPr>
                  </w:pPr>
                  <w:r>
                    <w:rPr>
                      <w:rFonts w:hint="eastAsia" w:ascii="Times New Roman" w:hAnsi="Times New Roman"/>
                      <w:sz w:val="21"/>
                    </w:rPr>
                    <w:t>3</w:t>
                  </w:r>
                  <w:r>
                    <w:rPr>
                      <w:rFonts w:ascii="Times New Roman" w:hAnsi="Times New Roman"/>
                      <w:sz w:val="21"/>
                    </w:rPr>
                    <w:t>年</w:t>
                  </w:r>
                </w:p>
              </w:tc>
              <w:tc>
                <w:tcPr>
                  <w:tcW w:w="404" w:type="pct"/>
                  <w:noWrap w:val="0"/>
                  <w:vAlign w:val="center"/>
                </w:tcPr>
                <w:p>
                  <w:pPr>
                    <w:pStyle w:val="40"/>
                    <w:jc w:val="center"/>
                    <w:rPr>
                      <w:rFonts w:ascii="Times New Roman" w:hAnsi="Times New Roman"/>
                      <w:sz w:val="21"/>
                    </w:rPr>
                  </w:pPr>
                  <w:r>
                    <w:rPr>
                      <w:rFonts w:ascii="Times New Roman" w:hAnsi="Times New Roman"/>
                      <w:sz w:val="21"/>
                    </w:rPr>
                    <w:t>T</w:t>
                  </w:r>
                </w:p>
              </w:tc>
              <w:tc>
                <w:tcPr>
                  <w:tcW w:w="422" w:type="pct"/>
                  <w:noWrap w:val="0"/>
                  <w:vAlign w:val="center"/>
                </w:tcPr>
                <w:p>
                  <w:pPr>
                    <w:pStyle w:val="40"/>
                    <w:jc w:val="center"/>
                    <w:rPr>
                      <w:rFonts w:ascii="Times New Roman" w:hAnsi="Times New Roman"/>
                      <w:sz w:val="21"/>
                    </w:rPr>
                  </w:pPr>
                  <w:r>
                    <w:rPr>
                      <w:rFonts w:ascii="Times New Roman" w:hAnsi="Times New Roman"/>
                      <w:sz w:val="21"/>
                    </w:rPr>
                    <w:t>桶装密封</w:t>
                  </w:r>
                </w:p>
              </w:tc>
              <w:tc>
                <w:tcPr>
                  <w:tcW w:w="427" w:type="pct"/>
                  <w:vMerge w:val="continue"/>
                  <w:noWrap w:val="0"/>
                  <w:vAlign w:val="center"/>
                </w:tcPr>
                <w:p>
                  <w:pPr>
                    <w:pStyle w:val="40"/>
                    <w:rPr>
                      <w:rFonts w:ascii="Times New Roman" w:hAnsi="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pStyle w:val="40"/>
                    <w:rPr>
                      <w:rFonts w:ascii="Times New Roman" w:hAnsi="Times New Roman"/>
                      <w:sz w:val="21"/>
                    </w:rPr>
                  </w:pPr>
                  <w:r>
                    <w:rPr>
                      <w:rFonts w:ascii="Times New Roman" w:hAnsi="Times New Roman"/>
                      <w:sz w:val="21"/>
                    </w:rPr>
                    <w:t>沾油废物</w:t>
                  </w:r>
                </w:p>
              </w:tc>
              <w:tc>
                <w:tcPr>
                  <w:tcW w:w="483" w:type="pct"/>
                  <w:noWrap w:val="0"/>
                  <w:vAlign w:val="center"/>
                </w:tcPr>
                <w:p>
                  <w:pPr>
                    <w:pStyle w:val="40"/>
                    <w:rPr>
                      <w:rFonts w:ascii="Times New Roman" w:hAnsi="Times New Roman"/>
                      <w:sz w:val="21"/>
                    </w:rPr>
                  </w:pPr>
                  <w:r>
                    <w:rPr>
                      <w:rFonts w:ascii="Times New Roman" w:hAnsi="Times New Roman"/>
                      <w:sz w:val="21"/>
                    </w:rPr>
                    <w:t xml:space="preserve">HW49 </w:t>
                  </w:r>
                </w:p>
              </w:tc>
              <w:tc>
                <w:tcPr>
                  <w:tcW w:w="788" w:type="pct"/>
                  <w:noWrap w:val="0"/>
                  <w:vAlign w:val="center"/>
                </w:tcPr>
                <w:p>
                  <w:pPr>
                    <w:pStyle w:val="40"/>
                    <w:jc w:val="center"/>
                    <w:rPr>
                      <w:rFonts w:ascii="Times New Roman" w:hAnsi="Times New Roman"/>
                      <w:sz w:val="21"/>
                    </w:rPr>
                  </w:pPr>
                  <w:r>
                    <w:rPr>
                      <w:rFonts w:ascii="Times New Roman" w:hAnsi="Times New Roman"/>
                      <w:sz w:val="21"/>
                    </w:rPr>
                    <w:t>900-041-49</w:t>
                  </w:r>
                </w:p>
              </w:tc>
              <w:tc>
                <w:tcPr>
                  <w:tcW w:w="434" w:type="pct"/>
                  <w:noWrap w:val="0"/>
                  <w:vAlign w:val="center"/>
                </w:tcPr>
                <w:p>
                  <w:pPr>
                    <w:pStyle w:val="40"/>
                    <w:jc w:val="center"/>
                    <w:rPr>
                      <w:rFonts w:ascii="Times New Roman" w:hAnsi="Times New Roman"/>
                      <w:sz w:val="21"/>
                    </w:rPr>
                  </w:pPr>
                  <w:r>
                    <w:rPr>
                      <w:rFonts w:hint="eastAsia" w:ascii="Times New Roman" w:hAnsi="Times New Roman"/>
                      <w:sz w:val="21"/>
                    </w:rPr>
                    <w:t>0.05</w:t>
                  </w:r>
                </w:p>
              </w:tc>
              <w:tc>
                <w:tcPr>
                  <w:tcW w:w="402" w:type="pct"/>
                  <w:noWrap w:val="0"/>
                  <w:vAlign w:val="center"/>
                </w:tcPr>
                <w:p>
                  <w:pPr>
                    <w:pStyle w:val="40"/>
                    <w:jc w:val="center"/>
                    <w:rPr>
                      <w:rFonts w:ascii="Times New Roman" w:hAnsi="Times New Roman"/>
                      <w:sz w:val="21"/>
                    </w:rPr>
                  </w:pPr>
                  <w:r>
                    <w:rPr>
                      <w:rFonts w:hint="eastAsia"/>
                    </w:rPr>
                    <w:t>日常检修</w:t>
                  </w:r>
                </w:p>
              </w:tc>
              <w:tc>
                <w:tcPr>
                  <w:tcW w:w="402" w:type="pct"/>
                  <w:noWrap w:val="0"/>
                  <w:vAlign w:val="center"/>
                </w:tcPr>
                <w:p>
                  <w:pPr>
                    <w:pStyle w:val="40"/>
                    <w:jc w:val="center"/>
                    <w:rPr>
                      <w:rFonts w:ascii="Times New Roman" w:hAnsi="Times New Roman"/>
                      <w:sz w:val="21"/>
                    </w:rPr>
                  </w:pPr>
                  <w:r>
                    <w:t>固</w:t>
                  </w:r>
                </w:p>
              </w:tc>
              <w:tc>
                <w:tcPr>
                  <w:tcW w:w="434" w:type="pct"/>
                  <w:noWrap w:val="0"/>
                  <w:vAlign w:val="center"/>
                </w:tcPr>
                <w:p>
                  <w:pPr>
                    <w:pStyle w:val="40"/>
                    <w:rPr>
                      <w:rFonts w:ascii="Times New Roman" w:hAnsi="Times New Roman"/>
                      <w:sz w:val="21"/>
                    </w:rPr>
                  </w:pPr>
                  <w:r>
                    <w:rPr>
                      <w:rFonts w:hint="eastAsia" w:ascii="Times New Roman" w:hAnsi="Times New Roman"/>
                      <w:sz w:val="21"/>
                    </w:rPr>
                    <w:t>棉麻织物</w:t>
                  </w:r>
                </w:p>
              </w:tc>
              <w:tc>
                <w:tcPr>
                  <w:tcW w:w="402" w:type="pct"/>
                  <w:noWrap w:val="0"/>
                  <w:vAlign w:val="center"/>
                </w:tcPr>
                <w:p>
                  <w:pPr>
                    <w:pStyle w:val="40"/>
                    <w:rPr>
                      <w:rFonts w:ascii="Times New Roman" w:hAnsi="Times New Roman"/>
                      <w:sz w:val="21"/>
                    </w:rPr>
                  </w:pPr>
                  <w:r>
                    <w:rPr>
                      <w:rFonts w:hint="eastAsia" w:ascii="Times New Roman" w:hAnsi="Times New Roman"/>
                      <w:sz w:val="21"/>
                    </w:rPr>
                    <w:t>1月</w:t>
                  </w:r>
                </w:p>
              </w:tc>
              <w:tc>
                <w:tcPr>
                  <w:tcW w:w="404" w:type="pct"/>
                  <w:noWrap w:val="0"/>
                  <w:vAlign w:val="center"/>
                </w:tcPr>
                <w:p>
                  <w:pPr>
                    <w:pStyle w:val="40"/>
                    <w:jc w:val="center"/>
                    <w:rPr>
                      <w:rFonts w:ascii="Times New Roman" w:hAnsi="Times New Roman"/>
                      <w:sz w:val="21"/>
                    </w:rPr>
                  </w:pPr>
                  <w:r>
                    <w:rPr>
                      <w:rFonts w:ascii="Times New Roman" w:hAnsi="Times New Roman"/>
                      <w:sz w:val="21"/>
                    </w:rPr>
                    <w:t>T/In</w:t>
                  </w:r>
                </w:p>
              </w:tc>
              <w:tc>
                <w:tcPr>
                  <w:tcW w:w="422" w:type="pct"/>
                  <w:noWrap w:val="0"/>
                  <w:vAlign w:val="center"/>
                </w:tcPr>
                <w:p>
                  <w:pPr>
                    <w:pStyle w:val="40"/>
                    <w:jc w:val="center"/>
                    <w:rPr>
                      <w:rFonts w:ascii="Times New Roman" w:hAnsi="Times New Roman"/>
                      <w:sz w:val="21"/>
                    </w:rPr>
                  </w:pPr>
                  <w:r>
                    <w:rPr>
                      <w:rFonts w:ascii="Times New Roman" w:hAnsi="Times New Roman"/>
                      <w:sz w:val="21"/>
                    </w:rPr>
                    <w:t>桶装密封</w:t>
                  </w:r>
                </w:p>
              </w:tc>
              <w:tc>
                <w:tcPr>
                  <w:tcW w:w="427" w:type="pct"/>
                  <w:vMerge w:val="continue"/>
                  <w:noWrap w:val="0"/>
                  <w:vAlign w:val="center"/>
                </w:tcPr>
                <w:p>
                  <w:pPr>
                    <w:pStyle w:val="40"/>
                    <w:rPr>
                      <w:rFonts w:ascii="Times New Roman" w:hAnsi="Times New Roman"/>
                      <w:sz w:val="21"/>
                    </w:rPr>
                  </w:pPr>
                </w:p>
              </w:tc>
            </w:tr>
          </w:tbl>
          <w:p>
            <w:pPr>
              <w:tabs>
                <w:tab w:val="left" w:pos="6832"/>
              </w:tabs>
              <w:spacing w:line="360" w:lineRule="auto"/>
              <w:ind w:firstLine="480"/>
              <w:rPr>
                <w:b/>
                <w:bCs/>
                <w:sz w:val="24"/>
              </w:rPr>
            </w:pPr>
            <w:r>
              <w:rPr>
                <w:rFonts w:hint="eastAsia"/>
                <w:b/>
                <w:bCs/>
                <w:sz w:val="24"/>
              </w:rPr>
              <w:t>（3）环境管理要求</w:t>
            </w:r>
          </w:p>
          <w:p>
            <w:pPr>
              <w:tabs>
                <w:tab w:val="left" w:pos="6832"/>
              </w:tabs>
              <w:spacing w:line="360" w:lineRule="auto"/>
              <w:ind w:firstLine="480"/>
              <w:rPr>
                <w:sz w:val="24"/>
              </w:rPr>
            </w:pPr>
            <w:r>
              <w:rPr>
                <w:sz w:val="24"/>
              </w:rPr>
              <w:t>1）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tabs>
                <w:tab w:val="left" w:pos="6832"/>
              </w:tabs>
              <w:spacing w:line="360" w:lineRule="auto"/>
              <w:ind w:firstLine="480"/>
              <w:rPr>
                <w:sz w:val="24"/>
              </w:rPr>
            </w:pPr>
            <w:r>
              <w:rPr>
                <w:rFonts w:hint="eastAsia"/>
                <w:sz w:val="24"/>
              </w:rPr>
              <w:t>2</w:t>
            </w:r>
            <w:r>
              <w:rPr>
                <w:sz w:val="24"/>
              </w:rPr>
              <w:t>）管理台账：建设单位必须单独建立危险废物管理台账，记录危废产生量、暂存量、处置量等。危险废物的转运必须按照《危险废物转移管理办法》实施，并委托具有危险废物处置资质的单位进行处理，并签订委托处置合同，不得擅自倾倒、堆放危险废物。在进行环保竣工验收时，建设单位必须提供与危废处置单位双方签订的回收处置协议。</w:t>
            </w:r>
          </w:p>
          <w:p>
            <w:pPr>
              <w:tabs>
                <w:tab w:val="left" w:pos="6832"/>
              </w:tabs>
              <w:spacing w:line="360" w:lineRule="auto"/>
              <w:ind w:firstLine="480"/>
              <w:rPr>
                <w:rFonts w:hint="eastAsia"/>
                <w:sz w:val="24"/>
              </w:rPr>
            </w:pPr>
            <w:r>
              <w:rPr>
                <w:rFonts w:hint="eastAsia"/>
                <w:sz w:val="24"/>
              </w:rPr>
              <w:t>（4）固体废物处理措施的可行性分析</w:t>
            </w:r>
          </w:p>
          <w:p>
            <w:pPr>
              <w:tabs>
                <w:tab w:val="left" w:pos="6832"/>
              </w:tabs>
              <w:spacing w:line="360" w:lineRule="auto"/>
              <w:ind w:firstLine="480"/>
              <w:rPr>
                <w:sz w:val="24"/>
              </w:rPr>
            </w:pPr>
            <w:r>
              <w:rPr>
                <w:sz w:val="24"/>
              </w:rPr>
              <w:t>本项目固体废物处理处置符合国家《中华人民共和国固体废物污染环境防治法》规定的原则，符合《一般工业固体废物贮存和填埋污染控制标准》（GB18599-2020）和《危险废物贮存污染控制标准》（GB18597-2023）规定，采取上述措施后，本项目固体废物可得妥善地处理，对周围环境造成的影响很小，其处理措施技术可行、经济合理。</w:t>
            </w:r>
          </w:p>
          <w:p>
            <w:pPr>
              <w:pStyle w:val="325"/>
              <w:numPr>
                <w:ilvl w:val="2"/>
                <w:numId w:val="0"/>
              </w:numPr>
              <w:rPr>
                <w:sz w:val="24"/>
              </w:rPr>
            </w:pPr>
            <w:bookmarkStart w:id="20" w:name="_Toc535187678"/>
            <w:r>
              <w:rPr>
                <w:sz w:val="24"/>
              </w:rPr>
              <w:t>五、地下水、土壤污染防治措施</w:t>
            </w:r>
            <w:bookmarkEnd w:id="20"/>
          </w:p>
          <w:p>
            <w:pPr>
              <w:spacing w:line="360" w:lineRule="auto"/>
              <w:ind w:firstLine="482" w:firstLineChars="200"/>
              <w:rPr>
                <w:b/>
                <w:sz w:val="24"/>
              </w:rPr>
            </w:pPr>
            <w:r>
              <w:rPr>
                <w:b/>
                <w:sz w:val="24"/>
              </w:rPr>
              <w:t>（1）污染源及污染途径识别</w:t>
            </w:r>
          </w:p>
          <w:p>
            <w:pPr>
              <w:spacing w:line="360" w:lineRule="auto"/>
              <w:ind w:firstLine="480" w:firstLineChars="200"/>
              <w:rPr>
                <w:rFonts w:hint="eastAsia"/>
                <w:sz w:val="24"/>
              </w:rPr>
            </w:pPr>
            <w:r>
              <w:rPr>
                <w:sz w:val="24"/>
              </w:rPr>
              <w:t>本项目的汽油、柴油储罐均位于地下，储油罐和输油管线若出现泄漏或渗漏，污染物可能垂直下渗，对地下水水质和周边土壤造成一定影响。另外降雨或废水排放等情况，污染物通过地表径流进入到土壤和地下水，对土壤和地下水造成污染。</w:t>
            </w:r>
          </w:p>
          <w:p>
            <w:pPr>
              <w:spacing w:line="360" w:lineRule="auto"/>
              <w:ind w:firstLine="480" w:firstLineChars="200"/>
              <w:rPr>
                <w:sz w:val="24"/>
              </w:rPr>
            </w:pPr>
            <w:r>
              <w:rPr>
                <w:sz w:val="24"/>
              </w:rPr>
              <w:t>进入到土壤的污染物在物理、化学和生物作用下经吸附、转化、迁移和分解后输入地下水</w:t>
            </w:r>
            <w:r>
              <w:rPr>
                <w:rFonts w:hint="eastAsia"/>
                <w:sz w:val="24"/>
              </w:rPr>
              <w:t>，</w:t>
            </w:r>
            <w:r>
              <w:rPr>
                <w:sz w:val="24"/>
              </w:rPr>
              <w:t>将</w:t>
            </w:r>
            <w:r>
              <w:rPr>
                <w:rFonts w:hint="eastAsia"/>
                <w:sz w:val="24"/>
              </w:rPr>
              <w:t>进一步</w:t>
            </w:r>
            <w:r>
              <w:rPr>
                <w:sz w:val="24"/>
              </w:rPr>
              <w:t>对土壤和地下水造成污染，土壤和地下水一旦遭到燃料油的污染，将产生严重异味，并具有较强的致畸致癌性。因此本项目的污染源主要为汽油、柴油罐、输油管线等的泄漏，隔油池、危废暂存间、柴油发电机等污染物的渗漏。</w:t>
            </w:r>
          </w:p>
          <w:p>
            <w:pPr>
              <w:spacing w:line="360" w:lineRule="auto"/>
              <w:ind w:firstLine="482" w:firstLineChars="200"/>
              <w:rPr>
                <w:b/>
                <w:sz w:val="24"/>
              </w:rPr>
            </w:pPr>
            <w:r>
              <w:rPr>
                <w:b/>
                <w:sz w:val="24"/>
              </w:rPr>
              <w:t>（2）污染防治措施</w:t>
            </w:r>
          </w:p>
          <w:p>
            <w:pPr>
              <w:spacing w:line="360" w:lineRule="auto"/>
              <w:ind w:firstLine="480" w:firstLineChars="200"/>
              <w:rPr>
                <w:sz w:val="24"/>
              </w:rPr>
            </w:pPr>
            <w:r>
              <w:rPr>
                <w:sz w:val="24"/>
              </w:rPr>
              <w:t>本项目地下水</w:t>
            </w:r>
            <w:r>
              <w:rPr>
                <w:rFonts w:hint="eastAsia"/>
                <w:sz w:val="24"/>
              </w:rPr>
              <w:t>、土壤</w:t>
            </w:r>
            <w:r>
              <w:rPr>
                <w:sz w:val="24"/>
              </w:rPr>
              <w:t>污染预防措施按照“源头控制、分区控制、污染监控、应急响应”的主动与被动防渗相结合的防渗原则。在做好防止和减少“跑、冒、滴、漏”等源头防污措施的基础上，</w:t>
            </w:r>
            <w:r>
              <w:rPr>
                <w:rFonts w:hint="eastAsia"/>
                <w:sz w:val="24"/>
              </w:rPr>
              <w:t>按简单防渗区、</w:t>
            </w:r>
            <w:r>
              <w:rPr>
                <w:sz w:val="24"/>
              </w:rPr>
              <w:t>一般防渗区及重点防渗区进行分区防渗。</w:t>
            </w:r>
          </w:p>
          <w:p>
            <w:pPr>
              <w:spacing w:line="360" w:lineRule="auto"/>
              <w:ind w:firstLine="480" w:firstLineChars="200"/>
              <w:rPr>
                <w:bCs/>
                <w:sz w:val="24"/>
              </w:rPr>
            </w:pPr>
            <w:r>
              <w:rPr>
                <w:bCs/>
                <w:sz w:val="24"/>
              </w:rPr>
              <w:t>本项目拟采取的防治措施如下：</w:t>
            </w:r>
          </w:p>
          <w:p>
            <w:pPr>
              <w:numPr>
                <w:ilvl w:val="0"/>
                <w:numId w:val="11"/>
              </w:numPr>
              <w:spacing w:line="360" w:lineRule="auto"/>
              <w:rPr>
                <w:bCs/>
                <w:sz w:val="24"/>
              </w:rPr>
            </w:pPr>
            <w:r>
              <w:rPr>
                <w:bCs/>
                <w:sz w:val="24"/>
              </w:rPr>
              <w:t>源头控制措施</w:t>
            </w:r>
          </w:p>
          <w:p>
            <w:pPr>
              <w:spacing w:line="360" w:lineRule="auto"/>
              <w:ind w:firstLine="480" w:firstLineChars="200"/>
              <w:rPr>
                <w:bCs/>
                <w:sz w:val="24"/>
              </w:rPr>
            </w:pPr>
            <w:r>
              <w:rPr>
                <w:bCs/>
                <w:sz w:val="24"/>
              </w:rPr>
              <w:t>项目应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主要采取的措施为：油罐罐体防渗，输油管线防渗，油罐设置动态监测装置</w:t>
            </w:r>
            <w:r>
              <w:rPr>
                <w:rFonts w:hint="eastAsia"/>
                <w:bCs/>
                <w:sz w:val="24"/>
              </w:rPr>
              <w:t>（</w:t>
            </w:r>
            <w:r>
              <w:rPr>
                <w:bCs/>
                <w:sz w:val="24"/>
              </w:rPr>
              <w:t>动态监测仪+液位计模式</w:t>
            </w:r>
            <w:r>
              <w:rPr>
                <w:rFonts w:hint="eastAsia"/>
                <w:bCs/>
                <w:sz w:val="24"/>
              </w:rPr>
              <w:t>），</w:t>
            </w:r>
            <w:r>
              <w:rPr>
                <w:bCs/>
                <w:sz w:val="24"/>
              </w:rPr>
              <w:t xml:space="preserve">对油罐进行实时监测，并设高液位报警装置，防止油罐溢油。 </w:t>
            </w:r>
          </w:p>
          <w:p>
            <w:pPr>
              <w:numPr>
                <w:ilvl w:val="0"/>
                <w:numId w:val="11"/>
              </w:numPr>
              <w:spacing w:line="360" w:lineRule="auto"/>
              <w:rPr>
                <w:bCs/>
                <w:sz w:val="24"/>
              </w:rPr>
            </w:pPr>
            <w:r>
              <w:rPr>
                <w:bCs/>
                <w:sz w:val="24"/>
              </w:rPr>
              <w:t>分区防渗</w:t>
            </w:r>
          </w:p>
          <w:p>
            <w:pPr>
              <w:spacing w:line="360" w:lineRule="auto"/>
              <w:ind w:firstLine="480" w:firstLineChars="200"/>
              <w:rPr>
                <w:bCs/>
                <w:sz w:val="24"/>
              </w:rPr>
            </w:pPr>
            <w:r>
              <w:rPr>
                <w:bCs/>
                <w:sz w:val="24"/>
              </w:rPr>
              <w:t>为了避免项目营运对区域地下水及土壤环境的影响，项目制定了</w:t>
            </w:r>
            <w:r>
              <w:rPr>
                <w:rFonts w:hint="eastAsia"/>
                <w:bCs/>
                <w:sz w:val="24"/>
              </w:rPr>
              <w:t>场区</w:t>
            </w:r>
            <w:r>
              <w:rPr>
                <w:bCs/>
                <w:sz w:val="24"/>
              </w:rPr>
              <w:t>污染防治方案，针对不同区域进行防渗设计、采取合理的防渗措施。环评要求将</w:t>
            </w:r>
            <w:r>
              <w:rPr>
                <w:rFonts w:hint="eastAsia"/>
                <w:bCs/>
                <w:sz w:val="24"/>
              </w:rPr>
              <w:t>场区</w:t>
            </w:r>
            <w:r>
              <w:rPr>
                <w:bCs/>
                <w:sz w:val="24"/>
              </w:rPr>
              <w:t>分为重点防渗区、一般防渗区、简单防渗区等三个等级区域。</w:t>
            </w:r>
          </w:p>
          <w:p>
            <w:pPr>
              <w:spacing w:line="360" w:lineRule="auto"/>
              <w:ind w:firstLine="480" w:firstLineChars="200"/>
              <w:rPr>
                <w:bCs/>
                <w:sz w:val="24"/>
              </w:rPr>
            </w:pPr>
            <w:r>
              <w:rPr>
                <w:bCs/>
                <w:sz w:val="24"/>
              </w:rPr>
              <w:t>重点防渗区：</w:t>
            </w:r>
            <w:r>
              <w:rPr>
                <w:rFonts w:hint="eastAsia"/>
                <w:bCs/>
                <w:sz w:val="24"/>
              </w:rPr>
              <w:t>油罐区、加油管道、柴油发电机房、危废暂存间。</w:t>
            </w:r>
          </w:p>
          <w:p>
            <w:pPr>
              <w:spacing w:line="360" w:lineRule="auto"/>
              <w:ind w:firstLine="480" w:firstLineChars="200"/>
              <w:rPr>
                <w:bCs/>
                <w:sz w:val="24"/>
              </w:rPr>
            </w:pPr>
            <w:r>
              <w:rPr>
                <w:bCs/>
                <w:sz w:val="24"/>
              </w:rPr>
              <w:t>一般防渗区：</w:t>
            </w:r>
            <w:r>
              <w:rPr>
                <w:rFonts w:hint="eastAsia"/>
                <w:bCs/>
                <w:sz w:val="24"/>
              </w:rPr>
              <w:t>加油区、洗车区、化粪池、隔油池</w:t>
            </w:r>
            <w:r>
              <w:rPr>
                <w:bCs/>
                <w:sz w:val="24"/>
              </w:rPr>
              <w:t>。</w:t>
            </w:r>
          </w:p>
          <w:p>
            <w:pPr>
              <w:spacing w:line="360" w:lineRule="auto"/>
              <w:ind w:firstLine="480" w:firstLineChars="200"/>
              <w:rPr>
                <w:bCs/>
                <w:sz w:val="24"/>
              </w:rPr>
            </w:pPr>
            <w:r>
              <w:rPr>
                <w:bCs/>
                <w:sz w:val="24"/>
              </w:rPr>
              <w:t>简单防渗区：</w:t>
            </w:r>
            <w:r>
              <w:rPr>
                <w:rFonts w:hint="eastAsia"/>
                <w:bCs/>
                <w:sz w:val="24"/>
              </w:rPr>
              <w:t>场区站房及站内道路地面等除绿化带以外的其他区域</w:t>
            </w:r>
            <w:r>
              <w:rPr>
                <w:bCs/>
                <w:sz w:val="24"/>
              </w:rPr>
              <w:t>。</w:t>
            </w:r>
          </w:p>
          <w:p>
            <w:pPr>
              <w:spacing w:line="360" w:lineRule="auto"/>
              <w:ind w:firstLine="482" w:firstLineChars="200"/>
              <w:rPr>
                <w:b/>
                <w:sz w:val="24"/>
              </w:rPr>
            </w:pPr>
            <w:r>
              <w:rPr>
                <w:b/>
                <w:sz w:val="24"/>
              </w:rPr>
              <w:t>重点防渗区防渗措施：</w:t>
            </w:r>
          </w:p>
          <w:p>
            <w:pPr>
              <w:spacing w:line="360" w:lineRule="auto"/>
              <w:ind w:firstLine="480" w:firstLineChars="200"/>
              <w:rPr>
                <w:bCs/>
                <w:sz w:val="24"/>
              </w:rPr>
            </w:pPr>
            <w:r>
              <w:rPr>
                <w:rFonts w:hint="eastAsia"/>
                <w:bCs/>
                <w:sz w:val="24"/>
              </w:rPr>
              <w:t>1）</w:t>
            </w:r>
            <w:r>
              <w:rPr>
                <w:bCs/>
                <w:sz w:val="24"/>
              </w:rPr>
              <w:t>油罐罐体防渗、油罐罐池防渗、输油管线防渗及站场地面防渗必须按《汽车加油加气站设计与施工规范》中的要求进行设计和施工。本项目采用卧式双层油罐，由内外2层玻璃钢纤维增强塑料组成，储罐具有均匀夹层空间配备相通泄漏检测仪。油罐双层结构，内有</w:t>
            </w:r>
            <w:r>
              <w:rPr>
                <w:rFonts w:hint="eastAsia"/>
                <w:bCs/>
                <w:sz w:val="24"/>
              </w:rPr>
              <w:t>0.1</w:t>
            </w:r>
            <w:r>
              <w:rPr>
                <w:bCs/>
                <w:sz w:val="24"/>
              </w:rPr>
              <w:t>mm的空隙，外层FRP玻璃钢保证了泄漏物不会直接渗漏污染土壤和水源。外层FRP玻璃钢不会与地下水、汽油、柴油等物质产生电解腐蚀现象。泄漏检测仪能够24小时全程监控，杜绝污染隐患。同时便于油罐的检测与维护，保护了土壤的原生环境。</w:t>
            </w:r>
          </w:p>
          <w:p>
            <w:pPr>
              <w:spacing w:line="360" w:lineRule="auto"/>
              <w:ind w:firstLine="480" w:firstLineChars="200"/>
              <w:rPr>
                <w:rFonts w:hint="eastAsia"/>
                <w:bCs/>
                <w:sz w:val="24"/>
              </w:rPr>
            </w:pPr>
            <w:r>
              <w:rPr>
                <w:rFonts w:hint="eastAsia"/>
                <w:bCs/>
                <w:sz w:val="24"/>
              </w:rPr>
              <w:t>2）</w:t>
            </w:r>
            <w:r>
              <w:rPr>
                <w:bCs/>
                <w:sz w:val="24"/>
              </w:rPr>
              <w:t>危险废物暂存间按照《危险废物贮存污染控制标准》（GB18597-20</w:t>
            </w:r>
            <w:r>
              <w:rPr>
                <w:rFonts w:hint="eastAsia"/>
                <w:bCs/>
                <w:sz w:val="24"/>
              </w:rPr>
              <w:t>23</w:t>
            </w:r>
            <w:r>
              <w:rPr>
                <w:bCs/>
                <w:sz w:val="24"/>
              </w:rPr>
              <w:t>）的要求进行防风、防雨、防晒</w:t>
            </w:r>
            <w:r>
              <w:rPr>
                <w:rFonts w:hint="eastAsia"/>
                <w:bCs/>
                <w:sz w:val="24"/>
              </w:rPr>
              <w:t>、</w:t>
            </w:r>
            <w:r>
              <w:rPr>
                <w:bCs/>
                <w:sz w:val="24"/>
              </w:rPr>
              <w:t>防渗漏</w:t>
            </w:r>
            <w:r>
              <w:rPr>
                <w:rFonts w:hint="eastAsia"/>
                <w:bCs/>
                <w:sz w:val="24"/>
              </w:rPr>
              <w:t>“四</w:t>
            </w:r>
            <w:r>
              <w:rPr>
                <w:bCs/>
                <w:sz w:val="24"/>
              </w:rPr>
              <w:t>防</w:t>
            </w:r>
            <w:r>
              <w:rPr>
                <w:rFonts w:hint="eastAsia"/>
                <w:bCs/>
                <w:sz w:val="24"/>
              </w:rPr>
              <w:t>”</w:t>
            </w:r>
            <w:r>
              <w:rPr>
                <w:bCs/>
                <w:sz w:val="24"/>
              </w:rPr>
              <w:t>措施，危废暂存间</w:t>
            </w:r>
            <w:r>
              <w:rPr>
                <w:rFonts w:hint="eastAsia"/>
                <w:bCs/>
                <w:sz w:val="24"/>
              </w:rPr>
              <w:t>采用抗渗混凝土+2mm厚高密度聚乙烯材料防渗，确保</w:t>
            </w:r>
            <w:r>
              <w:rPr>
                <w:bCs/>
                <w:sz w:val="24"/>
              </w:rPr>
              <w:t>渗透系数≤10</w:t>
            </w:r>
            <w:r>
              <w:rPr>
                <w:bCs/>
                <w:sz w:val="24"/>
                <w:vertAlign w:val="superscript"/>
              </w:rPr>
              <w:t>-10</w:t>
            </w:r>
            <w:r>
              <w:rPr>
                <w:bCs/>
                <w:sz w:val="24"/>
              </w:rPr>
              <w:t>cm/s，同时在放置危险废物区域内设置堵截泄漏的裙脚，地面与裙脚所围建的容积不低于堵截最大容器的最大储量，防止泄漏液体流出，并有利于泄漏液体的收集。</w:t>
            </w:r>
          </w:p>
          <w:p>
            <w:pPr>
              <w:spacing w:line="360" w:lineRule="auto"/>
              <w:ind w:firstLine="480" w:firstLineChars="200"/>
              <w:rPr>
                <w:kern w:val="0"/>
                <w:sz w:val="24"/>
              </w:rPr>
            </w:pPr>
            <w:r>
              <w:rPr>
                <w:rFonts w:hint="eastAsia"/>
                <w:kern w:val="0"/>
                <w:sz w:val="24"/>
              </w:rPr>
              <w:t>3）柴油发电机房地面采用</w:t>
            </w:r>
            <w:r>
              <w:rPr>
                <w:rFonts w:hint="eastAsia"/>
                <w:bCs/>
                <w:sz w:val="24"/>
              </w:rPr>
              <w:t>抗渗混凝土+2mm厚高密度聚乙烯材料防渗，确保</w:t>
            </w:r>
            <w:r>
              <w:rPr>
                <w:rFonts w:hint="eastAsia"/>
                <w:sz w:val="24"/>
              </w:rPr>
              <w:t>防渗能力达到等效黏土层Mb≥6.0</w:t>
            </w:r>
            <w:r>
              <w:rPr>
                <w:sz w:val="24"/>
              </w:rPr>
              <w:t>m</w:t>
            </w:r>
            <w:r>
              <w:rPr>
                <w:rFonts w:hint="eastAsia"/>
                <w:sz w:val="24"/>
              </w:rPr>
              <w:t>、渗透系数小于</w:t>
            </w:r>
            <w:r>
              <w:rPr>
                <w:sz w:val="24"/>
              </w:rPr>
              <w:t>1.0×10</w:t>
            </w:r>
            <w:r>
              <w:rPr>
                <w:sz w:val="24"/>
                <w:vertAlign w:val="superscript"/>
              </w:rPr>
              <w:t>-7</w:t>
            </w:r>
            <w:r>
              <w:rPr>
                <w:sz w:val="24"/>
              </w:rPr>
              <w:t>cm/s</w:t>
            </w:r>
            <w:r>
              <w:rPr>
                <w:rFonts w:hint="eastAsia"/>
                <w:sz w:val="24"/>
              </w:rPr>
              <w:t>。</w:t>
            </w:r>
          </w:p>
          <w:p>
            <w:pPr>
              <w:spacing w:line="360" w:lineRule="auto"/>
              <w:ind w:firstLine="482" w:firstLineChars="200"/>
              <w:rPr>
                <w:b/>
                <w:sz w:val="24"/>
              </w:rPr>
            </w:pPr>
            <w:r>
              <w:rPr>
                <w:b/>
                <w:sz w:val="24"/>
              </w:rPr>
              <w:t>一般防渗区防渗措施：</w:t>
            </w:r>
          </w:p>
          <w:p>
            <w:pPr>
              <w:pStyle w:val="8"/>
              <w:ind w:firstLine="480" w:firstLineChars="200"/>
            </w:pPr>
            <w:r>
              <w:t>一般防渗区地面采取30cm厚强夯原粘土层垫层、30cm厚现浇防渗混凝土面层。通过上述措施可使一般</w:t>
            </w:r>
            <w:r>
              <w:rPr>
                <w:rFonts w:hint="eastAsia"/>
              </w:rPr>
              <w:t>防渗区</w:t>
            </w:r>
            <w:r>
              <w:t>各单元防渗</w:t>
            </w:r>
            <w:r>
              <w:rPr>
                <w:szCs w:val="24"/>
              </w:rPr>
              <w:t>层</w:t>
            </w:r>
            <w:r>
              <w:rPr>
                <w:rFonts w:hint="eastAsia"/>
                <w:szCs w:val="24"/>
              </w:rPr>
              <w:t>等效黏土防渗层Mb</w:t>
            </w:r>
            <w:r>
              <w:rPr>
                <w:szCs w:val="24"/>
              </w:rPr>
              <w:t>≥</w:t>
            </w:r>
            <w:r>
              <w:rPr>
                <w:rFonts w:hint="eastAsia"/>
                <w:szCs w:val="24"/>
              </w:rPr>
              <w:t>1.5</w:t>
            </w:r>
            <w:r>
              <w:rPr>
                <w:szCs w:val="24"/>
              </w:rPr>
              <w:t>m</w:t>
            </w:r>
            <w:r>
              <w:rPr>
                <w:rFonts w:hint="eastAsia"/>
                <w:szCs w:val="24"/>
              </w:rPr>
              <w:t>，</w:t>
            </w:r>
            <w:r>
              <w:rPr>
                <w:szCs w:val="24"/>
              </w:rPr>
              <w:t>渗透系数≤10</w:t>
            </w:r>
            <w:r>
              <w:rPr>
                <w:szCs w:val="24"/>
                <w:vertAlign w:val="superscript"/>
              </w:rPr>
              <w:t>-7</w:t>
            </w:r>
            <w:r>
              <w:rPr>
                <w:szCs w:val="24"/>
              </w:rPr>
              <w:t xml:space="preserve"> </w:t>
            </w:r>
            <w:r>
              <w:t>cm/s。</w:t>
            </w:r>
          </w:p>
          <w:p>
            <w:pPr>
              <w:spacing w:line="360" w:lineRule="auto"/>
              <w:ind w:firstLine="482" w:firstLineChars="200"/>
              <w:rPr>
                <w:rFonts w:hint="eastAsia"/>
                <w:b/>
                <w:sz w:val="24"/>
              </w:rPr>
            </w:pPr>
            <w:r>
              <w:rPr>
                <w:rFonts w:hint="eastAsia"/>
                <w:b/>
                <w:sz w:val="24"/>
              </w:rPr>
              <w:t>简单防渗区防渗措施：</w:t>
            </w:r>
          </w:p>
          <w:p>
            <w:pPr>
              <w:pStyle w:val="8"/>
              <w:ind w:firstLine="480" w:firstLineChars="200"/>
              <w:rPr>
                <w:rFonts w:hint="eastAsia"/>
              </w:rPr>
            </w:pPr>
            <w:r>
              <w:rPr>
                <w:rFonts w:hint="eastAsia"/>
              </w:rPr>
              <w:t>简单防渗区采用</w:t>
            </w:r>
            <w:r>
              <w:t>30cm厚强夯原粘土层垫层、30cm厚现浇混凝土</w:t>
            </w:r>
            <w:r>
              <w:rPr>
                <w:rFonts w:hint="eastAsia"/>
              </w:rPr>
              <w:t>面层措施。</w:t>
            </w:r>
          </w:p>
          <w:p>
            <w:pPr>
              <w:spacing w:line="360" w:lineRule="auto"/>
              <w:ind w:firstLine="480" w:firstLineChars="200"/>
              <w:rPr>
                <w:bCs/>
                <w:sz w:val="24"/>
              </w:rPr>
            </w:pPr>
            <w:r>
              <w:rPr>
                <w:bCs/>
                <w:sz w:val="24"/>
              </w:rPr>
              <w:t>采取上述治理措施后，本项目防渗措施基本满足《环境影响评价技术导则</w:t>
            </w:r>
            <w:r>
              <w:rPr>
                <w:rFonts w:hint="eastAsia"/>
                <w:bCs/>
                <w:sz w:val="24"/>
              </w:rPr>
              <w:t xml:space="preserve"> </w:t>
            </w:r>
            <w:r>
              <w:rPr>
                <w:bCs/>
                <w:sz w:val="24"/>
              </w:rPr>
              <w:t>地下水环境》（HJ610-2016）中防渗技术要求，可从污染源头和途径上减少因废水或物料泄漏渗、漏入地下水，不会对</w:t>
            </w:r>
            <w:r>
              <w:rPr>
                <w:rFonts w:hint="eastAsia"/>
                <w:bCs/>
                <w:sz w:val="24"/>
              </w:rPr>
              <w:t>土壤、</w:t>
            </w:r>
            <w:r>
              <w:rPr>
                <w:bCs/>
                <w:sz w:val="24"/>
              </w:rPr>
              <w:t xml:space="preserve">地下水环境造成不利影响。 </w:t>
            </w:r>
          </w:p>
          <w:p>
            <w:pPr>
              <w:spacing w:line="360" w:lineRule="auto"/>
              <w:ind w:firstLine="482" w:firstLineChars="200"/>
              <w:rPr>
                <w:b/>
                <w:sz w:val="24"/>
              </w:rPr>
            </w:pPr>
            <w:r>
              <w:rPr>
                <w:b/>
                <w:sz w:val="24"/>
              </w:rPr>
              <w:t>（3）跟踪监测</w:t>
            </w:r>
          </w:p>
          <w:p>
            <w:pPr>
              <w:spacing w:line="360" w:lineRule="auto"/>
              <w:ind w:firstLine="480" w:firstLineChars="200"/>
              <w:rPr>
                <w:bCs/>
                <w:sz w:val="24"/>
              </w:rPr>
            </w:pPr>
            <w:r>
              <w:rPr>
                <w:bCs/>
                <w:sz w:val="24"/>
              </w:rPr>
              <w:t>根据《环境影响评价技术导则 地下水环境》（HJ610-2016）中地下水环境管理和相关要求，其运行期应建立地下水污染监控体系并按照有关规范进行地下水监测。</w:t>
            </w:r>
          </w:p>
          <w:p>
            <w:pPr>
              <w:pStyle w:val="6"/>
              <w:adjustRightInd/>
              <w:spacing w:before="0" w:after="0"/>
              <w:jc w:val="center"/>
              <w:rPr>
                <w:rFonts w:eastAsia="宋体"/>
                <w:b/>
                <w:bCs w:val="0"/>
                <w:color w:val="auto"/>
                <w:sz w:val="21"/>
                <w:szCs w:val="21"/>
              </w:rPr>
            </w:pPr>
            <w:r>
              <w:rPr>
                <w:rFonts w:eastAsia="宋体"/>
                <w:b/>
                <w:bCs w:val="0"/>
                <w:color w:val="auto"/>
                <w:sz w:val="21"/>
                <w:szCs w:val="21"/>
                <w:lang w:bidi="ar"/>
              </w:rPr>
              <w:t>表4-</w:t>
            </w:r>
            <w:r>
              <w:rPr>
                <w:rFonts w:hint="eastAsia" w:eastAsia="宋体"/>
                <w:b/>
                <w:bCs w:val="0"/>
                <w:color w:val="auto"/>
                <w:sz w:val="21"/>
                <w:szCs w:val="21"/>
                <w:lang w:bidi="ar"/>
              </w:rPr>
              <w:t>14</w:t>
            </w:r>
            <w:r>
              <w:rPr>
                <w:rFonts w:eastAsia="宋体"/>
                <w:b/>
                <w:bCs w:val="0"/>
                <w:color w:val="auto"/>
                <w:sz w:val="21"/>
                <w:szCs w:val="21"/>
                <w:lang w:bidi="ar"/>
              </w:rPr>
              <w:t>地下水</w:t>
            </w:r>
            <w:r>
              <w:rPr>
                <w:rFonts w:hint="eastAsia" w:eastAsia="宋体"/>
                <w:b/>
                <w:bCs w:val="0"/>
                <w:color w:val="auto"/>
                <w:sz w:val="21"/>
                <w:szCs w:val="21"/>
                <w:lang w:bidi="ar"/>
              </w:rPr>
              <w:t>环境监测计划</w:t>
            </w:r>
          </w:p>
          <w:tbl>
            <w:tblPr>
              <w:tblStyle w:val="7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415"/>
              <w:gridCol w:w="2454"/>
              <w:gridCol w:w="1103"/>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noWrap w:val="0"/>
                  <w:vAlign w:val="center"/>
                </w:tcPr>
                <w:p>
                  <w:pPr>
                    <w:jc w:val="center"/>
                    <w:rPr>
                      <w:b/>
                      <w:bCs/>
                      <w:szCs w:val="21"/>
                    </w:rPr>
                  </w:pPr>
                  <w:r>
                    <w:rPr>
                      <w:b/>
                      <w:bCs/>
                      <w:szCs w:val="21"/>
                    </w:rPr>
                    <w:t>监测项目</w:t>
                  </w:r>
                </w:p>
              </w:tc>
              <w:tc>
                <w:tcPr>
                  <w:tcW w:w="843" w:type="pct"/>
                  <w:noWrap w:val="0"/>
                  <w:vAlign w:val="center"/>
                </w:tcPr>
                <w:p>
                  <w:pPr>
                    <w:jc w:val="center"/>
                    <w:rPr>
                      <w:b/>
                      <w:bCs/>
                      <w:szCs w:val="21"/>
                    </w:rPr>
                  </w:pPr>
                  <w:r>
                    <w:rPr>
                      <w:b/>
                      <w:bCs/>
                      <w:szCs w:val="21"/>
                    </w:rPr>
                    <w:t>监测布点</w:t>
                  </w:r>
                </w:p>
              </w:tc>
              <w:tc>
                <w:tcPr>
                  <w:tcW w:w="1462" w:type="pct"/>
                  <w:noWrap w:val="0"/>
                  <w:vAlign w:val="center"/>
                </w:tcPr>
                <w:p>
                  <w:pPr>
                    <w:jc w:val="center"/>
                    <w:rPr>
                      <w:b/>
                      <w:bCs/>
                      <w:szCs w:val="21"/>
                    </w:rPr>
                  </w:pPr>
                  <w:r>
                    <w:rPr>
                      <w:b/>
                      <w:bCs/>
                      <w:szCs w:val="21"/>
                    </w:rPr>
                    <w:t>监测因子</w:t>
                  </w:r>
                </w:p>
              </w:tc>
              <w:tc>
                <w:tcPr>
                  <w:tcW w:w="657" w:type="pct"/>
                  <w:noWrap w:val="0"/>
                  <w:vAlign w:val="center"/>
                </w:tcPr>
                <w:p>
                  <w:pPr>
                    <w:jc w:val="center"/>
                    <w:rPr>
                      <w:b/>
                      <w:bCs/>
                      <w:szCs w:val="21"/>
                    </w:rPr>
                  </w:pPr>
                  <w:r>
                    <w:rPr>
                      <w:b/>
                      <w:bCs/>
                      <w:szCs w:val="21"/>
                    </w:rPr>
                    <w:t>监测频次</w:t>
                  </w:r>
                </w:p>
              </w:tc>
              <w:tc>
                <w:tcPr>
                  <w:tcW w:w="1341" w:type="pct"/>
                  <w:noWrap w:val="0"/>
                  <w:vAlign w:val="center"/>
                </w:tcPr>
                <w:p>
                  <w:pPr>
                    <w:jc w:val="center"/>
                    <w:rPr>
                      <w:b/>
                      <w:bCs/>
                      <w:szCs w:val="21"/>
                    </w:rPr>
                  </w:pPr>
                  <w:r>
                    <w:rPr>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 w:type="pct"/>
                  <w:noWrap w:val="0"/>
                  <w:vAlign w:val="center"/>
                </w:tcPr>
                <w:p>
                  <w:pPr>
                    <w:jc w:val="center"/>
                    <w:rPr>
                      <w:szCs w:val="21"/>
                    </w:rPr>
                  </w:pPr>
                  <w:r>
                    <w:rPr>
                      <w:szCs w:val="21"/>
                    </w:rPr>
                    <w:t>地下水</w:t>
                  </w:r>
                </w:p>
              </w:tc>
              <w:tc>
                <w:tcPr>
                  <w:tcW w:w="843" w:type="pct"/>
                  <w:noWrap w:val="0"/>
                  <w:vAlign w:val="center"/>
                </w:tcPr>
                <w:p>
                  <w:pPr>
                    <w:jc w:val="center"/>
                    <w:rPr>
                      <w:szCs w:val="21"/>
                    </w:rPr>
                  </w:pPr>
                  <w:r>
                    <w:rPr>
                      <w:rFonts w:hint="eastAsia"/>
                      <w:szCs w:val="21"/>
                    </w:rPr>
                    <w:t>站址</w:t>
                  </w:r>
                  <w:r>
                    <w:rPr>
                      <w:szCs w:val="21"/>
                    </w:rPr>
                    <w:t>下游设置一个</w:t>
                  </w:r>
                  <w:r>
                    <w:rPr>
                      <w:rFonts w:hint="eastAsia"/>
                      <w:szCs w:val="21"/>
                    </w:rPr>
                    <w:t>地下水跟踪监测井</w:t>
                  </w:r>
                </w:p>
              </w:tc>
              <w:tc>
                <w:tcPr>
                  <w:tcW w:w="1462" w:type="pct"/>
                  <w:noWrap w:val="0"/>
                  <w:vAlign w:val="center"/>
                </w:tcPr>
                <w:p>
                  <w:pPr>
                    <w:jc w:val="center"/>
                    <w:rPr>
                      <w:szCs w:val="21"/>
                    </w:rPr>
                  </w:pPr>
                  <w:r>
                    <w:rPr>
                      <w:szCs w:val="21"/>
                    </w:rPr>
                    <w:t>pH</w:t>
                  </w:r>
                  <w:r>
                    <w:rPr>
                      <w:spacing w:val="6"/>
                      <w:szCs w:val="21"/>
                    </w:rPr>
                    <w:t>、</w:t>
                  </w:r>
                  <w:r>
                    <w:rPr>
                      <w:spacing w:val="3"/>
                      <w:szCs w:val="21"/>
                    </w:rPr>
                    <w:t>耗氧量、氨氮、铁、锰、</w:t>
                  </w:r>
                  <w:r>
                    <w:rPr>
                      <w:spacing w:val="11"/>
                      <w:szCs w:val="21"/>
                    </w:rPr>
                    <w:t>硫</w:t>
                  </w:r>
                  <w:r>
                    <w:rPr>
                      <w:spacing w:val="9"/>
                      <w:szCs w:val="21"/>
                    </w:rPr>
                    <w:t>酸盐、氯化物、石油类、石油烃（C</w:t>
                  </w:r>
                  <w:r>
                    <w:rPr>
                      <w:spacing w:val="9"/>
                      <w:szCs w:val="21"/>
                      <w:vertAlign w:val="subscript"/>
                    </w:rPr>
                    <w:t>6</w:t>
                  </w:r>
                  <w:r>
                    <w:rPr>
                      <w:spacing w:val="9"/>
                      <w:szCs w:val="21"/>
                    </w:rPr>
                    <w:t>~C</w:t>
                  </w:r>
                  <w:r>
                    <w:rPr>
                      <w:spacing w:val="9"/>
                      <w:szCs w:val="21"/>
                      <w:vertAlign w:val="subscript"/>
                    </w:rPr>
                    <w:t>9</w:t>
                  </w:r>
                  <w:r>
                    <w:rPr>
                      <w:spacing w:val="9"/>
                      <w:szCs w:val="21"/>
                    </w:rPr>
                    <w:t>）、石油烃（C</w:t>
                  </w:r>
                  <w:r>
                    <w:rPr>
                      <w:rFonts w:hint="eastAsia"/>
                      <w:spacing w:val="9"/>
                      <w:szCs w:val="21"/>
                      <w:vertAlign w:val="subscript"/>
                    </w:rPr>
                    <w:t>10</w:t>
                  </w:r>
                  <w:r>
                    <w:rPr>
                      <w:spacing w:val="9"/>
                      <w:szCs w:val="21"/>
                    </w:rPr>
                    <w:t>~C</w:t>
                  </w:r>
                  <w:r>
                    <w:rPr>
                      <w:rFonts w:hint="eastAsia"/>
                      <w:spacing w:val="9"/>
                      <w:szCs w:val="21"/>
                      <w:vertAlign w:val="subscript"/>
                    </w:rPr>
                    <w:t>40</w:t>
                  </w:r>
                  <w:r>
                    <w:rPr>
                      <w:spacing w:val="9"/>
                      <w:szCs w:val="21"/>
                    </w:rPr>
                    <w:t>）、</w:t>
                  </w:r>
                  <w:r>
                    <w:rPr>
                      <w:rFonts w:hint="eastAsia"/>
                      <w:spacing w:val="9"/>
                      <w:szCs w:val="21"/>
                    </w:rPr>
                    <w:t>甲基叔丁基醚</w:t>
                  </w:r>
                </w:p>
              </w:tc>
              <w:tc>
                <w:tcPr>
                  <w:tcW w:w="657" w:type="pct"/>
                  <w:noWrap w:val="0"/>
                  <w:vAlign w:val="center"/>
                </w:tcPr>
                <w:p>
                  <w:pPr>
                    <w:jc w:val="center"/>
                    <w:rPr>
                      <w:szCs w:val="21"/>
                    </w:rPr>
                  </w:pPr>
                  <w:r>
                    <w:rPr>
                      <w:szCs w:val="21"/>
                    </w:rPr>
                    <w:t>1次/</w:t>
                  </w:r>
                  <w:r>
                    <w:rPr>
                      <w:rFonts w:hint="eastAsia"/>
                      <w:szCs w:val="21"/>
                    </w:rPr>
                    <w:t>半</w:t>
                  </w:r>
                  <w:r>
                    <w:rPr>
                      <w:szCs w:val="21"/>
                    </w:rPr>
                    <w:t>年</w:t>
                  </w:r>
                </w:p>
              </w:tc>
              <w:tc>
                <w:tcPr>
                  <w:tcW w:w="1341" w:type="pct"/>
                  <w:noWrap w:val="0"/>
                  <w:vAlign w:val="center"/>
                </w:tcPr>
                <w:p>
                  <w:pPr>
                    <w:jc w:val="center"/>
                    <w:rPr>
                      <w:szCs w:val="21"/>
                    </w:rPr>
                  </w:pPr>
                  <w:r>
                    <w:rPr>
                      <w:szCs w:val="21"/>
                    </w:rPr>
                    <w:t>《地下水质量标准》（GB/T14848-2017）中</w:t>
                  </w: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r>
                    <w:rPr>
                      <w:szCs w:val="21"/>
                    </w:rPr>
                    <w:t>类标准</w:t>
                  </w:r>
                </w:p>
              </w:tc>
            </w:tr>
          </w:tbl>
          <w:p>
            <w:pPr>
              <w:pStyle w:val="325"/>
              <w:numPr>
                <w:ilvl w:val="2"/>
                <w:numId w:val="0"/>
              </w:numPr>
              <w:rPr>
                <w:sz w:val="24"/>
              </w:rPr>
            </w:pPr>
            <w:r>
              <w:rPr>
                <w:sz w:val="24"/>
              </w:rPr>
              <w:t>六、环境风险分析</w:t>
            </w:r>
          </w:p>
          <w:p>
            <w:pPr>
              <w:spacing w:before="189" w:line="374" w:lineRule="auto"/>
              <w:ind w:firstLine="485"/>
              <w:rPr>
                <w:sz w:val="24"/>
              </w:rPr>
            </w:pPr>
            <w:r>
              <w:rPr>
                <w:sz w:val="24"/>
              </w:rPr>
              <w:t>本项目汽油、柴油存储量未超过临界值，LNG存储量超过临界值</w:t>
            </w:r>
            <w:r>
              <w:rPr>
                <w:rFonts w:hint="eastAsia"/>
                <w:sz w:val="24"/>
              </w:rPr>
              <w:t>，因此项目环境风险分析见环境风险专项评价。根据环境风险专项评价结论，</w:t>
            </w:r>
            <w:r>
              <w:rPr>
                <w:sz w:val="24"/>
              </w:rPr>
              <w:t>项目加油加气站采取的各项目环境风险防范措施合理可行，在完善相关环境风险防范措施、设施、环境风险应急预案后，其发生事故的概率降低，其环境危害较小，环境风险达到可以接受水平，因而从环境风险角度分析本项目建设是可行的。</w:t>
            </w:r>
          </w:p>
          <w:p>
            <w:pPr>
              <w:adjustRightInd w:val="0"/>
              <w:snapToGrid w:val="0"/>
              <w:spacing w:line="360" w:lineRule="auto"/>
              <w:rPr>
                <w:b/>
                <w:bCs/>
                <w:snapToGrid w:val="0"/>
                <w:kern w:val="0"/>
                <w:sz w:val="24"/>
              </w:rPr>
            </w:pPr>
            <w:r>
              <w:rPr>
                <w:b/>
                <w:bCs/>
                <w:snapToGrid w:val="0"/>
                <w:kern w:val="0"/>
                <w:sz w:val="24"/>
              </w:rPr>
              <w:t>七、环保措施及投资</w:t>
            </w:r>
          </w:p>
          <w:p>
            <w:pPr>
              <w:topLinePunct/>
              <w:spacing w:line="360" w:lineRule="auto"/>
              <w:ind w:firstLine="480" w:firstLineChars="200"/>
              <w:rPr>
                <w:sz w:val="24"/>
              </w:rPr>
            </w:pPr>
            <w:r>
              <w:rPr>
                <w:sz w:val="24"/>
              </w:rPr>
              <w:t>本工程总投资为</w:t>
            </w:r>
            <w:r>
              <w:rPr>
                <w:rFonts w:hint="eastAsia"/>
                <w:sz w:val="24"/>
              </w:rPr>
              <w:t>4000</w:t>
            </w:r>
            <w:r>
              <w:rPr>
                <w:sz w:val="24"/>
              </w:rPr>
              <w:t>万元，其中环保投资为</w:t>
            </w:r>
            <w:r>
              <w:rPr>
                <w:rFonts w:hint="eastAsia"/>
                <w:sz w:val="24"/>
              </w:rPr>
              <w:t>80.2</w:t>
            </w:r>
            <w:r>
              <w:rPr>
                <w:sz w:val="24"/>
              </w:rPr>
              <w:t>万元</w:t>
            </w:r>
            <w:r>
              <w:rPr>
                <w:rFonts w:hint="eastAsia"/>
                <w:sz w:val="24"/>
              </w:rPr>
              <w:t>，占总投资的2.00%</w:t>
            </w:r>
            <w:r>
              <w:rPr>
                <w:sz w:val="24"/>
              </w:rPr>
              <w:t>。本工程环保措施汇总结果见表4-</w:t>
            </w:r>
            <w:r>
              <w:rPr>
                <w:rFonts w:hint="eastAsia"/>
                <w:sz w:val="24"/>
              </w:rPr>
              <w:t>15</w:t>
            </w:r>
            <w:r>
              <w:rPr>
                <w:sz w:val="24"/>
              </w:rPr>
              <w:t>。</w:t>
            </w:r>
          </w:p>
          <w:p>
            <w:pPr>
              <w:pStyle w:val="19"/>
              <w:spacing w:before="120" w:beforeLines="50" w:line="360" w:lineRule="auto"/>
              <w:jc w:val="center"/>
              <w:rPr>
                <w:rFonts w:ascii="Times New Roman" w:hAnsi="Times New Roman" w:eastAsia="宋体" w:cs="Times New Roman"/>
                <w:b/>
                <w:bCs/>
                <w:sz w:val="21"/>
                <w:szCs w:val="21"/>
              </w:rPr>
            </w:pPr>
          </w:p>
          <w:p>
            <w:pPr>
              <w:pStyle w:val="19"/>
              <w:spacing w:before="120" w:beforeLines="50" w:line="360" w:lineRule="auto"/>
              <w:jc w:val="center"/>
              <w:rPr>
                <w:rFonts w:ascii="Times New Roman" w:hAnsi="Times New Roman" w:eastAsia="宋体" w:cs="Times New Roman"/>
                <w:b/>
                <w:bCs/>
                <w:sz w:val="21"/>
                <w:szCs w:val="21"/>
              </w:rPr>
            </w:pPr>
          </w:p>
          <w:p>
            <w:pPr>
              <w:pStyle w:val="19"/>
              <w:spacing w:before="120" w:beforeLines="50" w:line="360"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表4-</w:t>
            </w:r>
            <w:r>
              <w:rPr>
                <w:rFonts w:hint="eastAsia" w:ascii="Times New Roman" w:hAnsi="Times New Roman" w:eastAsia="宋体" w:cs="Times New Roman"/>
                <w:b/>
                <w:bCs/>
                <w:sz w:val="21"/>
                <w:szCs w:val="21"/>
              </w:rPr>
              <w:t>15</w:t>
            </w:r>
            <w:r>
              <w:rPr>
                <w:rFonts w:ascii="Times New Roman" w:hAnsi="Times New Roman" w:eastAsia="宋体" w:cs="Times New Roman"/>
                <w:b/>
                <w:bCs/>
                <w:sz w:val="21"/>
                <w:szCs w:val="21"/>
              </w:rPr>
              <w:t>拟建项目环保措施汇总及投资估算一览表</w:t>
            </w:r>
          </w:p>
          <w:tbl>
            <w:tblPr>
              <w:tblStyle w:val="70"/>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39"/>
              <w:gridCol w:w="1118"/>
              <w:gridCol w:w="4867"/>
              <w:gridCol w:w="156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0" w:hRule="atLeast"/>
                <w:jc w:val="center"/>
              </w:trPr>
              <w:tc>
                <w:tcPr>
                  <w:tcW w:w="500" w:type="pct"/>
                  <w:noWrap w:val="0"/>
                  <w:vAlign w:val="center"/>
                </w:tcPr>
                <w:p>
                  <w:pPr>
                    <w:snapToGrid w:val="0"/>
                    <w:jc w:val="center"/>
                    <w:outlineLvl w:val="0"/>
                    <w:rPr>
                      <w:b/>
                      <w:bCs/>
                      <w:szCs w:val="21"/>
                    </w:rPr>
                  </w:pPr>
                  <w:r>
                    <w:rPr>
                      <w:b/>
                      <w:bCs/>
                      <w:szCs w:val="21"/>
                    </w:rPr>
                    <w:t>项目</w:t>
                  </w:r>
                </w:p>
              </w:tc>
              <w:tc>
                <w:tcPr>
                  <w:tcW w:w="666" w:type="pct"/>
                  <w:noWrap w:val="0"/>
                  <w:vAlign w:val="center"/>
                </w:tcPr>
                <w:p>
                  <w:pPr>
                    <w:snapToGrid w:val="0"/>
                    <w:jc w:val="center"/>
                    <w:outlineLvl w:val="0"/>
                    <w:rPr>
                      <w:b/>
                      <w:bCs/>
                      <w:szCs w:val="21"/>
                    </w:rPr>
                  </w:pPr>
                  <w:r>
                    <w:rPr>
                      <w:b/>
                      <w:bCs/>
                      <w:szCs w:val="21"/>
                    </w:rPr>
                    <w:t>内容</w:t>
                  </w:r>
                </w:p>
              </w:tc>
              <w:tc>
                <w:tcPr>
                  <w:tcW w:w="2900" w:type="pct"/>
                  <w:noWrap w:val="0"/>
                  <w:vAlign w:val="center"/>
                </w:tcPr>
                <w:p>
                  <w:pPr>
                    <w:snapToGrid w:val="0"/>
                    <w:jc w:val="center"/>
                    <w:outlineLvl w:val="0"/>
                    <w:rPr>
                      <w:b/>
                      <w:bCs/>
                      <w:szCs w:val="21"/>
                    </w:rPr>
                  </w:pPr>
                  <w:r>
                    <w:rPr>
                      <w:b/>
                      <w:bCs/>
                      <w:szCs w:val="21"/>
                    </w:rPr>
                    <w:t>处理措施</w:t>
                  </w:r>
                </w:p>
              </w:tc>
              <w:tc>
                <w:tcPr>
                  <w:tcW w:w="934" w:type="pct"/>
                  <w:noWrap w:val="0"/>
                  <w:vAlign w:val="center"/>
                </w:tcPr>
                <w:p>
                  <w:pPr>
                    <w:snapToGrid w:val="0"/>
                    <w:jc w:val="center"/>
                    <w:outlineLvl w:val="0"/>
                    <w:rPr>
                      <w:b/>
                      <w:bCs/>
                      <w:szCs w:val="21"/>
                    </w:rPr>
                  </w:pPr>
                  <w:r>
                    <w:rPr>
                      <w:b/>
                      <w:bCs/>
                      <w:szCs w:val="21"/>
                    </w:rPr>
                    <w:t>投资（万元）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restart"/>
                  <w:noWrap w:val="0"/>
                  <w:vAlign w:val="center"/>
                </w:tcPr>
                <w:p>
                  <w:pPr>
                    <w:snapToGrid w:val="0"/>
                    <w:jc w:val="center"/>
                    <w:outlineLvl w:val="0"/>
                    <w:rPr>
                      <w:szCs w:val="21"/>
                    </w:rPr>
                  </w:pPr>
                  <w:r>
                    <w:rPr>
                      <w:szCs w:val="21"/>
                    </w:rPr>
                    <w:t>施工期</w:t>
                  </w:r>
                </w:p>
              </w:tc>
              <w:tc>
                <w:tcPr>
                  <w:tcW w:w="666" w:type="pct"/>
                  <w:noWrap w:val="0"/>
                  <w:vAlign w:val="center"/>
                </w:tcPr>
                <w:p>
                  <w:pPr>
                    <w:snapToGrid w:val="0"/>
                    <w:jc w:val="center"/>
                    <w:outlineLvl w:val="0"/>
                    <w:rPr>
                      <w:szCs w:val="21"/>
                    </w:rPr>
                  </w:pPr>
                  <w:r>
                    <w:rPr>
                      <w:szCs w:val="21"/>
                    </w:rPr>
                    <w:t>施工期扬尘防治</w:t>
                  </w:r>
                </w:p>
              </w:tc>
              <w:tc>
                <w:tcPr>
                  <w:tcW w:w="2900" w:type="pct"/>
                  <w:noWrap w:val="0"/>
                  <w:vAlign w:val="center"/>
                </w:tcPr>
                <w:p>
                  <w:pPr>
                    <w:snapToGrid w:val="0"/>
                    <w:jc w:val="left"/>
                    <w:outlineLvl w:val="0"/>
                    <w:rPr>
                      <w:szCs w:val="21"/>
                    </w:rPr>
                  </w:pPr>
                  <w:r>
                    <w:rPr>
                      <w:szCs w:val="21"/>
                    </w:rPr>
                    <w:t>施工场地设置围挡，并在围挡顶部设置水喷雾装置，施工场地定期洒水降尘，建筑材料及土石方篷布遮盖，裸露地面硬化等。</w:t>
                  </w:r>
                </w:p>
              </w:tc>
              <w:tc>
                <w:tcPr>
                  <w:tcW w:w="934" w:type="pct"/>
                  <w:noWrap w:val="0"/>
                  <w:vAlign w:val="center"/>
                </w:tcPr>
                <w:p>
                  <w:pPr>
                    <w:snapToGrid w:val="0"/>
                    <w:jc w:val="center"/>
                    <w:outlineLvl w:val="0"/>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restart"/>
                  <w:noWrap w:val="0"/>
                  <w:vAlign w:val="center"/>
                </w:tcPr>
                <w:p>
                  <w:pPr>
                    <w:snapToGrid w:val="0"/>
                    <w:jc w:val="center"/>
                    <w:outlineLvl w:val="0"/>
                    <w:rPr>
                      <w:szCs w:val="21"/>
                    </w:rPr>
                  </w:pPr>
                  <w:r>
                    <w:rPr>
                      <w:szCs w:val="21"/>
                    </w:rPr>
                    <w:t>施工期废水防治</w:t>
                  </w:r>
                </w:p>
              </w:tc>
              <w:tc>
                <w:tcPr>
                  <w:tcW w:w="2900" w:type="pct"/>
                  <w:noWrap w:val="0"/>
                  <w:vAlign w:val="center"/>
                </w:tcPr>
                <w:p>
                  <w:pPr>
                    <w:snapToGrid w:val="0"/>
                    <w:jc w:val="left"/>
                    <w:outlineLvl w:val="0"/>
                    <w:rPr>
                      <w:szCs w:val="21"/>
                    </w:rPr>
                  </w:pPr>
                  <w:r>
                    <w:rPr>
                      <w:szCs w:val="21"/>
                    </w:rPr>
                    <w:t>生活污水</w:t>
                  </w:r>
                  <w:r>
                    <w:rPr>
                      <w:rFonts w:hint="eastAsia"/>
                      <w:szCs w:val="21"/>
                    </w:rPr>
                    <w:t>依托城区现有生活污水收集设施收集后排入市政污水管网</w:t>
                  </w:r>
                  <w:r>
                    <w:rPr>
                      <w:szCs w:val="21"/>
                    </w:rPr>
                    <w:t>。</w:t>
                  </w:r>
                </w:p>
              </w:tc>
              <w:tc>
                <w:tcPr>
                  <w:tcW w:w="934" w:type="pct"/>
                  <w:noWrap w:val="0"/>
                  <w:vAlign w:val="center"/>
                </w:tcPr>
                <w:p>
                  <w:pPr>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szCs w:val="21"/>
                    </w:rPr>
                  </w:pPr>
                </w:p>
              </w:tc>
              <w:tc>
                <w:tcPr>
                  <w:tcW w:w="2900" w:type="pct"/>
                  <w:noWrap w:val="0"/>
                  <w:vAlign w:val="center"/>
                </w:tcPr>
                <w:p>
                  <w:pPr>
                    <w:snapToGrid w:val="0"/>
                    <w:jc w:val="left"/>
                    <w:outlineLvl w:val="0"/>
                    <w:rPr>
                      <w:rFonts w:hint="eastAsia"/>
                      <w:szCs w:val="21"/>
                    </w:rPr>
                  </w:pPr>
                  <w:r>
                    <w:rPr>
                      <w:szCs w:val="21"/>
                    </w:rPr>
                    <w:t>施工场地建设一个5m³简易隔油沉淀池，施工废水经隔油沉淀池后回用</w:t>
                  </w:r>
                  <w:r>
                    <w:rPr>
                      <w:rFonts w:hint="eastAsia"/>
                      <w:szCs w:val="21"/>
                    </w:rPr>
                    <w:t>，不外排。</w:t>
                  </w:r>
                </w:p>
              </w:tc>
              <w:tc>
                <w:tcPr>
                  <w:tcW w:w="934" w:type="pct"/>
                  <w:noWrap w:val="0"/>
                  <w:vAlign w:val="center"/>
                </w:tcPr>
                <w:p>
                  <w:pPr>
                    <w:snapToGrid w:val="0"/>
                    <w:jc w:val="center"/>
                    <w:rPr>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snapToGrid w:val="0"/>
                    <w:jc w:val="center"/>
                    <w:outlineLvl w:val="0"/>
                    <w:rPr>
                      <w:szCs w:val="21"/>
                    </w:rPr>
                  </w:pPr>
                  <w:r>
                    <w:rPr>
                      <w:szCs w:val="21"/>
                    </w:rPr>
                    <w:t>施工期噪声防治</w:t>
                  </w:r>
                </w:p>
              </w:tc>
              <w:tc>
                <w:tcPr>
                  <w:tcW w:w="2900" w:type="pct"/>
                  <w:noWrap w:val="0"/>
                  <w:vAlign w:val="center"/>
                </w:tcPr>
                <w:p>
                  <w:pPr>
                    <w:snapToGrid w:val="0"/>
                    <w:jc w:val="left"/>
                    <w:outlineLvl w:val="0"/>
                    <w:rPr>
                      <w:szCs w:val="21"/>
                    </w:rPr>
                  </w:pPr>
                  <w:r>
                    <w:rPr>
                      <w:szCs w:val="21"/>
                    </w:rPr>
                    <w:t>尽量选用低噪设备，合理布设高噪设备，控制施工时间，施工场地周围设置围挡设施。</w:t>
                  </w:r>
                </w:p>
              </w:tc>
              <w:tc>
                <w:tcPr>
                  <w:tcW w:w="934" w:type="pct"/>
                  <w:noWrap w:val="0"/>
                  <w:vAlign w:val="center"/>
                </w:tcPr>
                <w:p>
                  <w:pPr>
                    <w:snapToGrid w:val="0"/>
                    <w:jc w:val="center"/>
                    <w:rPr>
                      <w:szCs w:val="21"/>
                    </w:rPr>
                  </w:pPr>
                  <w:r>
                    <w:rPr>
                      <w:szCs w:val="21"/>
                    </w:rPr>
                    <w:t>1.0</w:t>
                  </w:r>
                  <w:r>
                    <w:rPr>
                      <w:rFonts w:hint="eastAsia"/>
                      <w:szCs w:val="21"/>
                    </w:rPr>
                    <w:t>，围挡设施投资计入扬尘防治设施投资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snapToGrid w:val="0"/>
                    <w:jc w:val="center"/>
                    <w:outlineLvl w:val="0"/>
                    <w:rPr>
                      <w:szCs w:val="21"/>
                    </w:rPr>
                  </w:pPr>
                  <w:r>
                    <w:rPr>
                      <w:szCs w:val="21"/>
                    </w:rPr>
                    <w:t>施工期固废</w:t>
                  </w:r>
                </w:p>
              </w:tc>
              <w:tc>
                <w:tcPr>
                  <w:tcW w:w="2900" w:type="pct"/>
                  <w:noWrap w:val="0"/>
                  <w:vAlign w:val="center"/>
                </w:tcPr>
                <w:p>
                  <w:pPr>
                    <w:snapToGrid w:val="0"/>
                    <w:jc w:val="left"/>
                    <w:outlineLvl w:val="0"/>
                    <w:rPr>
                      <w:szCs w:val="21"/>
                    </w:rPr>
                  </w:pPr>
                  <w:r>
                    <w:rPr>
                      <w:szCs w:val="21"/>
                    </w:rPr>
                    <w:t>建筑垃圾分类收集，统一收集后外运至指定地点堆放；生活垃圾统一收集后由环卫部门清运。</w:t>
                  </w:r>
                </w:p>
              </w:tc>
              <w:tc>
                <w:tcPr>
                  <w:tcW w:w="934" w:type="pct"/>
                  <w:noWrap w:val="0"/>
                  <w:vAlign w:val="center"/>
                </w:tcPr>
                <w:p>
                  <w:pPr>
                    <w:snapToGrid w:val="0"/>
                    <w:jc w:val="center"/>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snapToGrid w:val="0"/>
                    <w:jc w:val="center"/>
                    <w:outlineLvl w:val="0"/>
                    <w:rPr>
                      <w:szCs w:val="21"/>
                    </w:rPr>
                  </w:pPr>
                  <w:r>
                    <w:rPr>
                      <w:szCs w:val="21"/>
                    </w:rPr>
                    <w:t>水土保持</w:t>
                  </w:r>
                </w:p>
              </w:tc>
              <w:tc>
                <w:tcPr>
                  <w:tcW w:w="2900" w:type="pct"/>
                  <w:noWrap w:val="0"/>
                  <w:vAlign w:val="center"/>
                </w:tcPr>
                <w:p>
                  <w:pPr>
                    <w:snapToGrid w:val="0"/>
                    <w:jc w:val="left"/>
                    <w:outlineLvl w:val="0"/>
                    <w:rPr>
                      <w:szCs w:val="21"/>
                    </w:rPr>
                  </w:pPr>
                  <w:r>
                    <w:rPr>
                      <w:szCs w:val="21"/>
                    </w:rPr>
                    <w:t>施工场地内设置临时截排水沟，散料堆场、开挖表土进行防雨布遮盖、厂区临时绿化等措施。</w:t>
                  </w:r>
                </w:p>
              </w:tc>
              <w:tc>
                <w:tcPr>
                  <w:tcW w:w="934" w:type="pct"/>
                  <w:noWrap w:val="0"/>
                  <w:vAlign w:val="center"/>
                </w:tcPr>
                <w:p>
                  <w:pPr>
                    <w:snapToGrid w:val="0"/>
                    <w:jc w:val="center"/>
                    <w:outlineLvl w:val="0"/>
                    <w:rPr>
                      <w:szCs w:val="21"/>
                    </w:rPr>
                  </w:pPr>
                  <w:r>
                    <w:rPr>
                      <w:rFonts w:hint="eastAsia"/>
                      <w:szCs w:val="21"/>
                    </w:rPr>
                    <w:t>5</w:t>
                  </w:r>
                  <w:r>
                    <w:rPr>
                      <w:szCs w:val="21"/>
                    </w:rPr>
                    <w:t>.0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restart"/>
                  <w:noWrap w:val="0"/>
                  <w:vAlign w:val="center"/>
                </w:tcPr>
                <w:p>
                  <w:pPr>
                    <w:snapToGrid w:val="0"/>
                    <w:jc w:val="center"/>
                    <w:outlineLvl w:val="0"/>
                    <w:rPr>
                      <w:szCs w:val="21"/>
                    </w:rPr>
                  </w:pPr>
                  <w:r>
                    <w:rPr>
                      <w:szCs w:val="21"/>
                    </w:rPr>
                    <w:t>运</w:t>
                  </w:r>
                </w:p>
                <w:p>
                  <w:pPr>
                    <w:snapToGrid w:val="0"/>
                    <w:jc w:val="center"/>
                    <w:outlineLvl w:val="0"/>
                    <w:rPr>
                      <w:szCs w:val="21"/>
                    </w:rPr>
                  </w:pPr>
                  <w:r>
                    <w:rPr>
                      <w:szCs w:val="21"/>
                    </w:rPr>
                    <w:t>行</w:t>
                  </w:r>
                </w:p>
                <w:p>
                  <w:pPr>
                    <w:snapToGrid w:val="0"/>
                    <w:jc w:val="center"/>
                    <w:outlineLvl w:val="0"/>
                    <w:rPr>
                      <w:szCs w:val="21"/>
                    </w:rPr>
                  </w:pPr>
                  <w:r>
                    <w:rPr>
                      <w:szCs w:val="21"/>
                    </w:rPr>
                    <w:t>期</w:t>
                  </w:r>
                </w:p>
              </w:tc>
              <w:tc>
                <w:tcPr>
                  <w:tcW w:w="666" w:type="pct"/>
                  <w:vMerge w:val="restart"/>
                  <w:noWrap w:val="0"/>
                  <w:vAlign w:val="center"/>
                </w:tcPr>
                <w:p>
                  <w:pPr>
                    <w:snapToGrid w:val="0"/>
                    <w:jc w:val="center"/>
                    <w:outlineLvl w:val="0"/>
                    <w:rPr>
                      <w:szCs w:val="21"/>
                    </w:rPr>
                  </w:pPr>
                  <w:r>
                    <w:rPr>
                      <w:rFonts w:hint="eastAsia"/>
                      <w:szCs w:val="21"/>
                    </w:rPr>
                    <w:t>废气</w:t>
                  </w:r>
                </w:p>
              </w:tc>
              <w:tc>
                <w:tcPr>
                  <w:tcW w:w="2900" w:type="pct"/>
                  <w:noWrap w:val="0"/>
                  <w:vAlign w:val="center"/>
                </w:tcPr>
                <w:p>
                  <w:pPr>
                    <w:jc w:val="left"/>
                    <w:rPr>
                      <w:rFonts w:hint="eastAsia"/>
                      <w:szCs w:val="21"/>
                    </w:rPr>
                  </w:pPr>
                  <w:r>
                    <w:t>挥发油气：安装一次、二次</w:t>
                  </w:r>
                  <w:r>
                    <w:rPr>
                      <w:rFonts w:hint="eastAsia"/>
                    </w:rPr>
                    <w:t>、三次</w:t>
                  </w:r>
                  <w:r>
                    <w:t>油气回收系统</w:t>
                  </w:r>
                  <w:r>
                    <w:rPr>
                      <w:rFonts w:hint="eastAsia"/>
                    </w:rPr>
                    <w:t>及</w:t>
                  </w:r>
                  <w:r>
                    <w:t>配套的输油管线</w:t>
                  </w:r>
                  <w:r>
                    <w:rPr>
                      <w:rFonts w:hint="eastAsia"/>
                    </w:rPr>
                    <w:t>，储油罐设置</w:t>
                  </w:r>
                  <w:r>
                    <w:rPr>
                      <w:szCs w:val="21"/>
                    </w:rPr>
                    <w:t>高出地面4.0m</w:t>
                  </w:r>
                  <w:r>
                    <w:rPr>
                      <w:rFonts w:hint="eastAsia"/>
                      <w:szCs w:val="21"/>
                    </w:rPr>
                    <w:t>的</w:t>
                  </w:r>
                  <w:r>
                    <w:rPr>
                      <w:szCs w:val="21"/>
                    </w:rPr>
                    <w:t>通气立管</w:t>
                  </w:r>
                  <w:r>
                    <w:rPr>
                      <w:rFonts w:hint="eastAsia"/>
                      <w:szCs w:val="21"/>
                    </w:rPr>
                    <w:t>，</w:t>
                  </w:r>
                  <w:r>
                    <w:rPr>
                      <w:szCs w:val="21"/>
                    </w:rPr>
                    <w:t>管口设置呼吸阀。</w:t>
                  </w:r>
                </w:p>
              </w:tc>
              <w:tc>
                <w:tcPr>
                  <w:tcW w:w="934" w:type="pct"/>
                  <w:noWrap w:val="0"/>
                  <w:vAlign w:val="center"/>
                </w:tcPr>
                <w:p>
                  <w:pPr>
                    <w:jc w:val="center"/>
                    <w:rPr>
                      <w:szCs w:val="21"/>
                    </w:rPr>
                  </w:pPr>
                  <w:r>
                    <w:rPr>
                      <w:rFonts w:hint="eastAsia"/>
                      <w:szCs w:val="21"/>
                    </w:rPr>
                    <w:t>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rFonts w:hint="eastAsia"/>
                      <w:szCs w:val="21"/>
                    </w:rPr>
                  </w:pPr>
                </w:p>
              </w:tc>
              <w:tc>
                <w:tcPr>
                  <w:tcW w:w="2900" w:type="pct"/>
                  <w:noWrap w:val="0"/>
                  <w:vAlign w:val="center"/>
                </w:tcPr>
                <w:p>
                  <w:pPr>
                    <w:jc w:val="left"/>
                    <w:rPr>
                      <w:rFonts w:hint="eastAsia"/>
                    </w:rPr>
                  </w:pPr>
                  <w:r>
                    <w:rPr>
                      <w:rFonts w:hint="eastAsia"/>
                    </w:rPr>
                    <w:t>柴油发电机废气：</w:t>
                  </w:r>
                  <w:r>
                    <w:t>柴油发电机选择自带消烟除尘装置处理后，引至室外排放</w:t>
                  </w:r>
                  <w:r>
                    <w:rPr>
                      <w:rFonts w:hint="eastAsia"/>
                    </w:rPr>
                    <w:t>。</w:t>
                  </w:r>
                </w:p>
              </w:tc>
              <w:tc>
                <w:tcPr>
                  <w:tcW w:w="934" w:type="pct"/>
                  <w:noWrap w:val="0"/>
                  <w:vAlign w:val="center"/>
                </w:tcPr>
                <w:p>
                  <w:pPr>
                    <w:jc w:val="center"/>
                    <w:rPr>
                      <w:rFonts w:hint="eastAsia"/>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rFonts w:hint="eastAsia"/>
                      <w:szCs w:val="21"/>
                    </w:rPr>
                  </w:pPr>
                </w:p>
              </w:tc>
              <w:tc>
                <w:tcPr>
                  <w:tcW w:w="2900" w:type="pct"/>
                  <w:noWrap w:val="0"/>
                  <w:vAlign w:val="center"/>
                </w:tcPr>
                <w:p>
                  <w:pPr>
                    <w:jc w:val="left"/>
                    <w:rPr>
                      <w:rFonts w:hint="eastAsia"/>
                      <w:szCs w:val="21"/>
                    </w:rPr>
                  </w:pPr>
                  <w:r>
                    <w:rPr>
                      <w:rFonts w:hint="eastAsia"/>
                      <w:szCs w:val="21"/>
                    </w:rPr>
                    <w:t>LNG储罐区设置放散管1根，高度为9m。</w:t>
                  </w:r>
                </w:p>
              </w:tc>
              <w:tc>
                <w:tcPr>
                  <w:tcW w:w="934" w:type="pct"/>
                  <w:noWrap w:val="0"/>
                  <w:vAlign w:val="center"/>
                </w:tcPr>
                <w:p>
                  <w:pPr>
                    <w:jc w:val="center"/>
                    <w:rPr>
                      <w:rFonts w:hint="eastAsia"/>
                      <w:szCs w:val="21"/>
                    </w:rPr>
                  </w:pPr>
                  <w:r>
                    <w:rPr>
                      <w:rFonts w:hint="eastAsia"/>
                      <w:szCs w:val="21"/>
                    </w:rPr>
                    <w:t>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rFonts w:hint="eastAsia"/>
                      <w:szCs w:val="21"/>
                    </w:rPr>
                  </w:pPr>
                </w:p>
              </w:tc>
              <w:tc>
                <w:tcPr>
                  <w:tcW w:w="2900" w:type="pct"/>
                  <w:noWrap w:val="0"/>
                  <w:vAlign w:val="center"/>
                </w:tcPr>
                <w:p>
                  <w:pPr>
                    <w:jc w:val="left"/>
                    <w:rPr>
                      <w:rFonts w:hint="eastAsia"/>
                    </w:rPr>
                  </w:pPr>
                  <w:r>
                    <w:rPr>
                      <w:rFonts w:hint="eastAsia"/>
                    </w:rPr>
                    <w:t>汽</w:t>
                  </w:r>
                  <w:r>
                    <w:t>车尾气：加强车辆管理，站内通风换气，利用大气扩散</w:t>
                  </w:r>
                </w:p>
              </w:tc>
              <w:tc>
                <w:tcPr>
                  <w:tcW w:w="934" w:type="pct"/>
                  <w:noWrap w:val="0"/>
                  <w:vAlign w:val="center"/>
                </w:tcPr>
                <w:p>
                  <w:pPr>
                    <w:jc w:val="center"/>
                    <w:rPr>
                      <w:rFonts w:hint="eastAsia"/>
                      <w:szCs w:val="21"/>
                    </w:rPr>
                  </w:pPr>
                  <w:r>
                    <w:rPr>
                      <w:rFonts w:hint="eastAsia"/>
                      <w:szCs w:val="21"/>
                    </w:rPr>
                    <w:t>运行费用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restart"/>
                  <w:noWrap w:val="0"/>
                  <w:vAlign w:val="center"/>
                </w:tcPr>
                <w:p>
                  <w:pPr>
                    <w:snapToGrid w:val="0"/>
                    <w:jc w:val="center"/>
                    <w:outlineLvl w:val="0"/>
                    <w:rPr>
                      <w:rFonts w:hint="eastAsia"/>
                      <w:szCs w:val="21"/>
                    </w:rPr>
                  </w:pPr>
                  <w:r>
                    <w:rPr>
                      <w:rFonts w:hint="eastAsia"/>
                      <w:szCs w:val="21"/>
                    </w:rPr>
                    <w:t>废水</w:t>
                  </w:r>
                </w:p>
              </w:tc>
              <w:tc>
                <w:tcPr>
                  <w:tcW w:w="2900" w:type="pct"/>
                  <w:noWrap w:val="0"/>
                  <w:vAlign w:val="center"/>
                </w:tcPr>
                <w:p>
                  <w:pPr>
                    <w:jc w:val="left"/>
                    <w:rPr>
                      <w:rFonts w:hint="eastAsia"/>
                    </w:rPr>
                  </w:pPr>
                  <w:r>
                    <w:rPr>
                      <w:rFonts w:hint="eastAsia"/>
                    </w:rPr>
                    <w:t>生活污水：设置化粪池1座，容积18</w:t>
                  </w:r>
                  <w:r>
                    <w:t>m</w:t>
                  </w:r>
                  <w:r>
                    <w:rPr>
                      <w:rFonts w:hint="eastAsia"/>
                      <w:vertAlign w:val="superscript"/>
                    </w:rPr>
                    <w:t>3</w:t>
                  </w:r>
                  <w:r>
                    <w:rPr>
                      <w:rFonts w:hint="eastAsia"/>
                    </w:rPr>
                    <w:t>，化粪池出水排至市政污水管网。</w:t>
                  </w:r>
                </w:p>
              </w:tc>
              <w:tc>
                <w:tcPr>
                  <w:tcW w:w="934" w:type="pct"/>
                  <w:noWrap w:val="0"/>
                  <w:vAlign w:val="center"/>
                </w:tcPr>
                <w:p>
                  <w:pPr>
                    <w:jc w:val="center"/>
                    <w:rPr>
                      <w:rFonts w:hint="eastAsia"/>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rFonts w:hint="eastAsia"/>
                      <w:szCs w:val="21"/>
                    </w:rPr>
                  </w:pPr>
                </w:p>
              </w:tc>
              <w:tc>
                <w:tcPr>
                  <w:tcW w:w="2900" w:type="pct"/>
                  <w:noWrap w:val="0"/>
                  <w:vAlign w:val="center"/>
                </w:tcPr>
                <w:p>
                  <w:pPr>
                    <w:jc w:val="left"/>
                    <w:rPr>
                      <w:rFonts w:hint="eastAsia"/>
                    </w:rPr>
                  </w:pPr>
                  <w:r>
                    <w:rPr>
                      <w:rFonts w:hint="eastAsia"/>
                    </w:rPr>
                    <w:t>洗车废水：两格式隔油沉淀池1座，单格容积不小于1</w:t>
                  </w:r>
                  <w:r>
                    <w:t>m</w:t>
                  </w:r>
                  <w:r>
                    <w:rPr>
                      <w:rFonts w:hint="eastAsia"/>
                      <w:vertAlign w:val="superscript"/>
                    </w:rPr>
                    <w:t>3</w:t>
                  </w:r>
                  <w:r>
                    <w:rPr>
                      <w:rFonts w:hint="eastAsia"/>
                    </w:rPr>
                    <w:t>，废水经隔油沉淀处理后上清液回用（回用率约为60%），下层废水排入化粪池，</w:t>
                  </w:r>
                  <w:r>
                    <w:t>与生活污水一并排入市政</w:t>
                  </w:r>
                  <w:r>
                    <w:rPr>
                      <w:rFonts w:hint="eastAsia"/>
                    </w:rPr>
                    <w:t>污水</w:t>
                  </w:r>
                  <w:r>
                    <w:t>管网</w:t>
                  </w:r>
                  <w:r>
                    <w:rPr>
                      <w:rFonts w:hint="eastAsia"/>
                    </w:rPr>
                    <w:t>。</w:t>
                  </w:r>
                </w:p>
              </w:tc>
              <w:tc>
                <w:tcPr>
                  <w:tcW w:w="934" w:type="pct"/>
                  <w:noWrap w:val="0"/>
                  <w:vAlign w:val="center"/>
                </w:tcPr>
                <w:p>
                  <w:pPr>
                    <w:jc w:val="center"/>
                    <w:rPr>
                      <w:rFonts w:hint="eastAsia"/>
                      <w:szCs w:val="21"/>
                    </w:rPr>
                  </w:pPr>
                  <w:r>
                    <w:rPr>
                      <w:rFonts w:hint="eastAsia"/>
                      <w:szCs w:val="21"/>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rFonts w:hint="eastAsia"/>
                      <w:szCs w:val="21"/>
                    </w:rPr>
                  </w:pPr>
                </w:p>
              </w:tc>
              <w:tc>
                <w:tcPr>
                  <w:tcW w:w="2900" w:type="pct"/>
                  <w:noWrap w:val="0"/>
                  <w:vAlign w:val="center"/>
                </w:tcPr>
                <w:p>
                  <w:pPr>
                    <w:jc w:val="left"/>
                    <w:rPr>
                      <w:rFonts w:hint="eastAsia"/>
                    </w:rPr>
                  </w:pPr>
                  <w:r>
                    <w:rPr>
                      <w:rFonts w:hint="eastAsia"/>
                    </w:rPr>
                    <w:t>初期雨水、地面冲洗废水：</w:t>
                  </w:r>
                  <w:r>
                    <w:t>加油区罩棚投影下设废水收集沟，接入水封隔油池1个</w:t>
                  </w:r>
                  <w:r>
                    <w:rPr>
                      <w:rFonts w:hint="eastAsia"/>
                    </w:rPr>
                    <w:t>（</w:t>
                  </w:r>
                  <w:r>
                    <w:t>容积</w:t>
                  </w:r>
                  <w:r>
                    <w:rPr>
                      <w:rFonts w:hint="eastAsia"/>
                    </w:rPr>
                    <w:t>4.5</w:t>
                  </w:r>
                  <w:r>
                    <w:t>m</w:t>
                  </w:r>
                  <w:r>
                    <w:rPr>
                      <w:vertAlign w:val="superscript"/>
                    </w:rPr>
                    <w:t>3</w:t>
                  </w:r>
                  <w:r>
                    <w:rPr>
                      <w:rFonts w:hint="eastAsia"/>
                    </w:rPr>
                    <w:t>）</w:t>
                  </w:r>
                  <w:r>
                    <w:t>，预处理后排入化粪池，与生活污水一并排入市政</w:t>
                  </w:r>
                  <w:r>
                    <w:rPr>
                      <w:rFonts w:hint="eastAsia"/>
                    </w:rPr>
                    <w:t>污水</w:t>
                  </w:r>
                  <w:r>
                    <w:t>管网</w:t>
                  </w:r>
                  <w:r>
                    <w:rPr>
                      <w:rFonts w:hint="eastAsia"/>
                    </w:rPr>
                    <w:t>。</w:t>
                  </w:r>
                </w:p>
              </w:tc>
              <w:tc>
                <w:tcPr>
                  <w:tcW w:w="934" w:type="pct"/>
                  <w:noWrap w:val="0"/>
                  <w:vAlign w:val="center"/>
                </w:tcPr>
                <w:p>
                  <w:pPr>
                    <w:jc w:val="center"/>
                    <w:rPr>
                      <w:rFonts w:hint="eastAsia"/>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snapToGrid w:val="0"/>
                    <w:jc w:val="center"/>
                    <w:outlineLvl w:val="0"/>
                    <w:rPr>
                      <w:szCs w:val="21"/>
                    </w:rPr>
                  </w:pPr>
                  <w:r>
                    <w:rPr>
                      <w:szCs w:val="21"/>
                    </w:rPr>
                    <w:t>噪声治理</w:t>
                  </w:r>
                </w:p>
              </w:tc>
              <w:tc>
                <w:tcPr>
                  <w:tcW w:w="2900" w:type="pct"/>
                  <w:noWrap w:val="0"/>
                  <w:vAlign w:val="center"/>
                </w:tcPr>
                <w:p>
                  <w:pPr>
                    <w:snapToGrid w:val="0"/>
                    <w:jc w:val="left"/>
                    <w:outlineLvl w:val="0"/>
                    <w:rPr>
                      <w:szCs w:val="21"/>
                    </w:rPr>
                  </w:pPr>
                  <w:r>
                    <w:t>选用低噪声设备、</w:t>
                  </w:r>
                  <w:r>
                    <w:rPr>
                      <w:rFonts w:hint="eastAsia"/>
                    </w:rPr>
                    <w:t>设备基础减震、</w:t>
                  </w:r>
                  <w:r>
                    <w:t>备用柴油发电机设置专用房间；设备定期检查、维修油泵、加油机等设备；加强对进站车辆、人员的引导；设置紧鸣限速标识等</w:t>
                  </w:r>
                  <w:r>
                    <w:rPr>
                      <w:rFonts w:hint="eastAsia"/>
                    </w:rPr>
                    <w:t>。</w:t>
                  </w:r>
                </w:p>
              </w:tc>
              <w:tc>
                <w:tcPr>
                  <w:tcW w:w="934" w:type="pct"/>
                  <w:noWrap w:val="0"/>
                  <w:vAlign w:val="center"/>
                </w:tcPr>
                <w:p>
                  <w:pPr>
                    <w:snapToGrid w:val="0"/>
                    <w:jc w:val="center"/>
                    <w:outlineLvl w:val="0"/>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restart"/>
                  <w:noWrap w:val="0"/>
                  <w:vAlign w:val="center"/>
                </w:tcPr>
                <w:p>
                  <w:pPr>
                    <w:snapToGrid w:val="0"/>
                    <w:jc w:val="center"/>
                    <w:outlineLvl w:val="0"/>
                    <w:rPr>
                      <w:szCs w:val="21"/>
                    </w:rPr>
                  </w:pPr>
                  <w:r>
                    <w:rPr>
                      <w:szCs w:val="21"/>
                    </w:rPr>
                    <w:t>固废处理</w:t>
                  </w:r>
                </w:p>
              </w:tc>
              <w:tc>
                <w:tcPr>
                  <w:tcW w:w="2900" w:type="pct"/>
                  <w:noWrap w:val="0"/>
                  <w:vAlign w:val="center"/>
                </w:tcPr>
                <w:p>
                  <w:pPr>
                    <w:jc w:val="center"/>
                    <w:rPr>
                      <w:sz w:val="24"/>
                    </w:rPr>
                  </w:pPr>
                  <w:r>
                    <w:rPr>
                      <w:szCs w:val="21"/>
                    </w:rPr>
                    <w:t>设置生活垃圾收集圾桶，生活垃圾收集后 交由环卫部门统一清运</w:t>
                  </w:r>
                  <w:r>
                    <w:rPr>
                      <w:rFonts w:hint="eastAsia"/>
                      <w:szCs w:val="21"/>
                    </w:rPr>
                    <w:t>。</w:t>
                  </w:r>
                </w:p>
              </w:tc>
              <w:tc>
                <w:tcPr>
                  <w:tcW w:w="934" w:type="pct"/>
                  <w:noWrap w:val="0"/>
                  <w:vAlign w:val="center"/>
                </w:tcPr>
                <w:p>
                  <w:pPr>
                    <w:snapToGrid w:val="0"/>
                    <w:jc w:val="center"/>
                    <w:outlineLvl w:val="0"/>
                    <w:rPr>
                      <w:rFonts w:hint="eastAsia"/>
                      <w:szCs w:val="21"/>
                    </w:rPr>
                  </w:pPr>
                  <w:r>
                    <w:rPr>
                      <w:rFonts w:hint="eastAsia"/>
                      <w:szCs w:val="21"/>
                    </w:rP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snapToGrid w:val="0"/>
                    <w:jc w:val="center"/>
                    <w:outlineLvl w:val="0"/>
                    <w:rPr>
                      <w:szCs w:val="21"/>
                    </w:rPr>
                  </w:pPr>
                </w:p>
              </w:tc>
              <w:tc>
                <w:tcPr>
                  <w:tcW w:w="2900" w:type="pct"/>
                  <w:noWrap w:val="0"/>
                  <w:vAlign w:val="center"/>
                </w:tcPr>
                <w:p>
                  <w:pPr>
                    <w:snapToGrid w:val="0"/>
                    <w:jc w:val="center"/>
                    <w:outlineLvl w:val="0"/>
                    <w:rPr>
                      <w:rFonts w:hint="eastAsia"/>
                      <w:szCs w:val="21"/>
                    </w:rPr>
                  </w:pPr>
                  <w:r>
                    <w:rPr>
                      <w:szCs w:val="21"/>
                    </w:rPr>
                    <w:t>新建危险废物暂存间1处，并进行相应的防渗漏处理，面积约2m</w:t>
                  </w:r>
                  <w:r>
                    <w:rPr>
                      <w:szCs w:val="21"/>
                      <w:vertAlign w:val="superscript"/>
                    </w:rPr>
                    <w:t>2</w:t>
                  </w:r>
                  <w:r>
                    <w:rPr>
                      <w:szCs w:val="21"/>
                    </w:rPr>
                    <w:t>，要求做到地面防渗、防雨、防水，并设置相关标识标牌，建立危险废物台账，并设置相关标示、标牌</w:t>
                  </w:r>
                  <w:r>
                    <w:rPr>
                      <w:rFonts w:hint="eastAsia"/>
                      <w:szCs w:val="21"/>
                    </w:rPr>
                    <w:t>。</w:t>
                  </w:r>
                </w:p>
              </w:tc>
              <w:tc>
                <w:tcPr>
                  <w:tcW w:w="934" w:type="pct"/>
                  <w:noWrap w:val="0"/>
                  <w:vAlign w:val="center"/>
                </w:tcPr>
                <w:p>
                  <w:pPr>
                    <w:snapToGrid w:val="0"/>
                    <w:jc w:val="center"/>
                    <w:outlineLvl w:val="0"/>
                    <w:rPr>
                      <w:szCs w:val="21"/>
                    </w:rPr>
                  </w:pP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restart"/>
                  <w:noWrap w:val="0"/>
                  <w:vAlign w:val="center"/>
                </w:tcPr>
                <w:p>
                  <w:pPr>
                    <w:jc w:val="center"/>
                    <w:rPr>
                      <w:szCs w:val="21"/>
                    </w:rPr>
                  </w:pPr>
                  <w:r>
                    <w:rPr>
                      <w:szCs w:val="21"/>
                    </w:rPr>
                    <w:t>地下水防渗</w:t>
                  </w:r>
                </w:p>
              </w:tc>
              <w:tc>
                <w:tcPr>
                  <w:tcW w:w="2900" w:type="pct"/>
                  <w:noWrap w:val="0"/>
                  <w:vAlign w:val="center"/>
                </w:tcPr>
                <w:p>
                  <w:pPr>
                    <w:snapToGrid w:val="0"/>
                    <w:jc w:val="left"/>
                    <w:rPr>
                      <w:kern w:val="0"/>
                      <w:szCs w:val="21"/>
                    </w:rPr>
                  </w:pPr>
                  <w:r>
                    <w:rPr>
                      <w:rFonts w:hint="eastAsia"/>
                      <w:szCs w:val="21"/>
                    </w:rPr>
                    <w:t>站内埋地油罐</w:t>
                  </w:r>
                  <w:r>
                    <w:rPr>
                      <w:szCs w:val="21"/>
                    </w:rPr>
                    <w:t>按照国家标准《地下金属油罐防水防腐技术规范》的有关规定进行设计、施工；站内加油管道表面进行试压和防腐处理</w:t>
                  </w:r>
                  <w:r>
                    <w:rPr>
                      <w:rFonts w:hint="eastAsia"/>
                      <w:szCs w:val="21"/>
                    </w:rPr>
                    <w:t>。</w:t>
                  </w:r>
                </w:p>
              </w:tc>
              <w:tc>
                <w:tcPr>
                  <w:tcW w:w="934" w:type="pct"/>
                  <w:vMerge w:val="restart"/>
                  <w:noWrap w:val="0"/>
                  <w:vAlign w:val="center"/>
                </w:tcPr>
                <w:p>
                  <w:pPr>
                    <w:jc w:val="center"/>
                    <w:rPr>
                      <w:szCs w:val="21"/>
                    </w:rPr>
                  </w:pPr>
                  <w:r>
                    <w:rPr>
                      <w:rFonts w:hint="eastAsia"/>
                      <w:szCs w:val="21"/>
                    </w:rPr>
                    <w:t>计入主体工程投资</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jc w:val="center"/>
                    <w:rPr>
                      <w:szCs w:val="21"/>
                    </w:rPr>
                  </w:pPr>
                </w:p>
              </w:tc>
              <w:tc>
                <w:tcPr>
                  <w:tcW w:w="2900" w:type="pct"/>
                  <w:noWrap w:val="0"/>
                  <w:vAlign w:val="center"/>
                </w:tcPr>
                <w:p>
                  <w:pPr>
                    <w:snapToGrid w:val="0"/>
                    <w:jc w:val="left"/>
                  </w:pPr>
                  <w:r>
                    <w:rPr>
                      <w:szCs w:val="21"/>
                    </w:rPr>
                    <w:t>设置在线液位渗漏检测报警仪等监控系统、液位报警装置、油罐渗漏检测报警仪等</w:t>
                  </w:r>
                  <w:r>
                    <w:rPr>
                      <w:rFonts w:hint="eastAsia"/>
                      <w:szCs w:val="21"/>
                    </w:rPr>
                    <w:t>。</w:t>
                  </w:r>
                </w:p>
              </w:tc>
              <w:tc>
                <w:tcPr>
                  <w:tcW w:w="934" w:type="pct"/>
                  <w:vMerge w:val="continue"/>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jc w:val="center"/>
                    <w:rPr>
                      <w:szCs w:val="21"/>
                    </w:rPr>
                  </w:pPr>
                </w:p>
              </w:tc>
              <w:tc>
                <w:tcPr>
                  <w:tcW w:w="2900" w:type="pct"/>
                  <w:noWrap w:val="0"/>
                  <w:vAlign w:val="center"/>
                </w:tcPr>
                <w:p>
                  <w:pPr>
                    <w:snapToGrid w:val="0"/>
                    <w:jc w:val="left"/>
                  </w:pPr>
                  <w:r>
                    <w:rPr>
                      <w:szCs w:val="21"/>
                    </w:rPr>
                    <w:t>站内进行分区防渗：</w:t>
                  </w:r>
                  <w:r>
                    <w:rPr>
                      <w:rFonts w:hint="eastAsia" w:ascii="宋体" w:hAnsi="宋体" w:cs="宋体"/>
                      <w:szCs w:val="21"/>
                    </w:rPr>
                    <w:t>①</w:t>
                  </w:r>
                  <w:r>
                    <w:rPr>
                      <w:szCs w:val="21"/>
                    </w:rPr>
                    <w:t>重点防渗区：</w:t>
                  </w:r>
                  <w:r>
                    <w:rPr>
                      <w:rFonts w:hint="eastAsia"/>
                      <w:szCs w:val="21"/>
                    </w:rPr>
                    <w:t>油罐区、加油管道、柴油</w:t>
                  </w:r>
                  <w:r>
                    <w:rPr>
                      <w:rFonts w:hint="eastAsia" w:ascii="宋体" w:hAnsi="宋体" w:cs="宋体"/>
                      <w:szCs w:val="21"/>
                    </w:rPr>
                    <w:t>发电机房、危废暂存间</w:t>
                  </w:r>
                  <w:r>
                    <w:rPr>
                      <w:rFonts w:ascii="宋体" w:hAnsi="宋体" w:cs="宋体"/>
                      <w:szCs w:val="21"/>
                    </w:rPr>
                    <w:t>；</w:t>
                  </w:r>
                  <w:r>
                    <w:rPr>
                      <w:rFonts w:hint="eastAsia" w:ascii="宋体" w:hAnsi="宋体" w:cs="宋体"/>
                      <w:szCs w:val="21"/>
                    </w:rPr>
                    <w:t>②</w:t>
                  </w:r>
                  <w:r>
                    <w:rPr>
                      <w:rFonts w:ascii="宋体" w:hAnsi="宋体" w:cs="宋体"/>
                      <w:szCs w:val="21"/>
                    </w:rPr>
                    <w:t>一般防渗区：</w:t>
                  </w:r>
                  <w:r>
                    <w:rPr>
                      <w:rFonts w:hint="eastAsia" w:ascii="宋体" w:hAnsi="宋体" w:cs="宋体"/>
                      <w:szCs w:val="21"/>
                    </w:rPr>
                    <w:t>加油区、洗车区、隔油池、化粪池</w:t>
                  </w:r>
                  <w:r>
                    <w:rPr>
                      <w:rFonts w:ascii="宋体" w:hAnsi="宋体" w:cs="宋体"/>
                      <w:szCs w:val="21"/>
                    </w:rPr>
                    <w:t xml:space="preserve">； </w:t>
                  </w:r>
                  <w:r>
                    <w:rPr>
                      <w:rFonts w:hint="eastAsia" w:ascii="宋体" w:hAnsi="宋体" w:cs="宋体"/>
                      <w:szCs w:val="21"/>
                    </w:rPr>
                    <w:t>③</w:t>
                  </w:r>
                  <w:r>
                    <w:rPr>
                      <w:rFonts w:ascii="宋体" w:hAnsi="宋体" w:cs="宋体"/>
                      <w:szCs w:val="21"/>
                    </w:rPr>
                    <w:t>简单防渗区：</w:t>
                  </w:r>
                  <w:r>
                    <w:rPr>
                      <w:rFonts w:hint="eastAsia" w:ascii="宋体" w:hAnsi="宋体" w:cs="宋体"/>
                      <w:szCs w:val="21"/>
                    </w:rPr>
                    <w:t>场区站房及站内道路地面等除绿化带以外的其他区域</w:t>
                  </w:r>
                  <w:r>
                    <w:rPr>
                      <w:rFonts w:ascii="宋体" w:hAnsi="宋体" w:cs="宋体"/>
                      <w:szCs w:val="21"/>
                    </w:rPr>
                    <w:t>。</w:t>
                  </w:r>
                </w:p>
              </w:tc>
              <w:tc>
                <w:tcPr>
                  <w:tcW w:w="934" w:type="pct"/>
                  <w:vMerge w:val="restart"/>
                  <w:noWrap w:val="0"/>
                  <w:vAlign w:val="center"/>
                </w:tcPr>
                <w:p>
                  <w:pPr>
                    <w:jc w:val="center"/>
                    <w:rPr>
                      <w:rFonts w:hint="eastAsia"/>
                      <w:szCs w:val="21"/>
                    </w:rPr>
                  </w:pPr>
                  <w:r>
                    <w:rPr>
                      <w:rFonts w:hint="eastAsia"/>
                      <w:szCs w:val="21"/>
                    </w:rPr>
                    <w:t>10.0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vMerge w:val="continue"/>
                  <w:noWrap w:val="0"/>
                  <w:vAlign w:val="center"/>
                </w:tcPr>
                <w:p>
                  <w:pPr>
                    <w:jc w:val="center"/>
                    <w:rPr>
                      <w:szCs w:val="21"/>
                    </w:rPr>
                  </w:pPr>
                </w:p>
              </w:tc>
              <w:tc>
                <w:tcPr>
                  <w:tcW w:w="2900" w:type="pct"/>
                  <w:noWrap w:val="0"/>
                  <w:vAlign w:val="center"/>
                </w:tcPr>
                <w:p>
                  <w:pPr>
                    <w:snapToGrid w:val="0"/>
                    <w:jc w:val="left"/>
                  </w:pPr>
                  <w:r>
                    <w:rPr>
                      <w:szCs w:val="21"/>
                    </w:rPr>
                    <w:t>设地下水监测井1座，定期进行地下水常规监测。</w:t>
                  </w:r>
                </w:p>
              </w:tc>
              <w:tc>
                <w:tcPr>
                  <w:tcW w:w="934" w:type="pct"/>
                  <w:vMerge w:val="continue"/>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jc w:val="center"/>
                    <w:rPr>
                      <w:szCs w:val="21"/>
                    </w:rPr>
                  </w:pPr>
                  <w:r>
                    <w:rPr>
                      <w:szCs w:val="21"/>
                    </w:rPr>
                    <w:t>风险防范措施</w:t>
                  </w:r>
                </w:p>
              </w:tc>
              <w:tc>
                <w:tcPr>
                  <w:tcW w:w="2900" w:type="pct"/>
                  <w:noWrap w:val="0"/>
                  <w:vAlign w:val="center"/>
                </w:tcPr>
                <w:p>
                  <w:pPr>
                    <w:jc w:val="left"/>
                    <w:rPr>
                      <w:szCs w:val="21"/>
                    </w:rPr>
                  </w:pPr>
                  <w:r>
                    <w:rPr>
                      <w:rFonts w:hint="eastAsia"/>
                    </w:rPr>
                    <w:t>采</w:t>
                  </w:r>
                  <w:r>
                    <w:t>用双层油罐、采取分区防渗等措施；安装泄漏报警装置；配备灭火器、消防砂 池等消防器材；加强站区进出车辆管理以及各类设备输油管线的维护；站区设置 安全警示标识，加强员工安全培训，编制《事故应急预案》等</w:t>
                  </w:r>
                  <w:r>
                    <w:rPr>
                      <w:rFonts w:hint="eastAsia"/>
                    </w:rPr>
                    <w:t>。</w:t>
                  </w:r>
                </w:p>
              </w:tc>
              <w:tc>
                <w:tcPr>
                  <w:tcW w:w="934" w:type="pct"/>
                  <w:noWrap w:val="0"/>
                  <w:vAlign w:val="center"/>
                </w:tcPr>
                <w:p>
                  <w:pPr>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noWrap w:val="0"/>
                  <w:vAlign w:val="center"/>
                </w:tcPr>
                <w:p>
                  <w:pPr>
                    <w:snapToGrid w:val="0"/>
                    <w:jc w:val="center"/>
                    <w:outlineLvl w:val="0"/>
                    <w:rPr>
                      <w:szCs w:val="21"/>
                    </w:rPr>
                  </w:pPr>
                </w:p>
              </w:tc>
              <w:tc>
                <w:tcPr>
                  <w:tcW w:w="666" w:type="pct"/>
                  <w:noWrap w:val="0"/>
                  <w:vAlign w:val="center"/>
                </w:tcPr>
                <w:p>
                  <w:pPr>
                    <w:jc w:val="center"/>
                    <w:rPr>
                      <w:szCs w:val="21"/>
                    </w:rPr>
                  </w:pPr>
                  <w:r>
                    <w:rPr>
                      <w:rFonts w:hint="eastAsia"/>
                      <w:szCs w:val="21"/>
                    </w:rPr>
                    <w:t>绿化</w:t>
                  </w:r>
                </w:p>
              </w:tc>
              <w:tc>
                <w:tcPr>
                  <w:tcW w:w="2900" w:type="pct"/>
                  <w:noWrap w:val="0"/>
                  <w:vAlign w:val="center"/>
                </w:tcPr>
                <w:p>
                  <w:pPr>
                    <w:jc w:val="left"/>
                    <w:rPr>
                      <w:rFonts w:hint="eastAsia"/>
                    </w:rPr>
                  </w:pPr>
                  <w:r>
                    <w:rPr>
                      <w:szCs w:val="21"/>
                    </w:rPr>
                    <w:t>绿化面积约991.0m</w:t>
                  </w:r>
                  <w:r>
                    <w:rPr>
                      <w:szCs w:val="21"/>
                      <w:vertAlign w:val="superscript"/>
                    </w:rPr>
                    <w:t>2</w:t>
                  </w:r>
                  <w:r>
                    <w:rPr>
                      <w:szCs w:val="21"/>
                    </w:rPr>
                    <w:t>，绿化率</w:t>
                  </w:r>
                  <w:r>
                    <w:rPr>
                      <w:rFonts w:hint="eastAsia"/>
                      <w:szCs w:val="21"/>
                    </w:rPr>
                    <w:t>20.16</w:t>
                  </w:r>
                  <w:r>
                    <w:rPr>
                      <w:szCs w:val="21"/>
                    </w:rPr>
                    <w:t>%</w:t>
                  </w:r>
                  <w:r>
                    <w:rPr>
                      <w:rFonts w:hint="eastAsia"/>
                      <w:szCs w:val="21"/>
                    </w:rPr>
                    <w:t>。</w:t>
                  </w:r>
                </w:p>
              </w:tc>
              <w:tc>
                <w:tcPr>
                  <w:tcW w:w="934" w:type="pct"/>
                  <w:noWrap w:val="0"/>
                  <w:vAlign w:val="center"/>
                </w:tcPr>
                <w:p>
                  <w:pPr>
                    <w:jc w:val="center"/>
                    <w:rPr>
                      <w:szCs w:val="21"/>
                    </w:rPr>
                  </w:pPr>
                  <w:r>
                    <w:rPr>
                      <w:rFonts w:hint="eastAsia"/>
                      <w:szCs w:val="21"/>
                    </w:rPr>
                    <w:t>20.0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6" w:type="pct"/>
                  <w:gridSpan w:val="2"/>
                  <w:noWrap w:val="0"/>
                  <w:vAlign w:val="center"/>
                </w:tcPr>
                <w:p>
                  <w:pPr>
                    <w:snapToGrid w:val="0"/>
                    <w:jc w:val="center"/>
                    <w:outlineLvl w:val="0"/>
                    <w:rPr>
                      <w:szCs w:val="21"/>
                    </w:rPr>
                  </w:pPr>
                  <w:r>
                    <w:rPr>
                      <w:szCs w:val="21"/>
                    </w:rPr>
                    <w:t>小计</w:t>
                  </w:r>
                </w:p>
              </w:tc>
              <w:tc>
                <w:tcPr>
                  <w:tcW w:w="2900" w:type="pct"/>
                  <w:noWrap w:val="0"/>
                  <w:vAlign w:val="center"/>
                </w:tcPr>
                <w:p>
                  <w:pPr>
                    <w:snapToGrid w:val="0"/>
                    <w:jc w:val="center"/>
                    <w:outlineLvl w:val="0"/>
                    <w:rPr>
                      <w:szCs w:val="21"/>
                    </w:rPr>
                  </w:pPr>
                  <w:r>
                    <w:rPr>
                      <w:szCs w:val="21"/>
                    </w:rPr>
                    <w:t>/</w:t>
                  </w:r>
                </w:p>
              </w:tc>
              <w:tc>
                <w:tcPr>
                  <w:tcW w:w="934" w:type="pct"/>
                  <w:noWrap w:val="0"/>
                  <w:vAlign w:val="center"/>
                </w:tcPr>
                <w:p>
                  <w:pPr>
                    <w:snapToGrid w:val="0"/>
                    <w:jc w:val="center"/>
                    <w:outlineLvl w:val="0"/>
                    <w:rPr>
                      <w:szCs w:val="21"/>
                    </w:rPr>
                  </w:pPr>
                  <w:r>
                    <w:rPr>
                      <w:rFonts w:hint="eastAsia"/>
                      <w:szCs w:val="21"/>
                    </w:rPr>
                    <w:t>80.2</w:t>
                  </w:r>
                </w:p>
              </w:tc>
            </w:tr>
          </w:tbl>
          <w:p>
            <w:pPr>
              <w:pStyle w:val="889"/>
              <w:spacing w:before="120" w:beforeLines="50"/>
              <w:ind w:firstLine="0" w:firstLineChars="0"/>
              <w:rPr>
                <w:bCs w:val="0"/>
                <w:spacing w:val="-10"/>
                <w:szCs w:val="21"/>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65"/>
        <w:spacing w:before="0" w:beforeAutospacing="0" w:after="0" w:afterAutospacing="0" w:line="360" w:lineRule="auto"/>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21" w:name="_Hlk54167917"/>
      <w:r>
        <w:rPr>
          <w:rFonts w:ascii="Times New Roman" w:hAnsi="Times New Roman"/>
          <w:b/>
          <w:bCs/>
          <w:snapToGrid w:val="0"/>
          <w:sz w:val="30"/>
          <w:szCs w:val="30"/>
        </w:rPr>
        <w:t>环境保护措施监督检查清单</w:t>
      </w:r>
      <w:bookmarkEnd w:id="21"/>
    </w:p>
    <w:tbl>
      <w:tblPr>
        <w:tblStyle w:val="7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tcBorders>
              <w:tl2br w:val="single" w:color="auto" w:sz="4" w:space="0"/>
            </w:tcBorders>
            <w:noWrap w:val="0"/>
            <w:vAlign w:val="center"/>
          </w:tcPr>
          <w:p>
            <w:pPr>
              <w:adjustRightInd w:val="0"/>
              <w:snapToGrid w:val="0"/>
              <w:spacing w:line="276" w:lineRule="auto"/>
              <w:ind w:firstLine="840"/>
              <w:rPr>
                <w:b/>
                <w:bCs/>
                <w:sz w:val="24"/>
              </w:rPr>
            </w:pPr>
            <w:r>
              <w:rPr>
                <w:b/>
                <w:bCs/>
                <w:sz w:val="24"/>
              </w:rPr>
              <w:t>内容</w:t>
            </w:r>
          </w:p>
          <w:p>
            <w:pPr>
              <w:adjustRightInd w:val="0"/>
              <w:snapToGrid w:val="0"/>
              <w:spacing w:line="276" w:lineRule="auto"/>
              <w:rPr>
                <w:b/>
                <w:bCs/>
                <w:sz w:val="24"/>
              </w:rPr>
            </w:pPr>
            <w:r>
              <w:rPr>
                <w:b/>
                <w:bCs/>
                <w:sz w:val="24"/>
              </w:rPr>
              <w:t>要素</w:t>
            </w:r>
          </w:p>
        </w:tc>
        <w:tc>
          <w:tcPr>
            <w:tcW w:w="1755" w:type="dxa"/>
            <w:noWrap w:val="0"/>
            <w:vAlign w:val="center"/>
          </w:tcPr>
          <w:p>
            <w:pPr>
              <w:adjustRightInd w:val="0"/>
              <w:snapToGrid w:val="0"/>
              <w:spacing w:line="276" w:lineRule="auto"/>
              <w:jc w:val="center"/>
              <w:rPr>
                <w:b/>
                <w:bCs/>
                <w:sz w:val="24"/>
              </w:rPr>
            </w:pPr>
            <w:r>
              <w:rPr>
                <w:b/>
                <w:bCs/>
                <w:sz w:val="24"/>
              </w:rPr>
              <w:t>排放口(编号、</w:t>
            </w:r>
          </w:p>
          <w:p>
            <w:pPr>
              <w:adjustRightInd w:val="0"/>
              <w:snapToGrid w:val="0"/>
              <w:spacing w:line="276" w:lineRule="auto"/>
              <w:jc w:val="center"/>
              <w:rPr>
                <w:b/>
                <w:bCs/>
                <w:sz w:val="24"/>
              </w:rPr>
            </w:pPr>
            <w:r>
              <w:rPr>
                <w:b/>
                <w:bCs/>
                <w:sz w:val="24"/>
              </w:rPr>
              <w:t>名称)/污染源</w:t>
            </w:r>
          </w:p>
        </w:tc>
        <w:tc>
          <w:tcPr>
            <w:tcW w:w="1755" w:type="dxa"/>
            <w:noWrap w:val="0"/>
            <w:vAlign w:val="center"/>
          </w:tcPr>
          <w:p>
            <w:pPr>
              <w:adjustRightInd w:val="0"/>
              <w:snapToGrid w:val="0"/>
              <w:spacing w:line="276" w:lineRule="auto"/>
              <w:jc w:val="center"/>
              <w:rPr>
                <w:b/>
                <w:bCs/>
                <w:sz w:val="24"/>
              </w:rPr>
            </w:pPr>
            <w:r>
              <w:rPr>
                <w:b/>
                <w:bCs/>
                <w:sz w:val="24"/>
              </w:rPr>
              <w:t>污染物项目</w:t>
            </w:r>
          </w:p>
        </w:tc>
        <w:tc>
          <w:tcPr>
            <w:tcW w:w="1755" w:type="dxa"/>
            <w:noWrap w:val="0"/>
            <w:vAlign w:val="center"/>
          </w:tcPr>
          <w:p>
            <w:pPr>
              <w:adjustRightInd w:val="0"/>
              <w:snapToGrid w:val="0"/>
              <w:spacing w:line="276" w:lineRule="auto"/>
              <w:jc w:val="center"/>
              <w:rPr>
                <w:b/>
                <w:bCs/>
                <w:sz w:val="24"/>
              </w:rPr>
            </w:pPr>
            <w:r>
              <w:rPr>
                <w:b/>
                <w:bCs/>
                <w:sz w:val="24"/>
              </w:rPr>
              <w:t>环境保护措施</w:t>
            </w:r>
          </w:p>
        </w:tc>
        <w:tc>
          <w:tcPr>
            <w:tcW w:w="1757" w:type="dxa"/>
            <w:noWrap w:val="0"/>
            <w:vAlign w:val="center"/>
          </w:tcPr>
          <w:p>
            <w:pPr>
              <w:adjustRightInd w:val="0"/>
              <w:snapToGrid w:val="0"/>
              <w:spacing w:line="276" w:lineRule="auto"/>
              <w:jc w:val="center"/>
              <w:rPr>
                <w:b/>
                <w:bCs/>
                <w:sz w:val="24"/>
              </w:rPr>
            </w:pPr>
            <w:r>
              <w:rPr>
                <w:b/>
                <w:bCs/>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restart"/>
            <w:noWrap w:val="0"/>
            <w:vAlign w:val="center"/>
          </w:tcPr>
          <w:p>
            <w:pPr>
              <w:adjustRightInd w:val="0"/>
              <w:snapToGrid w:val="0"/>
              <w:spacing w:line="276" w:lineRule="auto"/>
              <w:jc w:val="center"/>
              <w:rPr>
                <w:b/>
                <w:bCs/>
                <w:sz w:val="24"/>
              </w:rPr>
            </w:pPr>
            <w:r>
              <w:rPr>
                <w:b/>
                <w:bCs/>
                <w:sz w:val="24"/>
              </w:rPr>
              <w:t>大气环境</w:t>
            </w:r>
          </w:p>
        </w:tc>
        <w:tc>
          <w:tcPr>
            <w:tcW w:w="1755" w:type="dxa"/>
            <w:noWrap w:val="0"/>
            <w:vAlign w:val="center"/>
          </w:tcPr>
          <w:p>
            <w:pPr>
              <w:adjustRightInd w:val="0"/>
              <w:snapToGrid w:val="0"/>
              <w:spacing w:line="276" w:lineRule="auto"/>
              <w:jc w:val="center"/>
              <w:rPr>
                <w:rFonts w:hint="eastAsia"/>
                <w:sz w:val="24"/>
              </w:rPr>
            </w:pPr>
            <w:r>
              <w:rPr>
                <w:rFonts w:hint="eastAsia"/>
                <w:sz w:val="24"/>
              </w:rPr>
              <w:t>MP</w:t>
            </w:r>
            <w:r>
              <w:rPr>
                <w:sz w:val="24"/>
              </w:rPr>
              <w:t>0001/</w:t>
            </w:r>
            <w:r>
              <w:rPr>
                <w:rFonts w:hint="eastAsia"/>
                <w:sz w:val="24"/>
              </w:rPr>
              <w:t>卸油</w:t>
            </w:r>
          </w:p>
          <w:p>
            <w:pPr>
              <w:adjustRightInd w:val="0"/>
              <w:snapToGrid w:val="0"/>
              <w:spacing w:line="276" w:lineRule="auto"/>
              <w:jc w:val="center"/>
              <w:rPr>
                <w:sz w:val="24"/>
              </w:rPr>
            </w:pPr>
            <w:r>
              <w:rPr>
                <w:rFonts w:hint="eastAsia"/>
                <w:sz w:val="24"/>
              </w:rPr>
              <w:t>MP</w:t>
            </w:r>
            <w:r>
              <w:rPr>
                <w:sz w:val="24"/>
              </w:rPr>
              <w:t>000</w:t>
            </w:r>
            <w:r>
              <w:rPr>
                <w:rFonts w:hint="eastAsia"/>
                <w:sz w:val="24"/>
              </w:rPr>
              <w:t>2</w:t>
            </w:r>
            <w:r>
              <w:rPr>
                <w:sz w:val="24"/>
              </w:rPr>
              <w:t>/</w:t>
            </w:r>
            <w:r>
              <w:rPr>
                <w:rFonts w:hint="eastAsia"/>
                <w:sz w:val="24"/>
              </w:rPr>
              <w:t>储油</w:t>
            </w:r>
          </w:p>
          <w:p>
            <w:pPr>
              <w:adjustRightInd w:val="0"/>
              <w:snapToGrid w:val="0"/>
              <w:spacing w:line="276" w:lineRule="auto"/>
              <w:jc w:val="center"/>
              <w:rPr>
                <w:sz w:val="24"/>
              </w:rPr>
            </w:pPr>
            <w:r>
              <w:rPr>
                <w:rFonts w:hint="eastAsia"/>
                <w:sz w:val="24"/>
              </w:rPr>
              <w:t>MP</w:t>
            </w:r>
            <w:r>
              <w:rPr>
                <w:sz w:val="24"/>
              </w:rPr>
              <w:t>000</w:t>
            </w:r>
            <w:r>
              <w:rPr>
                <w:rFonts w:hint="eastAsia"/>
                <w:sz w:val="24"/>
              </w:rPr>
              <w:t>3</w:t>
            </w:r>
            <w:r>
              <w:rPr>
                <w:sz w:val="24"/>
              </w:rPr>
              <w:t>/</w:t>
            </w:r>
            <w:r>
              <w:rPr>
                <w:rFonts w:hint="eastAsia"/>
                <w:sz w:val="24"/>
              </w:rPr>
              <w:t>加油</w:t>
            </w:r>
          </w:p>
        </w:tc>
        <w:tc>
          <w:tcPr>
            <w:tcW w:w="1755" w:type="dxa"/>
            <w:noWrap w:val="0"/>
            <w:vAlign w:val="center"/>
          </w:tcPr>
          <w:p>
            <w:pPr>
              <w:adjustRightInd w:val="0"/>
              <w:snapToGrid w:val="0"/>
              <w:spacing w:line="276" w:lineRule="auto"/>
              <w:jc w:val="center"/>
              <w:rPr>
                <w:sz w:val="24"/>
              </w:rPr>
            </w:pPr>
            <w:r>
              <w:rPr>
                <w:rFonts w:hint="eastAsia"/>
                <w:sz w:val="24"/>
              </w:rPr>
              <w:t>挥发油气</w:t>
            </w:r>
          </w:p>
        </w:tc>
        <w:tc>
          <w:tcPr>
            <w:tcW w:w="1755" w:type="dxa"/>
            <w:noWrap w:val="0"/>
            <w:vAlign w:val="center"/>
          </w:tcPr>
          <w:p>
            <w:pPr>
              <w:adjustRightInd w:val="0"/>
              <w:snapToGrid w:val="0"/>
              <w:spacing w:line="276" w:lineRule="auto"/>
              <w:jc w:val="center"/>
              <w:rPr>
                <w:rFonts w:hint="eastAsia"/>
                <w:sz w:val="24"/>
              </w:rPr>
            </w:pPr>
            <w:r>
              <w:rPr>
                <w:sz w:val="24"/>
              </w:rPr>
              <w:t>安装汽油一次、二次</w:t>
            </w:r>
            <w:r>
              <w:rPr>
                <w:rFonts w:hint="eastAsia"/>
                <w:sz w:val="24"/>
              </w:rPr>
              <w:t>、三次</w:t>
            </w:r>
            <w:r>
              <w:rPr>
                <w:sz w:val="24"/>
              </w:rPr>
              <w:t>油气回收系统</w:t>
            </w:r>
            <w:r>
              <w:rPr>
                <w:rFonts w:hint="eastAsia"/>
                <w:sz w:val="24"/>
              </w:rPr>
              <w:t>及</w:t>
            </w:r>
            <w:r>
              <w:rPr>
                <w:sz w:val="24"/>
              </w:rPr>
              <w:t>配套的输油管线</w:t>
            </w:r>
            <w:r>
              <w:rPr>
                <w:rFonts w:hint="eastAsia"/>
                <w:sz w:val="24"/>
              </w:rPr>
              <w:t>，储油罐设置</w:t>
            </w:r>
            <w:r>
              <w:rPr>
                <w:sz w:val="24"/>
              </w:rPr>
              <w:t>高出地面4.0m</w:t>
            </w:r>
            <w:r>
              <w:rPr>
                <w:rFonts w:hint="eastAsia"/>
                <w:sz w:val="24"/>
              </w:rPr>
              <w:t>的</w:t>
            </w:r>
            <w:r>
              <w:rPr>
                <w:sz w:val="24"/>
              </w:rPr>
              <w:t>通气立管</w:t>
            </w:r>
            <w:r>
              <w:rPr>
                <w:rFonts w:hint="eastAsia"/>
                <w:sz w:val="24"/>
              </w:rPr>
              <w:t>，</w:t>
            </w:r>
            <w:r>
              <w:rPr>
                <w:sz w:val="24"/>
              </w:rPr>
              <w:t>管口设置呼吸阀</w:t>
            </w:r>
          </w:p>
        </w:tc>
        <w:tc>
          <w:tcPr>
            <w:tcW w:w="1757" w:type="dxa"/>
            <w:noWrap w:val="0"/>
            <w:vAlign w:val="center"/>
          </w:tcPr>
          <w:p>
            <w:pPr>
              <w:adjustRightInd w:val="0"/>
              <w:snapToGrid w:val="0"/>
              <w:spacing w:line="276" w:lineRule="auto"/>
              <w:jc w:val="center"/>
              <w:rPr>
                <w:sz w:val="24"/>
              </w:rPr>
            </w:pPr>
            <w:r>
              <w:rPr>
                <w:sz w:val="24"/>
              </w:rPr>
              <w:t xml:space="preserve">《四川省加油站大 气污染物排放标准》 </w:t>
            </w:r>
            <w:r>
              <w:rPr>
                <w:rFonts w:hint="eastAsia"/>
                <w:sz w:val="24"/>
              </w:rPr>
              <w:t>（</w:t>
            </w:r>
            <w:r>
              <w:rPr>
                <w:sz w:val="24"/>
              </w:rPr>
              <w:t>DB51/2865-2021</w:t>
            </w:r>
            <w:r>
              <w:rPr>
                <w:rFonts w:hint="eastAsia"/>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spacing w:line="276" w:lineRule="auto"/>
              <w:jc w:val="center"/>
              <w:rPr>
                <w:b/>
                <w:bCs/>
                <w:sz w:val="24"/>
              </w:rPr>
            </w:pPr>
          </w:p>
        </w:tc>
        <w:tc>
          <w:tcPr>
            <w:tcW w:w="1755" w:type="dxa"/>
            <w:noWrap w:val="0"/>
            <w:vAlign w:val="center"/>
          </w:tcPr>
          <w:p>
            <w:pPr>
              <w:adjustRightInd w:val="0"/>
              <w:snapToGrid w:val="0"/>
              <w:spacing w:line="276" w:lineRule="auto"/>
              <w:jc w:val="center"/>
              <w:rPr>
                <w:rFonts w:hint="eastAsia"/>
                <w:sz w:val="24"/>
              </w:rPr>
            </w:pPr>
            <w:r>
              <w:rPr>
                <w:rFonts w:hint="eastAsia"/>
                <w:sz w:val="24"/>
              </w:rPr>
              <w:t>MP</w:t>
            </w:r>
            <w:r>
              <w:rPr>
                <w:sz w:val="24"/>
              </w:rPr>
              <w:t>000</w:t>
            </w:r>
            <w:r>
              <w:rPr>
                <w:rFonts w:hint="eastAsia"/>
                <w:sz w:val="24"/>
              </w:rPr>
              <w:t>4</w:t>
            </w:r>
            <w:r>
              <w:rPr>
                <w:sz w:val="24"/>
              </w:rPr>
              <w:t>/</w:t>
            </w:r>
            <w:r>
              <w:rPr>
                <w:rFonts w:hint="eastAsia"/>
                <w:sz w:val="24"/>
              </w:rPr>
              <w:t>卸气</w:t>
            </w:r>
          </w:p>
          <w:p>
            <w:pPr>
              <w:adjustRightInd w:val="0"/>
              <w:snapToGrid w:val="0"/>
              <w:spacing w:line="276" w:lineRule="auto"/>
              <w:jc w:val="center"/>
              <w:rPr>
                <w:sz w:val="24"/>
              </w:rPr>
            </w:pPr>
            <w:r>
              <w:rPr>
                <w:rFonts w:hint="eastAsia"/>
                <w:sz w:val="24"/>
              </w:rPr>
              <w:t>MP</w:t>
            </w:r>
            <w:r>
              <w:rPr>
                <w:sz w:val="24"/>
              </w:rPr>
              <w:t>000</w:t>
            </w:r>
            <w:r>
              <w:rPr>
                <w:rFonts w:hint="eastAsia"/>
                <w:sz w:val="24"/>
              </w:rPr>
              <w:t>5</w:t>
            </w:r>
            <w:r>
              <w:rPr>
                <w:sz w:val="24"/>
              </w:rPr>
              <w:t>/</w:t>
            </w:r>
            <w:r>
              <w:rPr>
                <w:rFonts w:hint="eastAsia"/>
                <w:sz w:val="24"/>
              </w:rPr>
              <w:t>储气</w:t>
            </w:r>
          </w:p>
          <w:p>
            <w:pPr>
              <w:adjustRightInd w:val="0"/>
              <w:snapToGrid w:val="0"/>
              <w:spacing w:line="276" w:lineRule="auto"/>
              <w:jc w:val="center"/>
              <w:rPr>
                <w:rFonts w:hint="eastAsia"/>
                <w:sz w:val="24"/>
              </w:rPr>
            </w:pPr>
            <w:r>
              <w:rPr>
                <w:rFonts w:hint="eastAsia"/>
                <w:sz w:val="24"/>
              </w:rPr>
              <w:t>MP</w:t>
            </w:r>
            <w:r>
              <w:rPr>
                <w:sz w:val="24"/>
              </w:rPr>
              <w:t>000</w:t>
            </w:r>
            <w:r>
              <w:rPr>
                <w:rFonts w:hint="eastAsia"/>
                <w:sz w:val="24"/>
              </w:rPr>
              <w:t>6</w:t>
            </w:r>
            <w:r>
              <w:rPr>
                <w:sz w:val="24"/>
              </w:rPr>
              <w:t>/</w:t>
            </w:r>
            <w:r>
              <w:rPr>
                <w:rFonts w:hint="eastAsia"/>
                <w:sz w:val="24"/>
              </w:rPr>
              <w:t>加气</w:t>
            </w:r>
          </w:p>
        </w:tc>
        <w:tc>
          <w:tcPr>
            <w:tcW w:w="1755" w:type="dxa"/>
            <w:noWrap w:val="0"/>
            <w:vAlign w:val="center"/>
          </w:tcPr>
          <w:p>
            <w:pPr>
              <w:adjustRightInd w:val="0"/>
              <w:snapToGrid w:val="0"/>
              <w:spacing w:line="276" w:lineRule="auto"/>
              <w:jc w:val="center"/>
              <w:rPr>
                <w:rFonts w:hint="eastAsia"/>
                <w:sz w:val="24"/>
              </w:rPr>
            </w:pPr>
            <w:r>
              <w:rPr>
                <w:rFonts w:hint="eastAsia"/>
                <w:sz w:val="24"/>
              </w:rPr>
              <w:t>放散天然气及闪蒸气（以非甲烷总烃计）</w:t>
            </w:r>
          </w:p>
        </w:tc>
        <w:tc>
          <w:tcPr>
            <w:tcW w:w="1755" w:type="dxa"/>
            <w:noWrap w:val="0"/>
            <w:vAlign w:val="center"/>
          </w:tcPr>
          <w:p>
            <w:pPr>
              <w:adjustRightInd w:val="0"/>
              <w:snapToGrid w:val="0"/>
              <w:spacing w:line="276" w:lineRule="auto"/>
              <w:jc w:val="center"/>
              <w:rPr>
                <w:sz w:val="24"/>
              </w:rPr>
            </w:pPr>
            <w:r>
              <w:rPr>
                <w:rFonts w:hint="eastAsia"/>
                <w:sz w:val="24"/>
              </w:rPr>
              <w:t>卸气闪蒸气</w:t>
            </w:r>
            <w:r>
              <w:rPr>
                <w:sz w:val="24"/>
              </w:rPr>
              <w:t>由气相管线返回LNG槽车</w:t>
            </w:r>
            <w:r>
              <w:rPr>
                <w:rFonts w:hint="eastAsia"/>
                <w:sz w:val="24"/>
              </w:rPr>
              <w:t>，放散天然气通过9m高放散管排放</w:t>
            </w:r>
          </w:p>
        </w:tc>
        <w:tc>
          <w:tcPr>
            <w:tcW w:w="1757" w:type="dxa"/>
            <w:noWrap w:val="0"/>
            <w:vAlign w:val="center"/>
          </w:tcPr>
          <w:p>
            <w:pPr>
              <w:adjustRightInd w:val="0"/>
              <w:snapToGrid w:val="0"/>
              <w:spacing w:line="276" w:lineRule="auto"/>
              <w:jc w:val="center"/>
              <w:rPr>
                <w:sz w:val="24"/>
              </w:rPr>
            </w:pPr>
            <w:r>
              <w:rPr>
                <w:sz w:val="24"/>
              </w:rPr>
              <w:t xml:space="preserve">《大气污染物综合排放标准》 </w:t>
            </w:r>
            <w:r>
              <w:rPr>
                <w:rFonts w:hint="eastAsia"/>
                <w:sz w:val="24"/>
              </w:rPr>
              <w:t>（</w:t>
            </w:r>
            <w:r>
              <w:rPr>
                <w:sz w:val="24"/>
              </w:rPr>
              <w:t>GB16297- 199</w:t>
            </w:r>
            <w:r>
              <w:rPr>
                <w:rFonts w:hint="eastAsia"/>
                <w:sz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spacing w:line="276" w:lineRule="auto"/>
              <w:jc w:val="center"/>
              <w:rPr>
                <w:b/>
                <w:bCs/>
                <w:sz w:val="24"/>
              </w:rPr>
            </w:pPr>
          </w:p>
        </w:tc>
        <w:tc>
          <w:tcPr>
            <w:tcW w:w="1755" w:type="dxa"/>
            <w:noWrap w:val="0"/>
            <w:vAlign w:val="center"/>
          </w:tcPr>
          <w:p>
            <w:pPr>
              <w:adjustRightInd w:val="0"/>
              <w:snapToGrid w:val="0"/>
              <w:spacing w:line="276" w:lineRule="auto"/>
              <w:jc w:val="center"/>
              <w:rPr>
                <w:rFonts w:hint="eastAsia"/>
                <w:sz w:val="24"/>
              </w:rPr>
            </w:pPr>
            <w:r>
              <w:rPr>
                <w:rFonts w:hint="eastAsia"/>
                <w:sz w:val="24"/>
              </w:rPr>
              <w:t>MP</w:t>
            </w:r>
            <w:r>
              <w:rPr>
                <w:sz w:val="24"/>
              </w:rPr>
              <w:t>000</w:t>
            </w:r>
            <w:r>
              <w:rPr>
                <w:rFonts w:hint="eastAsia"/>
                <w:sz w:val="24"/>
              </w:rPr>
              <w:t>7柴油发电机废气</w:t>
            </w:r>
          </w:p>
        </w:tc>
        <w:tc>
          <w:tcPr>
            <w:tcW w:w="1755" w:type="dxa"/>
            <w:noWrap w:val="0"/>
            <w:vAlign w:val="center"/>
          </w:tcPr>
          <w:p>
            <w:pPr>
              <w:adjustRightInd w:val="0"/>
              <w:snapToGrid w:val="0"/>
              <w:spacing w:line="276" w:lineRule="auto"/>
              <w:jc w:val="center"/>
              <w:rPr>
                <w:rFonts w:hint="eastAsia"/>
                <w:sz w:val="24"/>
              </w:rPr>
            </w:pPr>
            <w:r>
              <w:rPr>
                <w:rFonts w:hint="eastAsia"/>
                <w:sz w:val="24"/>
              </w:rPr>
              <w:t>S</w:t>
            </w:r>
            <w:r>
              <w:rPr>
                <w:sz w:val="24"/>
              </w:rPr>
              <w:t>O</w:t>
            </w:r>
            <w:r>
              <w:rPr>
                <w:rFonts w:hint="eastAsia"/>
                <w:sz w:val="24"/>
                <w:vertAlign w:val="subscript"/>
              </w:rPr>
              <w:t>2</w:t>
            </w:r>
            <w:r>
              <w:rPr>
                <w:rFonts w:hint="eastAsia"/>
                <w:sz w:val="24"/>
              </w:rPr>
              <w:t>、NO</w:t>
            </w:r>
            <w:r>
              <w:rPr>
                <w:sz w:val="24"/>
              </w:rPr>
              <w:t>x</w:t>
            </w:r>
            <w:r>
              <w:rPr>
                <w:rFonts w:hint="eastAsia"/>
                <w:sz w:val="24"/>
              </w:rPr>
              <w:t>、烟尘</w:t>
            </w:r>
          </w:p>
        </w:tc>
        <w:tc>
          <w:tcPr>
            <w:tcW w:w="1755" w:type="dxa"/>
            <w:noWrap w:val="0"/>
            <w:vAlign w:val="center"/>
          </w:tcPr>
          <w:p>
            <w:pPr>
              <w:adjustRightInd w:val="0"/>
              <w:snapToGrid w:val="0"/>
              <w:spacing w:line="276" w:lineRule="auto"/>
              <w:jc w:val="center"/>
              <w:rPr>
                <w:rFonts w:hint="eastAsia"/>
                <w:sz w:val="24"/>
              </w:rPr>
            </w:pPr>
            <w:r>
              <w:rPr>
                <w:sz w:val="24"/>
              </w:rPr>
              <w:t>柴油发电机自带消烟除尘装置处理后，引至室外排放</w:t>
            </w:r>
          </w:p>
        </w:tc>
        <w:tc>
          <w:tcPr>
            <w:tcW w:w="1757" w:type="dxa"/>
            <w:vMerge w:val="restart"/>
            <w:noWrap w:val="0"/>
            <w:vAlign w:val="center"/>
          </w:tcPr>
          <w:p>
            <w:pPr>
              <w:adjustRightInd w:val="0"/>
              <w:snapToGrid w:val="0"/>
              <w:spacing w:line="276" w:lineRule="auto"/>
              <w:jc w:val="center"/>
              <w:rPr>
                <w:sz w:val="24"/>
              </w:rPr>
            </w:pPr>
            <w:r>
              <w:rPr>
                <w:sz w:val="24"/>
              </w:rPr>
              <w:t xml:space="preserve">《大气污染物综合排放标准》 </w:t>
            </w:r>
            <w:r>
              <w:rPr>
                <w:rFonts w:hint="eastAsia"/>
                <w:sz w:val="24"/>
              </w:rPr>
              <w:t>（</w:t>
            </w:r>
            <w:r>
              <w:rPr>
                <w:sz w:val="24"/>
              </w:rPr>
              <w:t>GB16297- 199</w:t>
            </w:r>
            <w:r>
              <w:rPr>
                <w:rFonts w:hint="eastAsia"/>
                <w:sz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vMerge w:val="continue"/>
            <w:noWrap w:val="0"/>
            <w:vAlign w:val="center"/>
          </w:tcPr>
          <w:p>
            <w:pPr>
              <w:adjustRightInd w:val="0"/>
              <w:snapToGrid w:val="0"/>
              <w:spacing w:line="276" w:lineRule="auto"/>
              <w:jc w:val="center"/>
              <w:rPr>
                <w:b/>
                <w:bCs/>
                <w:sz w:val="24"/>
              </w:rPr>
            </w:pPr>
          </w:p>
        </w:tc>
        <w:tc>
          <w:tcPr>
            <w:tcW w:w="1755" w:type="dxa"/>
            <w:noWrap w:val="0"/>
            <w:vAlign w:val="center"/>
          </w:tcPr>
          <w:p>
            <w:pPr>
              <w:adjustRightInd w:val="0"/>
              <w:snapToGrid w:val="0"/>
              <w:spacing w:line="276" w:lineRule="auto"/>
              <w:jc w:val="center"/>
              <w:rPr>
                <w:rFonts w:hint="eastAsia"/>
                <w:sz w:val="24"/>
              </w:rPr>
            </w:pPr>
            <w:r>
              <w:rPr>
                <w:rFonts w:hint="eastAsia"/>
                <w:sz w:val="24"/>
              </w:rPr>
              <w:t>汽车尾气</w:t>
            </w:r>
          </w:p>
        </w:tc>
        <w:tc>
          <w:tcPr>
            <w:tcW w:w="1755" w:type="dxa"/>
            <w:noWrap w:val="0"/>
            <w:vAlign w:val="center"/>
          </w:tcPr>
          <w:p>
            <w:pPr>
              <w:adjustRightInd w:val="0"/>
              <w:snapToGrid w:val="0"/>
              <w:spacing w:line="276" w:lineRule="auto"/>
              <w:jc w:val="center"/>
              <w:rPr>
                <w:rFonts w:hint="eastAsia"/>
                <w:sz w:val="24"/>
              </w:rPr>
            </w:pPr>
            <w:r>
              <w:rPr>
                <w:rFonts w:hint="eastAsia"/>
                <w:sz w:val="24"/>
              </w:rPr>
              <w:t>S</w:t>
            </w:r>
            <w:r>
              <w:rPr>
                <w:sz w:val="24"/>
              </w:rPr>
              <w:t>O</w:t>
            </w:r>
            <w:r>
              <w:rPr>
                <w:rFonts w:hint="eastAsia"/>
                <w:sz w:val="24"/>
                <w:vertAlign w:val="subscript"/>
              </w:rPr>
              <w:t>2</w:t>
            </w:r>
            <w:r>
              <w:rPr>
                <w:rFonts w:hint="eastAsia"/>
                <w:sz w:val="24"/>
              </w:rPr>
              <w:t>、NO</w:t>
            </w:r>
            <w:r>
              <w:rPr>
                <w:sz w:val="24"/>
              </w:rPr>
              <w:t>x</w:t>
            </w:r>
            <w:r>
              <w:rPr>
                <w:rFonts w:hint="eastAsia"/>
                <w:sz w:val="24"/>
              </w:rPr>
              <w:t>、HC</w:t>
            </w:r>
          </w:p>
        </w:tc>
        <w:tc>
          <w:tcPr>
            <w:tcW w:w="1755" w:type="dxa"/>
            <w:noWrap w:val="0"/>
            <w:vAlign w:val="center"/>
          </w:tcPr>
          <w:p>
            <w:pPr>
              <w:adjustRightInd w:val="0"/>
              <w:snapToGrid w:val="0"/>
              <w:spacing w:line="276" w:lineRule="auto"/>
              <w:jc w:val="center"/>
              <w:rPr>
                <w:sz w:val="24"/>
              </w:rPr>
            </w:pPr>
            <w:r>
              <w:rPr>
                <w:sz w:val="24"/>
              </w:rPr>
              <w:t>加强车辆管理，站内通风换气，利用大气扩散</w:t>
            </w:r>
          </w:p>
        </w:tc>
        <w:tc>
          <w:tcPr>
            <w:tcW w:w="1757" w:type="dxa"/>
            <w:vMerge w:val="continue"/>
            <w:noWrap w:val="0"/>
            <w:vAlign w:val="center"/>
          </w:tcPr>
          <w:p>
            <w:pPr>
              <w:adjustRightInd w:val="0"/>
              <w:snapToGrid w:val="0"/>
              <w:spacing w:line="276" w:lineRule="auto"/>
              <w:jc w:val="center"/>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地表水环境</w:t>
            </w:r>
          </w:p>
        </w:tc>
        <w:tc>
          <w:tcPr>
            <w:tcW w:w="1755" w:type="dxa"/>
            <w:noWrap w:val="0"/>
            <w:vAlign w:val="center"/>
          </w:tcPr>
          <w:p>
            <w:pPr>
              <w:adjustRightInd w:val="0"/>
              <w:snapToGrid w:val="0"/>
              <w:spacing w:line="276" w:lineRule="auto"/>
              <w:jc w:val="center"/>
              <w:rPr>
                <w:sz w:val="24"/>
              </w:rPr>
            </w:pPr>
            <w:r>
              <w:rPr>
                <w:rFonts w:hint="eastAsia"/>
                <w:sz w:val="24"/>
              </w:rPr>
              <w:t>DW</w:t>
            </w:r>
            <w:r>
              <w:rPr>
                <w:sz w:val="24"/>
              </w:rPr>
              <w:t>001/</w:t>
            </w:r>
            <w:r>
              <w:rPr>
                <w:rFonts w:hint="eastAsia"/>
                <w:sz w:val="24"/>
              </w:rPr>
              <w:t>生活污水、洗车废水、地面冲洗废水、初期雨水</w:t>
            </w:r>
          </w:p>
        </w:tc>
        <w:tc>
          <w:tcPr>
            <w:tcW w:w="1755" w:type="dxa"/>
            <w:noWrap w:val="0"/>
            <w:vAlign w:val="center"/>
          </w:tcPr>
          <w:p>
            <w:pPr>
              <w:adjustRightInd w:val="0"/>
              <w:snapToGrid w:val="0"/>
              <w:spacing w:line="276" w:lineRule="auto"/>
              <w:jc w:val="center"/>
              <w:rPr>
                <w:sz w:val="24"/>
              </w:rPr>
            </w:pPr>
            <w:r>
              <w:rPr>
                <w:sz w:val="24"/>
              </w:rPr>
              <w:t>pH、COD、BOD</w:t>
            </w:r>
            <w:r>
              <w:rPr>
                <w:sz w:val="24"/>
                <w:vertAlign w:val="subscript"/>
              </w:rPr>
              <w:t>5</w:t>
            </w:r>
            <w:r>
              <w:rPr>
                <w:sz w:val="24"/>
              </w:rPr>
              <w:t>、SS、NH</w:t>
            </w:r>
            <w:r>
              <w:rPr>
                <w:sz w:val="24"/>
                <w:vertAlign w:val="subscript"/>
              </w:rPr>
              <w:t>3</w:t>
            </w:r>
            <w:r>
              <w:rPr>
                <w:sz w:val="24"/>
              </w:rPr>
              <w:t>-N、TP、TN</w:t>
            </w:r>
          </w:p>
        </w:tc>
        <w:tc>
          <w:tcPr>
            <w:tcW w:w="1755" w:type="dxa"/>
            <w:noWrap w:val="0"/>
            <w:vAlign w:val="center"/>
          </w:tcPr>
          <w:p>
            <w:pPr>
              <w:adjustRightInd w:val="0"/>
              <w:snapToGrid w:val="0"/>
              <w:spacing w:line="276" w:lineRule="auto"/>
              <w:jc w:val="center"/>
              <w:rPr>
                <w:sz w:val="24"/>
              </w:rPr>
            </w:pPr>
            <w:r>
              <w:rPr>
                <w:rFonts w:hint="eastAsia"/>
                <w:sz w:val="24"/>
              </w:rPr>
              <w:t>生活污水经</w:t>
            </w:r>
            <w:r>
              <w:rPr>
                <w:sz w:val="24"/>
              </w:rPr>
              <w:t>化粪池处理后排至市政污水管网；</w:t>
            </w:r>
            <w:r>
              <w:rPr>
                <w:rFonts w:hint="eastAsia"/>
                <w:sz w:val="24"/>
              </w:rPr>
              <w:t>洗车废水经</w:t>
            </w:r>
            <w:r>
              <w:rPr>
                <w:rFonts w:hint="eastAsia"/>
              </w:rPr>
              <w:t>两格式隔油沉淀池1座隔油沉淀处理后上清液回用（回用率约为60%），下层废水排入化粪池，</w:t>
            </w:r>
            <w:r>
              <w:t>与生活污水一并排入市政</w:t>
            </w:r>
            <w:r>
              <w:rPr>
                <w:rFonts w:hint="eastAsia"/>
              </w:rPr>
              <w:t>污水</w:t>
            </w:r>
            <w:r>
              <w:t>管网</w:t>
            </w:r>
            <w:r>
              <w:rPr>
                <w:rFonts w:hint="eastAsia"/>
              </w:rPr>
              <w:t>；</w:t>
            </w:r>
            <w:r>
              <w:rPr>
                <w:rFonts w:hint="eastAsia"/>
                <w:sz w:val="24"/>
              </w:rPr>
              <w:t>地面冲洗废水、初期雨水通过</w:t>
            </w:r>
            <w:r>
              <w:rPr>
                <w:sz w:val="24"/>
              </w:rPr>
              <w:t>隔油池预处理后排入化粪池，与生活污水一并排入市政</w:t>
            </w:r>
            <w:r>
              <w:rPr>
                <w:rFonts w:hint="eastAsia"/>
                <w:sz w:val="24"/>
              </w:rPr>
              <w:t>污水</w:t>
            </w:r>
            <w:r>
              <w:rPr>
                <w:sz w:val="24"/>
              </w:rPr>
              <w:t>管网</w:t>
            </w:r>
          </w:p>
        </w:tc>
        <w:tc>
          <w:tcPr>
            <w:tcW w:w="1757" w:type="dxa"/>
            <w:noWrap w:val="0"/>
            <w:vAlign w:val="center"/>
          </w:tcPr>
          <w:p>
            <w:pPr>
              <w:adjustRightInd w:val="0"/>
              <w:snapToGrid w:val="0"/>
              <w:spacing w:line="276" w:lineRule="auto"/>
              <w:jc w:val="center"/>
              <w:rPr>
                <w:sz w:val="24"/>
              </w:rPr>
            </w:pPr>
            <w:r>
              <w:rPr>
                <w:sz w:val="24"/>
              </w:rPr>
              <w:t>《污水综合排放标准》</w:t>
            </w:r>
            <w:r>
              <w:rPr>
                <w:rFonts w:hint="eastAsia"/>
                <w:sz w:val="24"/>
              </w:rPr>
              <w:t>（</w:t>
            </w:r>
            <w:r>
              <w:rPr>
                <w:sz w:val="24"/>
              </w:rPr>
              <w:t>GB8978- 1996</w:t>
            </w:r>
            <w:r>
              <w:rPr>
                <w:rFonts w:hint="eastAsia"/>
                <w:sz w:val="24"/>
              </w:rPr>
              <w:t>）三级标准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声环境</w:t>
            </w:r>
          </w:p>
        </w:tc>
        <w:tc>
          <w:tcPr>
            <w:tcW w:w="1755" w:type="dxa"/>
            <w:noWrap w:val="0"/>
            <w:vAlign w:val="center"/>
          </w:tcPr>
          <w:p>
            <w:pPr>
              <w:adjustRightInd w:val="0"/>
              <w:snapToGrid w:val="0"/>
              <w:spacing w:line="276" w:lineRule="auto"/>
              <w:jc w:val="center"/>
              <w:rPr>
                <w:sz w:val="24"/>
              </w:rPr>
            </w:pPr>
            <w:r>
              <w:rPr>
                <w:rFonts w:hint="eastAsia"/>
                <w:sz w:val="24"/>
              </w:rPr>
              <w:t>油泵、LNG潜液泵、加油机、加气机、柴油发电机等设备噪声</w:t>
            </w:r>
          </w:p>
        </w:tc>
        <w:tc>
          <w:tcPr>
            <w:tcW w:w="1755" w:type="dxa"/>
            <w:noWrap w:val="0"/>
            <w:vAlign w:val="center"/>
          </w:tcPr>
          <w:p>
            <w:pPr>
              <w:adjustRightInd w:val="0"/>
              <w:snapToGrid w:val="0"/>
              <w:spacing w:line="276" w:lineRule="auto"/>
              <w:jc w:val="center"/>
              <w:rPr>
                <w:sz w:val="24"/>
              </w:rPr>
            </w:pPr>
            <w:r>
              <w:rPr>
                <w:sz w:val="24"/>
              </w:rPr>
              <w:t>噪声</w:t>
            </w:r>
          </w:p>
        </w:tc>
        <w:tc>
          <w:tcPr>
            <w:tcW w:w="1755" w:type="dxa"/>
            <w:noWrap w:val="0"/>
            <w:vAlign w:val="center"/>
          </w:tcPr>
          <w:p>
            <w:pPr>
              <w:adjustRightInd w:val="0"/>
              <w:snapToGrid w:val="0"/>
              <w:spacing w:line="276" w:lineRule="auto"/>
              <w:jc w:val="center"/>
              <w:rPr>
                <w:sz w:val="24"/>
              </w:rPr>
            </w:pPr>
            <w:r>
              <w:rPr>
                <w:sz w:val="24"/>
              </w:rPr>
              <w:t>选用低噪声设备、</w:t>
            </w:r>
            <w:r>
              <w:rPr>
                <w:rFonts w:hint="eastAsia"/>
                <w:sz w:val="24"/>
              </w:rPr>
              <w:t>设备基础减震、</w:t>
            </w:r>
            <w:r>
              <w:rPr>
                <w:sz w:val="24"/>
              </w:rPr>
              <w:t>备用柴油发电机设置专用房间；设备定期检查、维修油泵、加油机等设备；加强对进站车辆、人员的引导；设置紧鸣限速标识等</w:t>
            </w:r>
            <w:r>
              <w:rPr>
                <w:rFonts w:hint="eastAsia"/>
                <w:sz w:val="24"/>
              </w:rPr>
              <w:t>。</w:t>
            </w:r>
          </w:p>
        </w:tc>
        <w:tc>
          <w:tcPr>
            <w:tcW w:w="1757" w:type="dxa"/>
            <w:noWrap w:val="0"/>
            <w:vAlign w:val="center"/>
          </w:tcPr>
          <w:p>
            <w:pPr>
              <w:adjustRightInd w:val="0"/>
              <w:snapToGrid w:val="0"/>
              <w:spacing w:line="276" w:lineRule="auto"/>
              <w:jc w:val="center"/>
              <w:rPr>
                <w:sz w:val="24"/>
              </w:rPr>
            </w:pPr>
            <w:r>
              <w:rPr>
                <w:sz w:val="24"/>
              </w:rPr>
              <w:t>《工业企业厂界环境噪声排放标准》（GB22337-2008）2类</w:t>
            </w:r>
            <w:r>
              <w:rPr>
                <w:rFonts w:hint="eastAsia"/>
                <w:sz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电磁辐射</w:t>
            </w:r>
          </w:p>
        </w:tc>
        <w:tc>
          <w:tcPr>
            <w:tcW w:w="1755" w:type="dxa"/>
            <w:noWrap w:val="0"/>
            <w:vAlign w:val="center"/>
          </w:tcPr>
          <w:p>
            <w:pPr>
              <w:adjustRightInd w:val="0"/>
              <w:snapToGrid w:val="0"/>
              <w:spacing w:line="276" w:lineRule="auto"/>
              <w:jc w:val="center"/>
              <w:rPr>
                <w:sz w:val="24"/>
              </w:rPr>
            </w:pPr>
            <w:r>
              <w:rPr>
                <w:sz w:val="24"/>
              </w:rPr>
              <w:t>/</w:t>
            </w:r>
          </w:p>
        </w:tc>
        <w:tc>
          <w:tcPr>
            <w:tcW w:w="1755" w:type="dxa"/>
            <w:noWrap w:val="0"/>
            <w:vAlign w:val="center"/>
          </w:tcPr>
          <w:p>
            <w:pPr>
              <w:adjustRightInd w:val="0"/>
              <w:snapToGrid w:val="0"/>
              <w:spacing w:line="276" w:lineRule="auto"/>
              <w:jc w:val="center"/>
              <w:rPr>
                <w:sz w:val="24"/>
              </w:rPr>
            </w:pPr>
            <w:r>
              <w:rPr>
                <w:sz w:val="24"/>
              </w:rPr>
              <w:t>/</w:t>
            </w:r>
          </w:p>
        </w:tc>
        <w:tc>
          <w:tcPr>
            <w:tcW w:w="1755" w:type="dxa"/>
            <w:noWrap w:val="0"/>
            <w:vAlign w:val="center"/>
          </w:tcPr>
          <w:p>
            <w:pPr>
              <w:adjustRightInd w:val="0"/>
              <w:snapToGrid w:val="0"/>
              <w:spacing w:line="276" w:lineRule="auto"/>
              <w:jc w:val="center"/>
              <w:rPr>
                <w:sz w:val="24"/>
              </w:rPr>
            </w:pPr>
            <w:r>
              <w:rPr>
                <w:sz w:val="24"/>
              </w:rPr>
              <w:t>/</w:t>
            </w:r>
          </w:p>
        </w:tc>
        <w:tc>
          <w:tcPr>
            <w:tcW w:w="1757" w:type="dxa"/>
            <w:noWrap w:val="0"/>
            <w:vAlign w:val="center"/>
          </w:tcPr>
          <w:p>
            <w:pPr>
              <w:adjustRightInd w:val="0"/>
              <w:snapToGrid w:val="0"/>
              <w:spacing w:line="276" w:lineRule="auto"/>
              <w:jc w:val="center"/>
              <w:rPr>
                <w:snapToGrid w:val="0"/>
                <w:kern w:val="0"/>
                <w:sz w:val="24"/>
              </w:rPr>
            </w:pPr>
            <w:r>
              <w:rPr>
                <w:snapToGrid w:val="0"/>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固体废物</w:t>
            </w:r>
          </w:p>
        </w:tc>
        <w:tc>
          <w:tcPr>
            <w:tcW w:w="7022" w:type="dxa"/>
            <w:gridSpan w:val="4"/>
            <w:noWrap w:val="0"/>
            <w:vAlign w:val="center"/>
          </w:tcPr>
          <w:p>
            <w:pPr>
              <w:adjustRightInd w:val="0"/>
              <w:snapToGrid w:val="0"/>
              <w:spacing w:line="360" w:lineRule="auto"/>
              <w:ind w:firstLine="482" w:firstLineChars="200"/>
              <w:rPr>
                <w:b/>
                <w:sz w:val="24"/>
              </w:rPr>
            </w:pPr>
            <w:r>
              <w:rPr>
                <w:b/>
                <w:sz w:val="24"/>
              </w:rPr>
              <w:t>一般固废</w:t>
            </w:r>
            <w:r>
              <w:rPr>
                <w:rFonts w:hint="eastAsia"/>
                <w:b/>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bCs/>
                <w:sz w:val="24"/>
              </w:rPr>
              <w:t>①</w:t>
            </w:r>
            <w:r>
              <w:rPr>
                <w:bCs/>
                <w:sz w:val="24"/>
              </w:rPr>
              <w:fldChar w:fldCharType="end"/>
            </w:r>
            <w:r>
              <w:rPr>
                <w:rFonts w:hint="eastAsia"/>
                <w:bCs/>
                <w:sz w:val="24"/>
              </w:rPr>
              <w:t>生活垃圾</w:t>
            </w:r>
            <w:r>
              <w:rPr>
                <w:bCs/>
                <w:sz w:val="24"/>
              </w:rPr>
              <w:t>：</w:t>
            </w:r>
            <w:r>
              <w:rPr>
                <w:rFonts w:hint="eastAsia"/>
                <w:bCs/>
                <w:sz w:val="24"/>
              </w:rPr>
              <w:t>站内设垃圾桶进行分类收集，</w:t>
            </w:r>
            <w:r>
              <w:rPr>
                <w:bCs/>
                <w:sz w:val="24"/>
              </w:rPr>
              <w:t>交由当地环卫部门定期清运</w:t>
            </w:r>
            <w:r>
              <w:rPr>
                <w:rFonts w:hint="eastAsia"/>
                <w:bCs/>
                <w:sz w:val="24"/>
              </w:rPr>
              <w:t>处置</w:t>
            </w:r>
            <w:r>
              <w:rPr>
                <w:bCs/>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2 \* GB3</w:instrText>
            </w:r>
            <w:r>
              <w:rPr>
                <w:bCs/>
                <w:sz w:val="24"/>
              </w:rPr>
              <w:instrText xml:space="preserve"> </w:instrText>
            </w:r>
            <w:r>
              <w:rPr>
                <w:bCs/>
                <w:sz w:val="24"/>
              </w:rPr>
              <w:fldChar w:fldCharType="separate"/>
            </w:r>
            <w:r>
              <w:rPr>
                <w:rFonts w:hint="eastAsia"/>
                <w:bCs/>
                <w:sz w:val="24"/>
              </w:rPr>
              <w:t>②</w:t>
            </w:r>
            <w:r>
              <w:rPr>
                <w:bCs/>
                <w:sz w:val="24"/>
              </w:rPr>
              <w:fldChar w:fldCharType="end"/>
            </w:r>
            <w:r>
              <w:rPr>
                <w:rFonts w:hint="eastAsia"/>
                <w:bCs/>
                <w:sz w:val="24"/>
              </w:rPr>
              <w:t>化粪池及隔油池污泥</w:t>
            </w:r>
            <w:r>
              <w:rPr>
                <w:bCs/>
                <w:sz w:val="24"/>
              </w:rPr>
              <w:t>：</w:t>
            </w:r>
            <w:r>
              <w:rPr>
                <w:rFonts w:hint="eastAsia"/>
                <w:bCs/>
                <w:sz w:val="24"/>
              </w:rPr>
              <w:t>委托环卫部门定期清掏处置</w:t>
            </w:r>
            <w:r>
              <w:rPr>
                <w:bCs/>
                <w:sz w:val="24"/>
              </w:rPr>
              <w:t>。</w:t>
            </w:r>
          </w:p>
          <w:p>
            <w:pPr>
              <w:adjustRightInd w:val="0"/>
              <w:snapToGrid w:val="0"/>
              <w:spacing w:line="360" w:lineRule="auto"/>
              <w:ind w:firstLine="482" w:firstLineChars="200"/>
              <w:rPr>
                <w:b/>
                <w:sz w:val="24"/>
              </w:rPr>
            </w:pPr>
            <w:r>
              <w:rPr>
                <w:b/>
                <w:sz w:val="24"/>
              </w:rPr>
              <w:t>危险固废</w:t>
            </w:r>
            <w:r>
              <w:rPr>
                <w:rFonts w:hint="eastAsia"/>
                <w:b/>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bCs/>
                <w:sz w:val="24"/>
              </w:rPr>
              <w:t>隔油池废油</w:t>
            </w:r>
            <w:r>
              <w:rPr>
                <w:bCs/>
                <w:sz w:val="24"/>
              </w:rPr>
              <w:t>：</w:t>
            </w:r>
            <w:r>
              <w:rPr>
                <w:rFonts w:hint="eastAsia"/>
                <w:bCs/>
                <w:sz w:val="24"/>
              </w:rPr>
              <w:t>委托有资质的单位处理</w:t>
            </w:r>
            <w:r>
              <w:rPr>
                <w:bCs/>
                <w:sz w:val="24"/>
              </w:rPr>
              <w:t>。</w:t>
            </w:r>
          </w:p>
          <w:p>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bCs/>
                <w:sz w:val="24"/>
              </w:rPr>
              <w:t>②</w:t>
            </w:r>
            <w:r>
              <w:rPr>
                <w:bCs/>
                <w:sz w:val="24"/>
              </w:rPr>
              <w:fldChar w:fldCharType="end"/>
            </w:r>
            <w:r>
              <w:rPr>
                <w:bCs/>
                <w:sz w:val="24"/>
              </w:rPr>
              <w:t>清罐废水及废渣：交由专业的清罐公司</w:t>
            </w:r>
            <w:r>
              <w:rPr>
                <w:rFonts w:hint="eastAsia"/>
                <w:bCs/>
                <w:sz w:val="24"/>
              </w:rPr>
              <w:t>一并处置</w:t>
            </w:r>
            <w:r>
              <w:rPr>
                <w:bCs/>
                <w:sz w:val="24"/>
              </w:rPr>
              <w:t>。</w:t>
            </w:r>
          </w:p>
          <w:p>
            <w:pPr>
              <w:adjustRightInd w:val="0"/>
              <w:snapToGrid w:val="0"/>
              <w:spacing w:line="360" w:lineRule="auto"/>
              <w:ind w:firstLine="480" w:firstLineChars="200"/>
              <w:rPr>
                <w:rFonts w:hint="eastAsia"/>
                <w:sz w:val="24"/>
              </w:rPr>
            </w:pPr>
            <w:r>
              <w:rPr>
                <w:bCs/>
                <w:sz w:val="24"/>
              </w:rPr>
              <w:fldChar w:fldCharType="begin"/>
            </w:r>
            <w:r>
              <w:rPr>
                <w:bCs/>
                <w:sz w:val="24"/>
              </w:rPr>
              <w:instrText xml:space="preserve"> </w:instrText>
            </w:r>
            <w:r>
              <w:rPr>
                <w:rFonts w:hint="eastAsia"/>
                <w:bCs/>
                <w:sz w:val="24"/>
              </w:rPr>
              <w:instrText xml:space="preserve">= 3 \* GB3</w:instrText>
            </w:r>
            <w:r>
              <w:rPr>
                <w:bCs/>
                <w:sz w:val="24"/>
              </w:rPr>
              <w:instrText xml:space="preserve"> </w:instrText>
            </w:r>
            <w:r>
              <w:rPr>
                <w:bCs/>
                <w:sz w:val="24"/>
              </w:rPr>
              <w:fldChar w:fldCharType="separate"/>
            </w:r>
            <w:r>
              <w:rPr>
                <w:rFonts w:hint="eastAsia"/>
                <w:bCs/>
                <w:sz w:val="24"/>
              </w:rPr>
              <w:t>③</w:t>
            </w:r>
            <w:r>
              <w:rPr>
                <w:bCs/>
                <w:sz w:val="24"/>
              </w:rPr>
              <w:fldChar w:fldCharType="end"/>
            </w:r>
            <w:r>
              <w:rPr>
                <w:bCs/>
                <w:sz w:val="24"/>
              </w:rPr>
              <w:t>沾油废物：</w:t>
            </w:r>
            <w:r>
              <w:rPr>
                <w:rFonts w:hint="eastAsia"/>
                <w:bCs/>
                <w:sz w:val="24"/>
              </w:rPr>
              <w:t>委托有资质的单位处理</w:t>
            </w:r>
            <w:r>
              <w:rPr>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土壤及地下水</w:t>
            </w:r>
          </w:p>
          <w:p>
            <w:pPr>
              <w:adjustRightInd w:val="0"/>
              <w:snapToGrid w:val="0"/>
              <w:spacing w:line="276" w:lineRule="auto"/>
              <w:jc w:val="center"/>
              <w:rPr>
                <w:b/>
                <w:bCs/>
                <w:sz w:val="24"/>
              </w:rPr>
            </w:pPr>
            <w:r>
              <w:rPr>
                <w:b/>
                <w:bCs/>
                <w:sz w:val="24"/>
              </w:rPr>
              <w:t>污染防治措施</w:t>
            </w:r>
          </w:p>
        </w:tc>
        <w:tc>
          <w:tcPr>
            <w:tcW w:w="7022" w:type="dxa"/>
            <w:gridSpan w:val="4"/>
            <w:noWrap w:val="0"/>
            <w:vAlign w:val="center"/>
          </w:tcPr>
          <w:p>
            <w:pPr>
              <w:adjustRightInd w:val="0"/>
              <w:snapToGrid w:val="0"/>
              <w:spacing w:line="360" w:lineRule="auto"/>
              <w:ind w:firstLine="480" w:firstLineChars="200"/>
              <w:jc w:val="left"/>
              <w:rPr>
                <w:sz w:val="24"/>
              </w:rPr>
            </w:pPr>
            <w:r>
              <w:rPr>
                <w:sz w:val="24"/>
              </w:rPr>
              <w:t>进行分区防渗，运营期加强管理，杜绝油类物质跑、冒、漏、滴。</w:t>
            </w:r>
          </w:p>
          <w:p>
            <w:pPr>
              <w:spacing w:line="360" w:lineRule="auto"/>
              <w:ind w:firstLine="482" w:firstLineChars="200"/>
              <w:rPr>
                <w:bCs/>
                <w:sz w:val="24"/>
              </w:rPr>
            </w:pPr>
            <w:r>
              <w:rPr>
                <w:b/>
                <w:sz w:val="24"/>
              </w:rPr>
              <w:t>重点防渗区：</w:t>
            </w:r>
            <w:r>
              <w:rPr>
                <w:rFonts w:hint="eastAsia"/>
                <w:bCs/>
                <w:sz w:val="24"/>
              </w:rPr>
              <w:t>包括油罐区、加油管道、柴油发电机房、危废暂存间。</w:t>
            </w:r>
          </w:p>
          <w:p>
            <w:pPr>
              <w:spacing w:line="360" w:lineRule="auto"/>
              <w:ind w:firstLine="480" w:firstLineChars="200"/>
              <w:rPr>
                <w:bCs/>
                <w:sz w:val="24"/>
              </w:rPr>
            </w:pPr>
            <w:r>
              <w:rPr>
                <w:rFonts w:hint="eastAsia"/>
                <w:bCs/>
                <w:sz w:val="24"/>
              </w:rPr>
              <w:t>1）</w:t>
            </w:r>
            <w:r>
              <w:rPr>
                <w:bCs/>
                <w:sz w:val="24"/>
              </w:rPr>
              <w:t>油罐罐体防渗、油罐罐池防渗、输油管线防渗及站场地面防渗必须按《汽车加油加气站设计与施工规范》中的要求进行设计和施工。本项目采用卧式双层油罐，由内外2层玻璃钢纤维增强塑料组成，储罐具有均匀夹层空间配备相通泄漏检测仪。油罐双层结构，内有</w:t>
            </w:r>
            <w:r>
              <w:rPr>
                <w:rFonts w:hint="eastAsia"/>
                <w:bCs/>
                <w:sz w:val="24"/>
              </w:rPr>
              <w:t>0.1</w:t>
            </w:r>
            <w:r>
              <w:rPr>
                <w:bCs/>
                <w:sz w:val="24"/>
              </w:rPr>
              <w:t>mm的空隙，外层FRP玻璃钢保证了泄漏物不会直接渗漏污染土壤和水源。外层FRP玻璃钢不会与地下水、汽油、柴油等物质产生电解腐蚀现象。泄漏检测仪能够24小时全程监控，杜绝污染隐患。同时便于油罐的检测与维护，保护了土壤的原生环境。</w:t>
            </w:r>
          </w:p>
          <w:p>
            <w:pPr>
              <w:spacing w:line="360" w:lineRule="auto"/>
              <w:ind w:firstLine="480" w:firstLineChars="200"/>
              <w:rPr>
                <w:rFonts w:hint="eastAsia"/>
                <w:bCs/>
                <w:sz w:val="24"/>
              </w:rPr>
            </w:pPr>
            <w:r>
              <w:rPr>
                <w:rFonts w:hint="eastAsia"/>
                <w:bCs/>
                <w:sz w:val="24"/>
              </w:rPr>
              <w:t>2）</w:t>
            </w:r>
            <w:r>
              <w:rPr>
                <w:bCs/>
                <w:sz w:val="24"/>
              </w:rPr>
              <w:t>危险废物暂存间按照《危险废物贮存污染控制标准》（GB18597-20</w:t>
            </w:r>
            <w:r>
              <w:rPr>
                <w:rFonts w:hint="eastAsia"/>
                <w:bCs/>
                <w:sz w:val="24"/>
              </w:rPr>
              <w:t>23</w:t>
            </w:r>
            <w:r>
              <w:rPr>
                <w:bCs/>
                <w:sz w:val="24"/>
              </w:rPr>
              <w:t>）的要求进行防风、防雨、防晒</w:t>
            </w:r>
            <w:r>
              <w:rPr>
                <w:rFonts w:hint="eastAsia"/>
                <w:bCs/>
                <w:sz w:val="24"/>
              </w:rPr>
              <w:t>、</w:t>
            </w:r>
            <w:r>
              <w:rPr>
                <w:bCs/>
                <w:sz w:val="24"/>
              </w:rPr>
              <w:t>防渗漏</w:t>
            </w:r>
            <w:r>
              <w:rPr>
                <w:rFonts w:hint="eastAsia"/>
                <w:bCs/>
                <w:sz w:val="24"/>
              </w:rPr>
              <w:t>“四</w:t>
            </w:r>
            <w:r>
              <w:rPr>
                <w:bCs/>
                <w:sz w:val="24"/>
              </w:rPr>
              <w:t>防</w:t>
            </w:r>
            <w:r>
              <w:rPr>
                <w:rFonts w:hint="eastAsia"/>
                <w:bCs/>
                <w:sz w:val="24"/>
              </w:rPr>
              <w:t>”</w:t>
            </w:r>
            <w:r>
              <w:rPr>
                <w:bCs/>
                <w:sz w:val="24"/>
              </w:rPr>
              <w:t>措施，危废暂存间</w:t>
            </w:r>
            <w:r>
              <w:rPr>
                <w:rFonts w:hint="eastAsia"/>
                <w:bCs/>
                <w:sz w:val="24"/>
              </w:rPr>
              <w:t>采用抗渗混凝土+2mm厚高密度聚乙烯材料防渗，确保</w:t>
            </w:r>
            <w:r>
              <w:rPr>
                <w:bCs/>
                <w:sz w:val="24"/>
              </w:rPr>
              <w:t>渗透系数≤10</w:t>
            </w:r>
            <w:r>
              <w:rPr>
                <w:bCs/>
                <w:sz w:val="24"/>
                <w:vertAlign w:val="superscript"/>
              </w:rPr>
              <w:t>-10</w:t>
            </w:r>
            <w:r>
              <w:rPr>
                <w:bCs/>
                <w:sz w:val="24"/>
              </w:rPr>
              <w:t>cm/s，同时在放置危险废物区域内设置堵截泄漏的裙脚，地面与裙脚所围建的容积不低于堵截最大容器的最大储量，防止泄漏液体流出，并有利于泄漏液体的收集。</w:t>
            </w:r>
          </w:p>
          <w:p>
            <w:pPr>
              <w:spacing w:line="360" w:lineRule="auto"/>
              <w:ind w:firstLine="480" w:firstLineChars="200"/>
              <w:rPr>
                <w:kern w:val="0"/>
                <w:sz w:val="24"/>
              </w:rPr>
            </w:pPr>
            <w:r>
              <w:rPr>
                <w:rFonts w:hint="eastAsia"/>
                <w:kern w:val="0"/>
                <w:sz w:val="24"/>
              </w:rPr>
              <w:t>3）柴油发电机房地面采用</w:t>
            </w:r>
            <w:r>
              <w:rPr>
                <w:rFonts w:hint="eastAsia"/>
                <w:bCs/>
                <w:sz w:val="24"/>
              </w:rPr>
              <w:t>抗渗混凝土+2mm厚高密度聚乙烯材料防渗，确保</w:t>
            </w:r>
            <w:r>
              <w:rPr>
                <w:rFonts w:hint="eastAsia"/>
                <w:sz w:val="24"/>
              </w:rPr>
              <w:t>防渗能力达到等效黏土层Mb≥6.0</w:t>
            </w:r>
            <w:r>
              <w:rPr>
                <w:sz w:val="24"/>
              </w:rPr>
              <w:t>m</w:t>
            </w:r>
            <w:r>
              <w:rPr>
                <w:rFonts w:hint="eastAsia"/>
                <w:sz w:val="24"/>
              </w:rPr>
              <w:t>、渗透系数小于</w:t>
            </w:r>
            <w:r>
              <w:rPr>
                <w:sz w:val="24"/>
              </w:rPr>
              <w:t>1.0×10</w:t>
            </w:r>
            <w:r>
              <w:rPr>
                <w:sz w:val="24"/>
                <w:vertAlign w:val="superscript"/>
              </w:rPr>
              <w:t>-7</w:t>
            </w:r>
            <w:r>
              <w:rPr>
                <w:sz w:val="24"/>
              </w:rPr>
              <w:t>cm/s</w:t>
            </w:r>
            <w:r>
              <w:rPr>
                <w:rFonts w:hint="eastAsia"/>
                <w:sz w:val="24"/>
              </w:rPr>
              <w:t>。</w:t>
            </w:r>
          </w:p>
          <w:p>
            <w:pPr>
              <w:spacing w:line="360" w:lineRule="auto"/>
              <w:ind w:firstLine="482" w:firstLineChars="200"/>
              <w:rPr>
                <w:b/>
                <w:sz w:val="24"/>
              </w:rPr>
            </w:pPr>
            <w:r>
              <w:rPr>
                <w:b/>
                <w:sz w:val="24"/>
              </w:rPr>
              <w:t>一般防渗区</w:t>
            </w:r>
            <w:r>
              <w:rPr>
                <w:rFonts w:hint="eastAsia"/>
                <w:b/>
                <w:sz w:val="24"/>
              </w:rPr>
              <w:t>：</w:t>
            </w:r>
            <w:r>
              <w:rPr>
                <w:rFonts w:hint="eastAsia"/>
                <w:bCs/>
                <w:sz w:val="24"/>
              </w:rPr>
              <w:t>包括加油区、洗车区、化粪池、隔油池</w:t>
            </w:r>
            <w:r>
              <w:rPr>
                <w:bCs/>
                <w:sz w:val="24"/>
              </w:rPr>
              <w:t>。</w:t>
            </w:r>
          </w:p>
          <w:p>
            <w:pPr>
              <w:pStyle w:val="8"/>
              <w:ind w:firstLine="480" w:firstLineChars="200"/>
            </w:pPr>
            <w:r>
              <w:t>一般防渗区地面采取30cm厚强夯原粘土层垫层、30cm厚现浇防渗混凝土面层。通过上述措施可使一般</w:t>
            </w:r>
            <w:r>
              <w:rPr>
                <w:rFonts w:hint="eastAsia"/>
              </w:rPr>
              <w:t>防渗区</w:t>
            </w:r>
            <w:r>
              <w:t>各单元防渗</w:t>
            </w:r>
            <w:r>
              <w:rPr>
                <w:szCs w:val="24"/>
              </w:rPr>
              <w:t>层</w:t>
            </w:r>
            <w:r>
              <w:rPr>
                <w:rFonts w:hint="eastAsia"/>
                <w:szCs w:val="24"/>
              </w:rPr>
              <w:t>等效黏土防渗层Mb</w:t>
            </w:r>
            <w:r>
              <w:rPr>
                <w:szCs w:val="24"/>
              </w:rPr>
              <w:t>≥</w:t>
            </w:r>
            <w:r>
              <w:rPr>
                <w:rFonts w:hint="eastAsia"/>
                <w:szCs w:val="24"/>
              </w:rPr>
              <w:t>1.5</w:t>
            </w:r>
            <w:r>
              <w:rPr>
                <w:szCs w:val="24"/>
              </w:rPr>
              <w:t>m</w:t>
            </w:r>
            <w:r>
              <w:rPr>
                <w:rFonts w:hint="eastAsia"/>
                <w:szCs w:val="24"/>
              </w:rPr>
              <w:t>，</w:t>
            </w:r>
            <w:r>
              <w:rPr>
                <w:szCs w:val="24"/>
              </w:rPr>
              <w:t>渗透系数≤10</w:t>
            </w:r>
            <w:r>
              <w:rPr>
                <w:szCs w:val="24"/>
                <w:vertAlign w:val="superscript"/>
              </w:rPr>
              <w:t>-7</w:t>
            </w:r>
            <w:r>
              <w:rPr>
                <w:szCs w:val="24"/>
              </w:rPr>
              <w:t xml:space="preserve"> </w:t>
            </w:r>
            <w:r>
              <w:t>cm/s。</w:t>
            </w:r>
          </w:p>
          <w:p>
            <w:pPr>
              <w:spacing w:line="360" w:lineRule="auto"/>
              <w:ind w:firstLine="482" w:firstLineChars="200"/>
              <w:rPr>
                <w:bCs/>
                <w:sz w:val="24"/>
              </w:rPr>
            </w:pPr>
            <w:r>
              <w:rPr>
                <w:rFonts w:hint="eastAsia"/>
                <w:b/>
                <w:sz w:val="24"/>
              </w:rPr>
              <w:t>简单防渗区：</w:t>
            </w:r>
            <w:r>
              <w:rPr>
                <w:rFonts w:hint="eastAsia"/>
                <w:bCs/>
                <w:sz w:val="24"/>
              </w:rPr>
              <w:t>包括场区站房及站内道路地面等除绿化带以外的其他区域</w:t>
            </w:r>
            <w:r>
              <w:rPr>
                <w:bCs/>
                <w:sz w:val="24"/>
              </w:rPr>
              <w:t>。</w:t>
            </w:r>
          </w:p>
          <w:p>
            <w:pPr>
              <w:pStyle w:val="8"/>
              <w:ind w:firstLine="480" w:firstLineChars="200"/>
            </w:pPr>
            <w:r>
              <w:rPr>
                <w:rFonts w:hint="eastAsia"/>
              </w:rPr>
              <w:t>简单防渗区采用</w:t>
            </w:r>
            <w:r>
              <w:t>30cm厚强夯原粘土层垫层、30cm厚现浇混凝土</w:t>
            </w:r>
            <w:r>
              <w:rPr>
                <w:rFonts w:hint="eastAsia"/>
              </w:rPr>
              <w:t>面层措施。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z w:val="24"/>
              </w:rPr>
            </w:pPr>
            <w:r>
              <w:rPr>
                <w:b/>
                <w:bCs/>
                <w:sz w:val="24"/>
              </w:rPr>
              <w:t>生态保护措施</w:t>
            </w:r>
          </w:p>
        </w:tc>
        <w:tc>
          <w:tcPr>
            <w:tcW w:w="7022" w:type="dxa"/>
            <w:gridSpan w:val="4"/>
            <w:noWrap w:val="0"/>
            <w:vAlign w:val="center"/>
          </w:tcPr>
          <w:p>
            <w:pPr>
              <w:adjustRightInd w:val="0"/>
              <w:snapToGrid w:val="0"/>
              <w:spacing w:line="360" w:lineRule="auto"/>
              <w:ind w:firstLine="480" w:firstLineChars="200"/>
              <w:jc w:val="left"/>
              <w:rPr>
                <w:sz w:val="24"/>
              </w:rPr>
            </w:pPr>
            <w:r>
              <w:rPr>
                <w:rFonts w:hint="eastAsia" w:ascii="宋体" w:hAnsi="宋体" w:cs="宋体"/>
                <w:sz w:val="24"/>
              </w:rPr>
              <w:t>①</w:t>
            </w:r>
            <w:r>
              <w:rPr>
                <w:sz w:val="24"/>
              </w:rPr>
              <w:t xml:space="preserve">合理安排施工时间，避开雨季和汛期，做好施工防护及排水工作； </w:t>
            </w:r>
          </w:p>
          <w:p>
            <w:pPr>
              <w:adjustRightInd w:val="0"/>
              <w:snapToGrid w:val="0"/>
              <w:spacing w:line="360" w:lineRule="auto"/>
              <w:ind w:firstLine="480" w:firstLineChars="200"/>
              <w:jc w:val="left"/>
              <w:rPr>
                <w:sz w:val="24"/>
              </w:rPr>
            </w:pPr>
            <w:r>
              <w:rPr>
                <w:rFonts w:hint="eastAsia" w:ascii="宋体" w:hAnsi="宋体" w:cs="宋体"/>
                <w:sz w:val="24"/>
              </w:rPr>
              <w:t>②</w:t>
            </w:r>
            <w:r>
              <w:rPr>
                <w:sz w:val="24"/>
              </w:rPr>
              <w:t>土石方工程及时防护，随挖随运，随填随夯，不留松土，减少疏松地面的裸露时间。</w:t>
            </w:r>
          </w:p>
          <w:p>
            <w:pPr>
              <w:adjustRightInd w:val="0"/>
              <w:snapToGrid w:val="0"/>
              <w:spacing w:line="360" w:lineRule="auto"/>
              <w:ind w:firstLine="480" w:firstLineChars="200"/>
              <w:jc w:val="left"/>
              <w:rPr>
                <w:sz w:val="24"/>
              </w:rPr>
            </w:pPr>
            <w:r>
              <w:rPr>
                <w:rFonts w:hint="eastAsia" w:ascii="宋体" w:hAnsi="宋体" w:cs="宋体"/>
                <w:sz w:val="24"/>
              </w:rPr>
              <w:t>③</w:t>
            </w:r>
            <w:r>
              <w:rPr>
                <w:sz w:val="24"/>
              </w:rPr>
              <w:t>施工工场、临时堆土场四周设施挡土墙、排水沟、沉砂池等设施，地表径流经沉淀处理后排放，减少水土流失。</w:t>
            </w:r>
          </w:p>
          <w:p>
            <w:pPr>
              <w:adjustRightInd w:val="0"/>
              <w:snapToGrid w:val="0"/>
              <w:spacing w:line="360" w:lineRule="auto"/>
              <w:ind w:firstLine="480" w:firstLineChars="200"/>
              <w:jc w:val="left"/>
              <w:rPr>
                <w:sz w:val="24"/>
              </w:rPr>
            </w:pPr>
            <w:r>
              <w:rPr>
                <w:sz w:val="24"/>
              </w:rPr>
              <w:t>施工结束后，及时对项目区空地进行硬化处理和绿化，</w:t>
            </w:r>
            <w:r>
              <w:rPr>
                <w:rFonts w:hint="eastAsia"/>
                <w:sz w:val="24"/>
              </w:rPr>
              <w:t>绿化树种选择</w:t>
            </w:r>
            <w:r>
              <w:rPr>
                <w:sz w:val="24"/>
              </w:rPr>
              <w:t>当地常见且吸附能力强的</w:t>
            </w:r>
            <w:r>
              <w:rPr>
                <w:rFonts w:hint="eastAsia"/>
                <w:sz w:val="24"/>
              </w:rPr>
              <w:t>低矮植物，禁止引入外来物种。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pacing w:val="-8"/>
                <w:sz w:val="24"/>
              </w:rPr>
            </w:pPr>
            <w:r>
              <w:rPr>
                <w:b/>
                <w:bCs/>
                <w:spacing w:val="-8"/>
                <w:sz w:val="24"/>
              </w:rPr>
              <w:t>环境风险</w:t>
            </w:r>
          </w:p>
          <w:p>
            <w:pPr>
              <w:adjustRightInd w:val="0"/>
              <w:snapToGrid w:val="0"/>
              <w:spacing w:line="276" w:lineRule="auto"/>
              <w:jc w:val="center"/>
              <w:rPr>
                <w:b/>
                <w:bCs/>
                <w:spacing w:val="-8"/>
                <w:sz w:val="24"/>
              </w:rPr>
            </w:pPr>
            <w:r>
              <w:rPr>
                <w:b/>
                <w:bCs/>
                <w:spacing w:val="-8"/>
                <w:sz w:val="24"/>
              </w:rPr>
              <w:t>防范措施</w:t>
            </w:r>
          </w:p>
        </w:tc>
        <w:tc>
          <w:tcPr>
            <w:tcW w:w="7022" w:type="dxa"/>
            <w:gridSpan w:val="4"/>
            <w:noWrap w:val="0"/>
            <w:vAlign w:val="center"/>
          </w:tcPr>
          <w:p>
            <w:pPr>
              <w:adjustRightInd w:val="0"/>
              <w:snapToGrid w:val="0"/>
              <w:spacing w:line="360" w:lineRule="auto"/>
              <w:ind w:firstLine="482" w:firstLineChars="200"/>
              <w:jc w:val="left"/>
              <w:rPr>
                <w:b/>
                <w:bCs/>
                <w:sz w:val="24"/>
              </w:rPr>
            </w:pPr>
            <w:r>
              <w:rPr>
                <w:b/>
                <w:bCs/>
                <w:sz w:val="24"/>
              </w:rPr>
              <w:t>1、总图布置</w:t>
            </w:r>
          </w:p>
          <w:p>
            <w:pPr>
              <w:adjustRightInd w:val="0"/>
              <w:snapToGrid w:val="0"/>
              <w:spacing w:line="360" w:lineRule="auto"/>
              <w:ind w:firstLine="480" w:firstLineChars="200"/>
              <w:jc w:val="left"/>
              <w:rPr>
                <w:sz w:val="24"/>
              </w:rPr>
            </w:pPr>
            <w:r>
              <w:rPr>
                <w:sz w:val="24"/>
              </w:rPr>
              <w:t>根据项目总平面布置图，本项目总图布置基本符合《汽车加油加气加氢站技术标准》</w:t>
            </w:r>
            <w:r>
              <w:rPr>
                <w:rFonts w:hint="eastAsia"/>
                <w:sz w:val="24"/>
              </w:rPr>
              <w:t>（</w:t>
            </w:r>
            <w:r>
              <w:rPr>
                <w:sz w:val="24"/>
              </w:rPr>
              <w:t>GB50156-2021</w:t>
            </w:r>
            <w:r>
              <w:rPr>
                <w:rFonts w:hint="eastAsia"/>
                <w:sz w:val="24"/>
              </w:rPr>
              <w:t>）</w:t>
            </w:r>
            <w:r>
              <w:rPr>
                <w:sz w:val="24"/>
              </w:rPr>
              <w:t>、《爆炸和火灾危险环境电力装置设计规范》和《建筑设计防火规范》，各生产和辅助装置按功能分别布置，车辆进、出口分开设置，站内平面布置按进站汽车、槽车正向行驶设计，站外设置了不低于2.2m 的非燃烧式围墙与外界相隔。站区设环形消防车道并保证有足够的路面净空高度，合理设置消火栓、灭火器，相应的防火、防触电安全警示、标志。本项目加油岛、地埋式油罐、</w:t>
            </w:r>
            <w:r>
              <w:rPr>
                <w:rFonts w:hint="eastAsia"/>
                <w:sz w:val="24"/>
              </w:rPr>
              <w:t>LNG气罐、</w:t>
            </w:r>
            <w:r>
              <w:rPr>
                <w:sz w:val="24"/>
              </w:rPr>
              <w:t>通气管管口、密闭卸油点、加油</w:t>
            </w:r>
            <w:r>
              <w:rPr>
                <w:rFonts w:hint="eastAsia"/>
                <w:sz w:val="24"/>
              </w:rPr>
              <w:t>/气</w:t>
            </w:r>
            <w:r>
              <w:rPr>
                <w:sz w:val="24"/>
              </w:rPr>
              <w:t>机、站房、围墙等相互防火间距符合规范要求，本项目应及时申请并通过安全验收。</w:t>
            </w:r>
          </w:p>
          <w:p>
            <w:pPr>
              <w:adjustRightInd w:val="0"/>
              <w:snapToGrid w:val="0"/>
              <w:spacing w:line="360" w:lineRule="auto"/>
              <w:ind w:firstLine="482" w:firstLineChars="200"/>
              <w:jc w:val="left"/>
              <w:rPr>
                <w:b/>
                <w:bCs/>
                <w:sz w:val="24"/>
              </w:rPr>
            </w:pPr>
            <w:r>
              <w:rPr>
                <w:b/>
                <w:bCs/>
                <w:sz w:val="24"/>
              </w:rPr>
              <w:t>2、工艺设备</w:t>
            </w:r>
          </w:p>
          <w:p>
            <w:pPr>
              <w:adjustRightInd w:val="0"/>
              <w:snapToGrid w:val="0"/>
              <w:spacing w:line="360" w:lineRule="auto"/>
              <w:ind w:firstLine="480" w:firstLineChars="200"/>
              <w:jc w:val="left"/>
              <w:rPr>
                <w:sz w:val="24"/>
              </w:rPr>
            </w:pPr>
            <w:r>
              <w:rPr>
                <w:sz w:val="24"/>
              </w:rPr>
              <w:t>本项目采用先进、成熟、可靠的工艺和设备，以减少事故的发生。 系统严格密闭，选用材质性能好的设备和管件，以防泄漏和爆炸。</w:t>
            </w:r>
          </w:p>
          <w:p>
            <w:pPr>
              <w:adjustRightInd w:val="0"/>
              <w:snapToGrid w:val="0"/>
              <w:spacing w:line="360" w:lineRule="auto"/>
              <w:ind w:firstLine="480" w:firstLineChars="200"/>
              <w:jc w:val="left"/>
              <w:rPr>
                <w:sz w:val="24"/>
              </w:rPr>
            </w:pPr>
            <w:r>
              <w:rPr>
                <w:rFonts w:hint="eastAsia"/>
                <w:sz w:val="24"/>
              </w:rPr>
              <w:t>项目</w:t>
            </w:r>
            <w:r>
              <w:rPr>
                <w:sz w:val="24"/>
              </w:rPr>
              <w:t>所有储油罐</w:t>
            </w:r>
            <w:r>
              <w:rPr>
                <w:rFonts w:hint="eastAsia"/>
                <w:sz w:val="24"/>
              </w:rPr>
              <w:t>均</w:t>
            </w:r>
            <w:r>
              <w:rPr>
                <w:sz w:val="24"/>
              </w:rPr>
              <w:t>采用卧式双层油罐；储油罐采取锚桩措施 避免油罐受地下水或雨水作用而上浮，埋地油罐采用防渗漏措施。采用截流阀或浮筒阀或其他防溢油措施，控制卸油时可能发生的溢油，此外设置高液位报警功能的液位计。加油机采用导静电软管，加油软管应配备拉断截止阀，固定工艺管道采用无缝钢管，埋地钢管均焊接并进行防腐；卸油采用密闭卸油方式，油罐通气管口在高出地面4.</w:t>
            </w:r>
            <w:r>
              <w:rPr>
                <w:rFonts w:hint="eastAsia"/>
                <w:sz w:val="24"/>
              </w:rPr>
              <w:t>0</w:t>
            </w:r>
            <w:r>
              <w:rPr>
                <w:sz w:val="24"/>
              </w:rPr>
              <w:t>m以上，同时管口安装呼吸阀；对通气管、呼吸阀、静电接地扁钢等定期进行检测、维护。</w:t>
            </w:r>
          </w:p>
          <w:p>
            <w:pPr>
              <w:adjustRightInd w:val="0"/>
              <w:snapToGrid w:val="0"/>
              <w:spacing w:line="360" w:lineRule="auto"/>
              <w:ind w:firstLine="482" w:firstLineChars="200"/>
              <w:jc w:val="left"/>
              <w:rPr>
                <w:b/>
                <w:bCs/>
                <w:sz w:val="24"/>
              </w:rPr>
            </w:pPr>
            <w:r>
              <w:rPr>
                <w:b/>
                <w:bCs/>
                <w:sz w:val="24"/>
              </w:rPr>
              <w:t>3、罐区防范措施</w:t>
            </w:r>
          </w:p>
          <w:p>
            <w:pPr>
              <w:adjustRightInd w:val="0"/>
              <w:snapToGrid w:val="0"/>
              <w:spacing w:line="360" w:lineRule="auto"/>
              <w:ind w:firstLine="480" w:firstLineChars="200"/>
              <w:jc w:val="left"/>
              <w:rPr>
                <w:sz w:val="24"/>
              </w:rPr>
            </w:pPr>
            <w:r>
              <w:rPr>
                <w:sz w:val="24"/>
              </w:rPr>
              <w:t>本项目油品储存量不构成重大危险源，但考虑汽油和柴油为易燃易爆物质，在罐区明显位置规范应设置警示标志。储油罐埋地设置，罐顶部覆土厚度不小于 0.5m，埋地储罐间净距不应小于 0.5m，油罐进行防雷接地，接地点不少于两处。油罐还设置高液位报警功能的液位计。在贮罐区严格按安全、消防有关规范建设，并列为重点防范区，油罐采取防渗保护和检测设备，周边设置安全标识，配备必要的消防器材，贮罐安装避雷装置和自动检测报警装置，罐区一旦发生泄漏， 能立即报警，及时对事故进行处理。</w:t>
            </w:r>
          </w:p>
          <w:p>
            <w:pPr>
              <w:adjustRightInd w:val="0"/>
              <w:snapToGrid w:val="0"/>
              <w:spacing w:line="360" w:lineRule="auto"/>
              <w:ind w:firstLine="480" w:firstLineChars="200"/>
              <w:jc w:val="left"/>
              <w:rPr>
                <w:sz w:val="24"/>
              </w:rPr>
            </w:pPr>
            <w:r>
              <w:rPr>
                <w:sz w:val="24"/>
              </w:rPr>
              <w:t>加强生产管理。严格按照操作规程作业，严格执行24小时值班制度和巡回检查制度，及时发现并向有关部门通报，并及时解除不安全因素。</w:t>
            </w:r>
          </w:p>
          <w:p>
            <w:pPr>
              <w:adjustRightInd w:val="0"/>
              <w:snapToGrid w:val="0"/>
              <w:spacing w:line="360" w:lineRule="auto"/>
              <w:ind w:firstLine="480" w:firstLineChars="200"/>
              <w:jc w:val="left"/>
              <w:rPr>
                <w:sz w:val="24"/>
              </w:rPr>
            </w:pPr>
            <w:r>
              <w:rPr>
                <w:sz w:val="24"/>
              </w:rPr>
              <w:t>储罐采用卧式</w:t>
            </w:r>
            <w:r>
              <w:rPr>
                <w:rFonts w:hint="eastAsia"/>
                <w:sz w:val="24"/>
              </w:rPr>
              <w:t>双层</w:t>
            </w:r>
            <w:r>
              <w:rPr>
                <w:sz w:val="24"/>
              </w:rPr>
              <w:t>油罐，定期请具有资质的技术监督部门测试储罐的厚度、缝隙、压力等安全技术性能指标，及时更换腐蚀受损设备，根除事故隐患。</w:t>
            </w:r>
          </w:p>
          <w:p>
            <w:pPr>
              <w:adjustRightInd w:val="0"/>
              <w:snapToGrid w:val="0"/>
              <w:spacing w:line="360" w:lineRule="auto"/>
              <w:ind w:firstLine="480" w:firstLineChars="200"/>
              <w:jc w:val="left"/>
              <w:rPr>
                <w:sz w:val="24"/>
              </w:rPr>
            </w:pPr>
            <w:r>
              <w:rPr>
                <w:sz w:val="24"/>
              </w:rPr>
              <w:t>在站内高处设置风向标，用于应急情况判断风向，指导人员疏散。</w:t>
            </w:r>
          </w:p>
          <w:p>
            <w:pPr>
              <w:adjustRightInd w:val="0"/>
              <w:snapToGrid w:val="0"/>
              <w:spacing w:line="360" w:lineRule="auto"/>
              <w:ind w:firstLine="482" w:firstLineChars="200"/>
              <w:jc w:val="left"/>
              <w:rPr>
                <w:b/>
                <w:bCs/>
                <w:sz w:val="24"/>
              </w:rPr>
            </w:pPr>
            <w:r>
              <w:rPr>
                <w:b/>
                <w:bCs/>
                <w:sz w:val="24"/>
              </w:rPr>
              <w:t>4</w:t>
            </w:r>
            <w:r>
              <w:rPr>
                <w:rFonts w:hint="eastAsia"/>
                <w:b/>
                <w:bCs/>
                <w:sz w:val="24"/>
              </w:rPr>
              <w:t>、</w:t>
            </w:r>
            <w:r>
              <w:rPr>
                <w:b/>
                <w:bCs/>
                <w:sz w:val="24"/>
              </w:rPr>
              <w:t>消防措施</w:t>
            </w:r>
          </w:p>
          <w:p>
            <w:pPr>
              <w:adjustRightInd w:val="0"/>
              <w:snapToGrid w:val="0"/>
              <w:spacing w:line="360" w:lineRule="auto"/>
              <w:ind w:firstLine="480" w:firstLineChars="200"/>
              <w:jc w:val="left"/>
              <w:rPr>
                <w:sz w:val="24"/>
              </w:rPr>
            </w:pPr>
            <w:r>
              <w:rPr>
                <w:sz w:val="24"/>
              </w:rPr>
              <w:t>1</w:t>
            </w:r>
            <w:r>
              <w:rPr>
                <w:rFonts w:hint="eastAsia"/>
                <w:sz w:val="24"/>
              </w:rPr>
              <w:t>）</w:t>
            </w:r>
            <w:r>
              <w:rPr>
                <w:sz w:val="24"/>
              </w:rPr>
              <w:t>按照《建筑灭火器配置设计规范》</w:t>
            </w:r>
            <w:r>
              <w:rPr>
                <w:rFonts w:hint="eastAsia"/>
                <w:sz w:val="24"/>
              </w:rPr>
              <w:t>（</w:t>
            </w:r>
            <w:r>
              <w:rPr>
                <w:sz w:val="24"/>
              </w:rPr>
              <w:t>GB50140</w:t>
            </w:r>
            <w:r>
              <w:rPr>
                <w:rFonts w:hint="eastAsia"/>
                <w:sz w:val="24"/>
              </w:rPr>
              <w:t>-</w:t>
            </w:r>
            <w:r>
              <w:rPr>
                <w:sz w:val="24"/>
              </w:rPr>
              <w:t>2005</w:t>
            </w:r>
            <w:r>
              <w:rPr>
                <w:rFonts w:hint="eastAsia"/>
                <w:sz w:val="24"/>
              </w:rPr>
              <w:t>）</w:t>
            </w:r>
            <w:r>
              <w:rPr>
                <w:sz w:val="24"/>
              </w:rPr>
              <w:t>和《汽车加油加气加氢站技术标准》</w:t>
            </w:r>
            <w:r>
              <w:rPr>
                <w:rFonts w:hint="eastAsia"/>
                <w:sz w:val="24"/>
              </w:rPr>
              <w:t>（</w:t>
            </w:r>
            <w:r>
              <w:rPr>
                <w:sz w:val="24"/>
              </w:rPr>
              <w:t>GB50156-2021</w:t>
            </w:r>
            <w:r>
              <w:rPr>
                <w:rFonts w:hint="eastAsia"/>
                <w:sz w:val="24"/>
              </w:rPr>
              <w:t>）</w:t>
            </w:r>
            <w:r>
              <w:rPr>
                <w:sz w:val="24"/>
              </w:rPr>
              <w:t xml:space="preserve">相关要求，对站内可能发生火灾的各类场所、工艺装置区、主要建筑物等，根据其火灾危险性、区域大小等实际情况，分别配置若干不同类型、不同规格的移动式灭火器材 </w:t>
            </w:r>
            <w:r>
              <w:rPr>
                <w:rFonts w:hint="eastAsia"/>
                <w:sz w:val="24"/>
              </w:rPr>
              <w:t>（</w:t>
            </w:r>
            <w:r>
              <w:rPr>
                <w:sz w:val="24"/>
              </w:rPr>
              <w:t>如：灭火毯、干粉灭火器及 CO2 灭火器等消防器材</w:t>
            </w:r>
            <w:r>
              <w:rPr>
                <w:rFonts w:hint="eastAsia"/>
                <w:sz w:val="24"/>
              </w:rPr>
              <w:t>）</w:t>
            </w:r>
            <w:r>
              <w:rPr>
                <w:sz w:val="24"/>
              </w:rPr>
              <w:t>，以便及时扑救初始零星火灾。</w:t>
            </w:r>
          </w:p>
          <w:p>
            <w:pPr>
              <w:adjustRightInd w:val="0"/>
              <w:snapToGrid w:val="0"/>
              <w:spacing w:line="360" w:lineRule="auto"/>
              <w:ind w:firstLine="480" w:firstLineChars="200"/>
              <w:jc w:val="left"/>
              <w:rPr>
                <w:sz w:val="24"/>
              </w:rPr>
            </w:pPr>
            <w:r>
              <w:rPr>
                <w:sz w:val="24"/>
              </w:rPr>
              <w:t>2</w:t>
            </w:r>
            <w:r>
              <w:rPr>
                <w:rFonts w:hint="eastAsia"/>
                <w:sz w:val="24"/>
              </w:rPr>
              <w:t>）</w:t>
            </w:r>
            <w:r>
              <w:rPr>
                <w:sz w:val="24"/>
              </w:rPr>
              <w:t>站内各类设备选用安全可靠设备，站内设备和管道应经过防腐处理。防止站内法兰阀门泄漏、管线腐蚀泄漏、设备机体泄漏，并在没有可燃气体报警仪的场站装置区内安装可燃气体报警仪，并定期检查报警系统工作是否正确。</w:t>
            </w:r>
          </w:p>
          <w:p>
            <w:pPr>
              <w:adjustRightInd w:val="0"/>
              <w:snapToGrid w:val="0"/>
              <w:spacing w:line="360" w:lineRule="auto"/>
              <w:ind w:firstLine="480" w:firstLineChars="200"/>
              <w:jc w:val="left"/>
              <w:rPr>
                <w:sz w:val="24"/>
              </w:rPr>
            </w:pPr>
            <w:r>
              <w:rPr>
                <w:sz w:val="24"/>
              </w:rPr>
              <w:t>3</w:t>
            </w:r>
            <w:r>
              <w:rPr>
                <w:rFonts w:hint="eastAsia"/>
                <w:sz w:val="24"/>
              </w:rPr>
              <w:t>）</w:t>
            </w:r>
            <w:r>
              <w:rPr>
                <w:sz w:val="24"/>
              </w:rPr>
              <w:t>站内爆炸危险区域内的电气设备选型、安装、电力线路敷设等，应符合现行国家标准《爆炸和火灾危险环境电力装置设计规范》</w:t>
            </w:r>
            <w:r>
              <w:rPr>
                <w:rFonts w:hint="eastAsia"/>
                <w:sz w:val="24"/>
              </w:rPr>
              <w:t>（</w:t>
            </w:r>
            <w:r>
              <w:rPr>
                <w:sz w:val="24"/>
              </w:rPr>
              <w:t>GB50058</w:t>
            </w:r>
            <w:r>
              <w:rPr>
                <w:rFonts w:hint="eastAsia"/>
                <w:sz w:val="24"/>
              </w:rPr>
              <w:t>）</w:t>
            </w:r>
            <w:r>
              <w:rPr>
                <w:sz w:val="24"/>
              </w:rPr>
              <w:t>的规定。电器设备、仪表选用防爆型；操作人员应按规 定穿戴劳保用品，防止静电火花的产生。</w:t>
            </w:r>
          </w:p>
          <w:p>
            <w:pPr>
              <w:adjustRightInd w:val="0"/>
              <w:snapToGrid w:val="0"/>
              <w:spacing w:line="360" w:lineRule="auto"/>
              <w:ind w:firstLine="480" w:firstLineChars="200"/>
              <w:jc w:val="left"/>
              <w:rPr>
                <w:sz w:val="24"/>
              </w:rPr>
            </w:pPr>
            <w:r>
              <w:rPr>
                <w:sz w:val="24"/>
              </w:rPr>
              <w:t>4</w:t>
            </w:r>
            <w:r>
              <w:rPr>
                <w:rFonts w:hint="eastAsia"/>
                <w:sz w:val="24"/>
              </w:rPr>
              <w:t>）</w:t>
            </w:r>
            <w:r>
              <w:rPr>
                <w:sz w:val="24"/>
              </w:rPr>
              <w:t>汽车必须熄火后加油，加油完毕后才能启动。站内应严禁烟火，设明显警示牌，禁止使用手机、塑料桶等易产生静电的物品，严禁危险区内吸烟和违章动用明火。站内各个生产运行环节空间均应保持空气流通，以增强其对气体挥发物的稀释扩散能力。</w:t>
            </w:r>
          </w:p>
          <w:p>
            <w:pPr>
              <w:adjustRightInd w:val="0"/>
              <w:snapToGrid w:val="0"/>
              <w:spacing w:line="360" w:lineRule="auto"/>
              <w:ind w:firstLine="480" w:firstLineChars="200"/>
              <w:jc w:val="left"/>
              <w:rPr>
                <w:sz w:val="24"/>
              </w:rPr>
            </w:pPr>
            <w:r>
              <w:rPr>
                <w:sz w:val="24"/>
              </w:rPr>
              <w:t>5</w:t>
            </w:r>
            <w:r>
              <w:rPr>
                <w:rFonts w:hint="eastAsia"/>
                <w:sz w:val="24"/>
              </w:rPr>
              <w:t>）</w:t>
            </w:r>
            <w:r>
              <w:rPr>
                <w:sz w:val="24"/>
              </w:rPr>
              <w:t>安装避雷和防静电设施，保证站内报警设施完好无损，并定期检查接地电阻和避雷设施，以确保其完好性。</w:t>
            </w:r>
          </w:p>
          <w:p>
            <w:pPr>
              <w:adjustRightInd w:val="0"/>
              <w:snapToGrid w:val="0"/>
              <w:spacing w:line="360" w:lineRule="auto"/>
              <w:ind w:firstLine="480" w:firstLineChars="200"/>
              <w:jc w:val="left"/>
              <w:rPr>
                <w:sz w:val="24"/>
              </w:rPr>
            </w:pPr>
            <w:r>
              <w:rPr>
                <w:sz w:val="24"/>
              </w:rPr>
              <w:t>6</w:t>
            </w:r>
            <w:r>
              <w:rPr>
                <w:rFonts w:hint="eastAsia"/>
                <w:sz w:val="24"/>
              </w:rPr>
              <w:t>）</w:t>
            </w:r>
            <w:r>
              <w:rPr>
                <w:sz w:val="24"/>
              </w:rPr>
              <w:t>提高员工素质。增强安全意识。建立严格的安全管理制度，杜绝违章动火、吸烟等现象，按规定配备劳动防护用品．经常性地向员工进行安全和健康防护方面的教育。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8" w:type="dxa"/>
            <w:noWrap w:val="0"/>
            <w:vAlign w:val="center"/>
          </w:tcPr>
          <w:p>
            <w:pPr>
              <w:adjustRightInd w:val="0"/>
              <w:snapToGrid w:val="0"/>
              <w:spacing w:line="276" w:lineRule="auto"/>
              <w:jc w:val="center"/>
              <w:rPr>
                <w:b/>
                <w:bCs/>
                <w:spacing w:val="-8"/>
                <w:sz w:val="24"/>
              </w:rPr>
            </w:pPr>
            <w:r>
              <w:rPr>
                <w:b/>
                <w:bCs/>
                <w:spacing w:val="-8"/>
                <w:sz w:val="24"/>
              </w:rPr>
              <w:t>其他环境</w:t>
            </w:r>
          </w:p>
          <w:p>
            <w:pPr>
              <w:adjustRightInd w:val="0"/>
              <w:snapToGrid w:val="0"/>
              <w:spacing w:line="276" w:lineRule="auto"/>
              <w:jc w:val="center"/>
              <w:rPr>
                <w:b/>
                <w:bCs/>
                <w:spacing w:val="-8"/>
                <w:sz w:val="24"/>
              </w:rPr>
            </w:pPr>
            <w:r>
              <w:rPr>
                <w:b/>
                <w:bCs/>
                <w:spacing w:val="-8"/>
                <w:sz w:val="24"/>
              </w:rPr>
              <w:t>管理要求</w:t>
            </w:r>
          </w:p>
        </w:tc>
        <w:tc>
          <w:tcPr>
            <w:tcW w:w="7022" w:type="dxa"/>
            <w:gridSpan w:val="4"/>
            <w:noWrap w:val="0"/>
            <w:vAlign w:val="center"/>
          </w:tcPr>
          <w:p>
            <w:pPr>
              <w:adjustRightInd w:val="0"/>
              <w:snapToGrid w:val="0"/>
              <w:spacing w:line="360" w:lineRule="auto"/>
              <w:ind w:firstLine="480" w:firstLineChars="200"/>
              <w:jc w:val="left"/>
              <w:rPr>
                <w:sz w:val="24"/>
              </w:rPr>
            </w:pPr>
            <w:r>
              <w:rPr>
                <w:sz w:val="24"/>
              </w:rPr>
              <w:t>1</w:t>
            </w:r>
            <w:r>
              <w:rPr>
                <w:rFonts w:hint="eastAsia"/>
                <w:sz w:val="24"/>
              </w:rPr>
              <w:t>、</w:t>
            </w:r>
            <w:r>
              <w:rPr>
                <w:sz w:val="24"/>
              </w:rPr>
              <w:t>环境管理</w:t>
            </w:r>
          </w:p>
          <w:p>
            <w:pPr>
              <w:adjustRightInd w:val="0"/>
              <w:snapToGrid w:val="0"/>
              <w:spacing w:line="360" w:lineRule="auto"/>
              <w:ind w:firstLine="480" w:firstLineChars="200"/>
              <w:jc w:val="left"/>
              <w:rPr>
                <w:sz w:val="24"/>
              </w:rPr>
            </w:pPr>
            <w:r>
              <w:rPr>
                <w:rFonts w:hint="eastAsia"/>
                <w:sz w:val="24"/>
              </w:rPr>
              <w:t>（1）</w:t>
            </w:r>
            <w:r>
              <w:rPr>
                <w:sz w:val="24"/>
              </w:rPr>
              <w:t>环境管理机构</w:t>
            </w:r>
          </w:p>
          <w:p>
            <w:pPr>
              <w:adjustRightInd w:val="0"/>
              <w:snapToGrid w:val="0"/>
              <w:spacing w:line="360" w:lineRule="auto"/>
              <w:ind w:firstLine="480" w:firstLineChars="200"/>
              <w:jc w:val="left"/>
              <w:rPr>
                <w:sz w:val="24"/>
              </w:rPr>
            </w:pPr>
            <w:r>
              <w:rPr>
                <w:sz w:val="24"/>
              </w:rPr>
              <w:t>项目生产运行阶段，建设单位应提高对环境保护工作的认识和态度，加强环境保护意识教育，建立健全的环境保护管理制度体系，并配备兼职环境保护管理工作人员，主管日常的环境管理工作。</w:t>
            </w:r>
          </w:p>
          <w:p>
            <w:pPr>
              <w:adjustRightInd w:val="0"/>
              <w:snapToGrid w:val="0"/>
              <w:spacing w:line="360" w:lineRule="auto"/>
              <w:ind w:firstLine="480" w:firstLineChars="200"/>
              <w:jc w:val="left"/>
              <w:rPr>
                <w:sz w:val="24"/>
              </w:rPr>
            </w:pPr>
            <w:r>
              <w:rPr>
                <w:rFonts w:hint="eastAsia"/>
                <w:sz w:val="24"/>
              </w:rPr>
              <w:t>（2）</w:t>
            </w:r>
            <w:r>
              <w:rPr>
                <w:sz w:val="24"/>
              </w:rPr>
              <w:t>环境管理的主要内容</w:t>
            </w:r>
          </w:p>
          <w:p>
            <w:pPr>
              <w:adjustRightInd w:val="0"/>
              <w:snapToGrid w:val="0"/>
              <w:spacing w:line="360" w:lineRule="auto"/>
              <w:ind w:firstLine="480" w:firstLineChars="200"/>
              <w:jc w:val="left"/>
              <w:rPr>
                <w:sz w:val="24"/>
              </w:rPr>
            </w:pPr>
            <w:r>
              <w:rPr>
                <w:rFonts w:hint="eastAsia"/>
                <w:sz w:val="24"/>
              </w:rPr>
              <w:t>①</w:t>
            </w:r>
            <w:r>
              <w:rPr>
                <w:sz w:val="24"/>
              </w:rPr>
              <w:t>制订企业环保管理制度和岗位责任制，规范工作程序。</w:t>
            </w:r>
          </w:p>
          <w:p>
            <w:pPr>
              <w:adjustRightInd w:val="0"/>
              <w:snapToGrid w:val="0"/>
              <w:spacing w:line="360" w:lineRule="auto"/>
              <w:ind w:firstLine="480" w:firstLineChars="200"/>
              <w:jc w:val="left"/>
              <w:rPr>
                <w:sz w:val="24"/>
              </w:rPr>
            </w:pPr>
            <w:r>
              <w:rPr>
                <w:rFonts w:hint="eastAsia"/>
                <w:sz w:val="24"/>
              </w:rPr>
              <w:t>②</w:t>
            </w:r>
            <w:r>
              <w:rPr>
                <w:sz w:val="24"/>
              </w:rPr>
              <w:t>进行环保宣传教育，以提高员工环保意识；加强生产过程中的环保管理，确保达标排放；制订污染治理计划和环保计划，确保污染治理和环保工作顺利实施；监督、检查环保设施的运行和生态恢复执行情况，接受环保部门的监督。</w:t>
            </w:r>
          </w:p>
          <w:p>
            <w:pPr>
              <w:adjustRightInd w:val="0"/>
              <w:snapToGrid w:val="0"/>
              <w:spacing w:line="360" w:lineRule="auto"/>
              <w:ind w:firstLine="480" w:firstLineChars="200"/>
              <w:jc w:val="left"/>
              <w:rPr>
                <w:sz w:val="24"/>
              </w:rPr>
            </w:pPr>
            <w:r>
              <w:rPr>
                <w:sz w:val="24"/>
              </w:rPr>
              <w:t>2</w:t>
            </w:r>
            <w:r>
              <w:rPr>
                <w:rFonts w:hint="eastAsia"/>
                <w:sz w:val="24"/>
              </w:rPr>
              <w:t>、</w:t>
            </w:r>
            <w:r>
              <w:rPr>
                <w:sz w:val="24"/>
              </w:rPr>
              <w:t>环境监测计划</w:t>
            </w:r>
          </w:p>
          <w:p>
            <w:pPr>
              <w:adjustRightInd w:val="0"/>
              <w:snapToGrid w:val="0"/>
              <w:spacing w:line="360" w:lineRule="auto"/>
              <w:ind w:right="102" w:firstLine="480" w:firstLineChars="200"/>
              <w:jc w:val="left"/>
              <w:rPr>
                <w:sz w:val="24"/>
              </w:rPr>
            </w:pPr>
            <w:r>
              <w:rPr>
                <w:sz w:val="24"/>
              </w:rPr>
              <w:t>环境监控是对建设项目运行期的环境影响及环境保护措施进行监督和检查，并提出缓解环境恶化的对策与建议。</w:t>
            </w:r>
          </w:p>
          <w:p>
            <w:pPr>
              <w:adjustRightInd w:val="0"/>
              <w:snapToGrid w:val="0"/>
              <w:spacing w:line="360" w:lineRule="auto"/>
              <w:ind w:firstLine="480" w:firstLineChars="200"/>
              <w:jc w:val="left"/>
              <w:rPr>
                <w:sz w:val="24"/>
              </w:rPr>
            </w:pPr>
            <w:r>
              <w:rPr>
                <w:rFonts w:hint="eastAsia"/>
                <w:sz w:val="24"/>
              </w:rPr>
              <w:t>（1）</w:t>
            </w:r>
            <w:r>
              <w:rPr>
                <w:sz w:val="24"/>
              </w:rPr>
              <w:t>竣工验收监测</w:t>
            </w:r>
          </w:p>
          <w:p>
            <w:pPr>
              <w:adjustRightInd w:val="0"/>
              <w:snapToGrid w:val="0"/>
              <w:spacing w:line="360" w:lineRule="auto"/>
              <w:ind w:right="102" w:firstLine="480" w:firstLineChars="200"/>
              <w:jc w:val="left"/>
              <w:rPr>
                <w:sz w:val="24"/>
              </w:rPr>
            </w:pPr>
            <w:r>
              <w:rPr>
                <w:sz w:val="24"/>
              </w:rPr>
              <w:t>本项目在取得环评批复、建设完工后，应及时取得环境监测机构对建设项目环保“三同时”设施监测数据，并自行组织竣工验收。建设项目竣工环境保护验收范围包括：</w:t>
            </w:r>
            <w:r>
              <w:rPr>
                <w:rFonts w:hint="eastAsia"/>
                <w:sz w:val="24"/>
              </w:rPr>
              <w:t>①</w:t>
            </w:r>
            <w:r>
              <w:rPr>
                <w:sz w:val="24"/>
              </w:rPr>
              <w:t>与建设项目有关的各项环境保护设施；</w:t>
            </w:r>
            <w:r>
              <w:rPr>
                <w:rFonts w:hint="eastAsia"/>
                <w:sz w:val="24"/>
              </w:rPr>
              <w:t>②</w:t>
            </w:r>
            <w:r>
              <w:rPr>
                <w:sz w:val="24"/>
              </w:rPr>
              <w:t>环境影响报告表和有关项目设计文件规定应采取的其他各项环境保护措施。</w:t>
            </w:r>
          </w:p>
          <w:p>
            <w:pPr>
              <w:adjustRightInd w:val="0"/>
              <w:snapToGrid w:val="0"/>
              <w:spacing w:line="360" w:lineRule="auto"/>
              <w:ind w:right="102" w:firstLine="480" w:firstLineChars="200"/>
              <w:jc w:val="left"/>
              <w:rPr>
                <w:sz w:val="24"/>
              </w:rPr>
            </w:pPr>
            <w:r>
              <w:rPr>
                <w:rFonts w:hint="eastAsia"/>
                <w:sz w:val="24"/>
              </w:rPr>
              <w:t>（2）</w:t>
            </w:r>
            <w:r>
              <w:rPr>
                <w:sz w:val="24"/>
              </w:rPr>
              <w:t>环境监测计划</w:t>
            </w:r>
          </w:p>
          <w:p>
            <w:pPr>
              <w:adjustRightInd w:val="0"/>
              <w:snapToGrid w:val="0"/>
              <w:spacing w:line="360" w:lineRule="auto"/>
              <w:ind w:right="102" w:firstLine="480" w:firstLineChars="200"/>
              <w:jc w:val="left"/>
              <w:rPr>
                <w:sz w:val="24"/>
              </w:rPr>
            </w:pPr>
            <w:r>
              <w:rPr>
                <w:sz w:val="24"/>
              </w:rPr>
              <w:t xml:space="preserve">根据导则及《排污单位自行监测技术指南总则》  </w:t>
            </w:r>
            <w:r>
              <w:rPr>
                <w:rFonts w:hint="eastAsia"/>
                <w:sz w:val="24"/>
              </w:rPr>
              <w:t>（</w:t>
            </w:r>
            <w:r>
              <w:rPr>
                <w:sz w:val="24"/>
              </w:rPr>
              <w:t>HJ819-2017</w:t>
            </w:r>
            <w:r>
              <w:rPr>
                <w:rFonts w:hint="eastAsia"/>
                <w:sz w:val="24"/>
              </w:rPr>
              <w:t>）、</w:t>
            </w:r>
            <w:r>
              <w:rPr>
                <w:kern w:val="0"/>
                <w:sz w:val="24"/>
                <w:lang w:bidi="ar"/>
              </w:rPr>
              <w:t xml:space="preserve">《排污单位自行监测技术指南 </w:t>
            </w:r>
            <w:r>
              <w:rPr>
                <w:rFonts w:hint="eastAsia"/>
                <w:kern w:val="0"/>
                <w:sz w:val="24"/>
                <w:lang w:bidi="ar"/>
              </w:rPr>
              <w:t>储油库、加油站</w:t>
            </w:r>
            <w:r>
              <w:rPr>
                <w:kern w:val="0"/>
                <w:sz w:val="24"/>
                <w:lang w:bidi="ar"/>
              </w:rPr>
              <w:t>》</w:t>
            </w:r>
            <w:r>
              <w:rPr>
                <w:rFonts w:hint="eastAsia"/>
                <w:kern w:val="0"/>
                <w:sz w:val="24"/>
                <w:lang w:bidi="ar"/>
              </w:rPr>
              <w:t>（</w:t>
            </w:r>
            <w:r>
              <w:rPr>
                <w:kern w:val="0"/>
                <w:sz w:val="24"/>
                <w:lang w:bidi="ar"/>
              </w:rPr>
              <w:t>HJ</w:t>
            </w:r>
            <w:r>
              <w:rPr>
                <w:rFonts w:hint="eastAsia"/>
                <w:kern w:val="0"/>
                <w:sz w:val="24"/>
                <w:lang w:bidi="ar"/>
              </w:rPr>
              <w:t>1249</w:t>
            </w:r>
            <w:r>
              <w:rPr>
                <w:kern w:val="0"/>
                <w:sz w:val="24"/>
                <w:lang w:bidi="ar"/>
              </w:rPr>
              <w:t>-20</w:t>
            </w:r>
            <w:r>
              <w:rPr>
                <w:rFonts w:hint="eastAsia"/>
                <w:kern w:val="0"/>
                <w:sz w:val="24"/>
                <w:lang w:bidi="ar"/>
              </w:rPr>
              <w:t>22）</w:t>
            </w:r>
            <w:r>
              <w:rPr>
                <w:sz w:val="24"/>
              </w:rPr>
              <w:t>要求，排污单位应查清所有污染源，确定主要污染源及主要监测指标，制定监测方案。本环评对该项目实行环境监测计划的建议如下：</w:t>
            </w:r>
          </w:p>
          <w:p>
            <w:pPr>
              <w:adjustRightInd w:val="0"/>
              <w:snapToGrid w:val="0"/>
              <w:ind w:firstLine="454" w:firstLineChars="200"/>
              <w:jc w:val="center"/>
              <w:rPr>
                <w:szCs w:val="21"/>
              </w:rPr>
            </w:pPr>
            <w:r>
              <w:rPr>
                <w:b/>
                <w:bCs/>
                <w:spacing w:val="8"/>
                <w:szCs w:val="21"/>
              </w:rPr>
              <w:t>表</w:t>
            </w:r>
            <w:r>
              <w:rPr>
                <w:b/>
                <w:bCs/>
                <w:spacing w:val="4"/>
                <w:szCs w:val="21"/>
              </w:rPr>
              <w:t>5-1  环境监测计划一览表</w:t>
            </w:r>
            <w:r>
              <w:rPr>
                <w:szCs w:val="21"/>
              </w:rPr>
              <w:t>。</w:t>
            </w:r>
          </w:p>
          <w:tbl>
            <w:tblPr>
              <w:tblStyle w:val="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50"/>
              <w:gridCol w:w="1276"/>
              <w:gridCol w:w="1761"/>
              <w:gridCol w:w="107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noWrap w:val="0"/>
                  <w:vAlign w:val="center"/>
                </w:tcPr>
                <w:p>
                  <w:pPr>
                    <w:jc w:val="center"/>
                    <w:rPr>
                      <w:rFonts w:hint="eastAsia"/>
                      <w:b/>
                      <w:bCs/>
                    </w:rPr>
                  </w:pPr>
                  <w:r>
                    <w:rPr>
                      <w:rFonts w:hint="eastAsia"/>
                      <w:b/>
                      <w:bCs/>
                    </w:rPr>
                    <w:t>类别</w:t>
                  </w:r>
                </w:p>
              </w:tc>
              <w:tc>
                <w:tcPr>
                  <w:tcW w:w="850" w:type="dxa"/>
                  <w:noWrap w:val="0"/>
                  <w:vAlign w:val="center"/>
                </w:tcPr>
                <w:p>
                  <w:pPr>
                    <w:jc w:val="center"/>
                    <w:rPr>
                      <w:rFonts w:hint="eastAsia"/>
                      <w:b/>
                      <w:bCs/>
                    </w:rPr>
                  </w:pPr>
                  <w:r>
                    <w:rPr>
                      <w:rFonts w:hint="eastAsia"/>
                      <w:b/>
                      <w:bCs/>
                    </w:rPr>
                    <w:t>污染源</w:t>
                  </w:r>
                </w:p>
              </w:tc>
              <w:tc>
                <w:tcPr>
                  <w:tcW w:w="1276" w:type="dxa"/>
                  <w:noWrap w:val="0"/>
                  <w:vAlign w:val="center"/>
                </w:tcPr>
                <w:p>
                  <w:pPr>
                    <w:jc w:val="center"/>
                    <w:rPr>
                      <w:rFonts w:hint="eastAsia"/>
                      <w:b/>
                      <w:bCs/>
                    </w:rPr>
                  </w:pPr>
                  <w:r>
                    <w:rPr>
                      <w:rFonts w:hint="eastAsia"/>
                      <w:b/>
                      <w:bCs/>
                    </w:rPr>
                    <w:t>监测位置</w:t>
                  </w:r>
                </w:p>
              </w:tc>
              <w:tc>
                <w:tcPr>
                  <w:tcW w:w="1761" w:type="dxa"/>
                  <w:noWrap w:val="0"/>
                  <w:vAlign w:val="center"/>
                </w:tcPr>
                <w:p>
                  <w:pPr>
                    <w:jc w:val="center"/>
                    <w:rPr>
                      <w:rFonts w:hint="eastAsia"/>
                      <w:b/>
                      <w:bCs/>
                    </w:rPr>
                  </w:pPr>
                  <w:r>
                    <w:rPr>
                      <w:rFonts w:hint="eastAsia"/>
                      <w:b/>
                      <w:bCs/>
                    </w:rPr>
                    <w:t>监测因子</w:t>
                  </w:r>
                </w:p>
              </w:tc>
              <w:tc>
                <w:tcPr>
                  <w:tcW w:w="1074" w:type="dxa"/>
                  <w:noWrap w:val="0"/>
                  <w:vAlign w:val="center"/>
                </w:tcPr>
                <w:p>
                  <w:pPr>
                    <w:jc w:val="center"/>
                    <w:rPr>
                      <w:rFonts w:hint="eastAsia"/>
                      <w:b/>
                      <w:bCs/>
                    </w:rPr>
                  </w:pPr>
                  <w:r>
                    <w:rPr>
                      <w:rFonts w:hint="eastAsia"/>
                      <w:b/>
                      <w:bCs/>
                    </w:rPr>
                    <w:t>监测频率</w:t>
                  </w:r>
                </w:p>
              </w:tc>
              <w:tc>
                <w:tcPr>
                  <w:tcW w:w="1190" w:type="dxa"/>
                  <w:noWrap w:val="0"/>
                  <w:vAlign w:val="center"/>
                </w:tcPr>
                <w:p>
                  <w:pPr>
                    <w:jc w:val="center"/>
                    <w:rPr>
                      <w:rFonts w:hint="eastAsia"/>
                      <w:b/>
                      <w:bCs/>
                    </w:rPr>
                  </w:pPr>
                  <w:r>
                    <w:rPr>
                      <w:rFonts w:hint="eastAsia"/>
                      <w:b/>
                      <w:bC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vMerge w:val="restart"/>
                  <w:noWrap w:val="0"/>
                  <w:vAlign w:val="center"/>
                </w:tcPr>
                <w:p>
                  <w:pPr>
                    <w:jc w:val="center"/>
                    <w:rPr>
                      <w:rFonts w:hint="eastAsia"/>
                    </w:rPr>
                  </w:pPr>
                  <w:r>
                    <w:rPr>
                      <w:rFonts w:hint="eastAsia"/>
                    </w:rPr>
                    <w:t>废气</w:t>
                  </w:r>
                </w:p>
              </w:tc>
              <w:tc>
                <w:tcPr>
                  <w:tcW w:w="850" w:type="dxa"/>
                  <w:vMerge w:val="restart"/>
                  <w:noWrap w:val="0"/>
                  <w:vAlign w:val="center"/>
                </w:tcPr>
                <w:p>
                  <w:pPr>
                    <w:jc w:val="center"/>
                    <w:rPr>
                      <w:rFonts w:hint="eastAsia"/>
                    </w:rPr>
                  </w:pPr>
                  <w:r>
                    <w:rPr>
                      <w:rFonts w:hint="eastAsia"/>
                    </w:rPr>
                    <w:t>卸油、储油、加油</w:t>
                  </w:r>
                </w:p>
              </w:tc>
              <w:tc>
                <w:tcPr>
                  <w:tcW w:w="1276" w:type="dxa"/>
                  <w:noWrap w:val="0"/>
                  <w:vAlign w:val="center"/>
                </w:tcPr>
                <w:p>
                  <w:pPr>
                    <w:jc w:val="center"/>
                    <w:rPr>
                      <w:rFonts w:hint="eastAsia"/>
                    </w:rPr>
                  </w:pPr>
                  <w:r>
                    <w:rPr>
                      <w:rFonts w:hint="eastAsia"/>
                    </w:rPr>
                    <w:t>加油站场界</w:t>
                  </w:r>
                </w:p>
              </w:tc>
              <w:tc>
                <w:tcPr>
                  <w:tcW w:w="1761" w:type="dxa"/>
                  <w:noWrap w:val="0"/>
                  <w:vAlign w:val="center"/>
                </w:tcPr>
                <w:p>
                  <w:pPr>
                    <w:jc w:val="center"/>
                    <w:rPr>
                      <w:rFonts w:hint="eastAsia"/>
                    </w:rPr>
                  </w:pPr>
                  <w:r>
                    <w:rPr>
                      <w:rFonts w:hint="eastAsia"/>
                    </w:rPr>
                    <w:t>非甲烷总烃</w:t>
                  </w:r>
                </w:p>
              </w:tc>
              <w:tc>
                <w:tcPr>
                  <w:tcW w:w="1074" w:type="dxa"/>
                  <w:noWrap w:val="0"/>
                  <w:vAlign w:val="center"/>
                </w:tcPr>
                <w:p>
                  <w:pPr>
                    <w:jc w:val="center"/>
                    <w:rPr>
                      <w:rFonts w:hint="eastAsia"/>
                    </w:rPr>
                  </w:pPr>
                  <w:r>
                    <w:t>1次/</w:t>
                  </w:r>
                  <w:r>
                    <w:rPr>
                      <w:rFonts w:hint="eastAsia"/>
                    </w:rPr>
                    <w:t>年</w:t>
                  </w:r>
                </w:p>
              </w:tc>
              <w:tc>
                <w:tcPr>
                  <w:tcW w:w="1190" w:type="dxa"/>
                  <w:vMerge w:val="restart"/>
                  <w:noWrap w:val="0"/>
                  <w:vAlign w:val="center"/>
                </w:tcPr>
                <w:p>
                  <w:pPr>
                    <w:jc w:val="center"/>
                    <w:rPr>
                      <w:rFonts w:hint="eastAsia"/>
                    </w:rPr>
                  </w:pPr>
                  <w:r>
                    <w:t xml:space="preserve">《四川省加油站大气污染物排放标准》 </w:t>
                  </w:r>
                  <w:r>
                    <w:rPr>
                      <w:rFonts w:hint="eastAsia"/>
                    </w:rPr>
                    <w:t>（</w:t>
                  </w:r>
                  <w:r>
                    <w:t>DB51/2865 -2021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vMerge w:val="continue"/>
                  <w:noWrap w:val="0"/>
                  <w:vAlign w:val="center"/>
                </w:tcPr>
                <w:p>
                  <w:pPr>
                    <w:jc w:val="center"/>
                    <w:rPr>
                      <w:rFonts w:hint="eastAsia"/>
                    </w:rPr>
                  </w:pPr>
                </w:p>
              </w:tc>
              <w:tc>
                <w:tcPr>
                  <w:tcW w:w="850" w:type="dxa"/>
                  <w:vMerge w:val="continue"/>
                  <w:noWrap w:val="0"/>
                  <w:vAlign w:val="center"/>
                </w:tcPr>
                <w:p>
                  <w:pPr>
                    <w:jc w:val="center"/>
                    <w:rPr>
                      <w:rFonts w:hint="eastAsia"/>
                    </w:rPr>
                  </w:pPr>
                </w:p>
              </w:tc>
              <w:tc>
                <w:tcPr>
                  <w:tcW w:w="1276" w:type="dxa"/>
                  <w:noWrap w:val="0"/>
                  <w:vAlign w:val="center"/>
                </w:tcPr>
                <w:p>
                  <w:pPr>
                    <w:jc w:val="center"/>
                    <w:rPr>
                      <w:rFonts w:hint="eastAsia"/>
                    </w:rPr>
                  </w:pPr>
                  <w:r>
                    <w:t>油气处理装置</w:t>
                  </w:r>
                  <w:r>
                    <w:rPr>
                      <w:rFonts w:hint="eastAsia"/>
                    </w:rPr>
                    <w:t>排气筒</w:t>
                  </w:r>
                </w:p>
              </w:tc>
              <w:tc>
                <w:tcPr>
                  <w:tcW w:w="1761" w:type="dxa"/>
                  <w:noWrap w:val="0"/>
                  <w:vAlign w:val="center"/>
                </w:tcPr>
                <w:p>
                  <w:pPr>
                    <w:jc w:val="center"/>
                    <w:rPr>
                      <w:rFonts w:hint="eastAsia"/>
                    </w:rPr>
                  </w:pPr>
                  <w:r>
                    <w:rPr>
                      <w:rFonts w:hint="eastAsia"/>
                    </w:rPr>
                    <w:t>非甲烷总烃</w:t>
                  </w:r>
                </w:p>
              </w:tc>
              <w:tc>
                <w:tcPr>
                  <w:tcW w:w="1074" w:type="dxa"/>
                  <w:noWrap w:val="0"/>
                  <w:vAlign w:val="center"/>
                </w:tcPr>
                <w:p>
                  <w:pPr>
                    <w:jc w:val="center"/>
                    <w:rPr>
                      <w:rFonts w:hint="eastAsia"/>
                    </w:rPr>
                  </w:pPr>
                  <w:r>
                    <w:t>1次/</w:t>
                  </w:r>
                  <w:r>
                    <w:rPr>
                      <w:rFonts w:hint="eastAsia"/>
                    </w:rPr>
                    <w:t>年</w:t>
                  </w:r>
                </w:p>
              </w:tc>
              <w:tc>
                <w:tcPr>
                  <w:tcW w:w="1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vMerge w:val="continue"/>
                  <w:noWrap w:val="0"/>
                  <w:vAlign w:val="center"/>
                </w:tcPr>
                <w:p>
                  <w:pPr>
                    <w:jc w:val="center"/>
                    <w:rPr>
                      <w:rFonts w:hint="eastAsia"/>
                    </w:rPr>
                  </w:pPr>
                </w:p>
              </w:tc>
              <w:tc>
                <w:tcPr>
                  <w:tcW w:w="850" w:type="dxa"/>
                  <w:vMerge w:val="continue"/>
                  <w:noWrap w:val="0"/>
                  <w:vAlign w:val="center"/>
                </w:tcPr>
                <w:p>
                  <w:pPr>
                    <w:jc w:val="center"/>
                    <w:rPr>
                      <w:rFonts w:hint="eastAsia"/>
                    </w:rPr>
                  </w:pPr>
                </w:p>
              </w:tc>
              <w:tc>
                <w:tcPr>
                  <w:tcW w:w="1276" w:type="dxa"/>
                  <w:noWrap w:val="0"/>
                  <w:vAlign w:val="center"/>
                </w:tcPr>
                <w:p>
                  <w:pPr>
                    <w:jc w:val="center"/>
                    <w:rPr>
                      <w:rFonts w:hint="eastAsia"/>
                    </w:rPr>
                  </w:pPr>
                  <w:r>
                    <w:rPr>
                      <w:rFonts w:hint="eastAsia"/>
                    </w:rPr>
                    <w:t>油气回收系统密闭点</w:t>
                  </w:r>
                </w:p>
              </w:tc>
              <w:tc>
                <w:tcPr>
                  <w:tcW w:w="1761" w:type="dxa"/>
                  <w:noWrap w:val="0"/>
                  <w:vAlign w:val="center"/>
                </w:tcPr>
                <w:p>
                  <w:pPr>
                    <w:jc w:val="center"/>
                    <w:rPr>
                      <w:rFonts w:hint="eastAsia"/>
                    </w:rPr>
                  </w:pPr>
                  <w:r>
                    <w:rPr>
                      <w:rFonts w:hint="eastAsia"/>
                    </w:rPr>
                    <w:t>泄露检测值</w:t>
                  </w:r>
                </w:p>
              </w:tc>
              <w:tc>
                <w:tcPr>
                  <w:tcW w:w="1074" w:type="dxa"/>
                  <w:noWrap w:val="0"/>
                  <w:vAlign w:val="center"/>
                </w:tcPr>
                <w:p>
                  <w:pPr>
                    <w:jc w:val="center"/>
                    <w:rPr>
                      <w:rFonts w:hint="eastAsia"/>
                    </w:rPr>
                  </w:pPr>
                  <w:r>
                    <w:t>1次/</w:t>
                  </w:r>
                  <w:r>
                    <w:rPr>
                      <w:rFonts w:hint="eastAsia"/>
                    </w:rPr>
                    <w:t>年</w:t>
                  </w:r>
                </w:p>
              </w:tc>
              <w:tc>
                <w:tcPr>
                  <w:tcW w:w="1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vMerge w:val="continue"/>
                  <w:noWrap w:val="0"/>
                  <w:vAlign w:val="center"/>
                </w:tcPr>
                <w:p>
                  <w:pPr>
                    <w:jc w:val="center"/>
                    <w:rPr>
                      <w:rFonts w:hint="eastAsia"/>
                    </w:rPr>
                  </w:pPr>
                </w:p>
              </w:tc>
              <w:tc>
                <w:tcPr>
                  <w:tcW w:w="850" w:type="dxa"/>
                  <w:vMerge w:val="continue"/>
                  <w:noWrap w:val="0"/>
                  <w:vAlign w:val="center"/>
                </w:tcPr>
                <w:p>
                  <w:pPr>
                    <w:jc w:val="center"/>
                    <w:rPr>
                      <w:rFonts w:hint="eastAsia"/>
                    </w:rPr>
                  </w:pPr>
                </w:p>
              </w:tc>
              <w:tc>
                <w:tcPr>
                  <w:tcW w:w="1276" w:type="dxa"/>
                  <w:noWrap w:val="0"/>
                  <w:vAlign w:val="center"/>
                </w:tcPr>
                <w:p>
                  <w:pPr>
                    <w:jc w:val="center"/>
                    <w:rPr>
                      <w:rFonts w:hint="eastAsia"/>
                    </w:rPr>
                  </w:pPr>
                  <w:r>
                    <w:rPr>
                      <w:rFonts w:hint="eastAsia"/>
                    </w:rPr>
                    <w:t>加油油气回收立管</w:t>
                  </w:r>
                </w:p>
              </w:tc>
              <w:tc>
                <w:tcPr>
                  <w:tcW w:w="1761" w:type="dxa"/>
                  <w:noWrap w:val="0"/>
                  <w:vAlign w:val="center"/>
                </w:tcPr>
                <w:p>
                  <w:pPr>
                    <w:jc w:val="center"/>
                    <w:rPr>
                      <w:rFonts w:hint="eastAsia"/>
                    </w:rPr>
                  </w:pPr>
                  <w:r>
                    <w:rPr>
                      <w:rFonts w:hint="eastAsia"/>
                    </w:rPr>
                    <w:t>液阻、密闭性</w:t>
                  </w:r>
                </w:p>
              </w:tc>
              <w:tc>
                <w:tcPr>
                  <w:tcW w:w="1074" w:type="dxa"/>
                  <w:noWrap w:val="0"/>
                  <w:vAlign w:val="center"/>
                </w:tcPr>
                <w:p>
                  <w:pPr>
                    <w:jc w:val="center"/>
                    <w:rPr>
                      <w:rFonts w:hint="eastAsia"/>
                    </w:rPr>
                  </w:pPr>
                  <w:r>
                    <w:t>1次/</w:t>
                  </w:r>
                  <w:r>
                    <w:rPr>
                      <w:rFonts w:hint="eastAsia"/>
                    </w:rPr>
                    <w:t>年</w:t>
                  </w:r>
                </w:p>
              </w:tc>
              <w:tc>
                <w:tcPr>
                  <w:tcW w:w="1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vMerge w:val="continue"/>
                  <w:noWrap w:val="0"/>
                  <w:vAlign w:val="center"/>
                </w:tcPr>
                <w:p>
                  <w:pPr>
                    <w:jc w:val="center"/>
                    <w:rPr>
                      <w:rFonts w:hint="eastAsia"/>
                    </w:rPr>
                  </w:pPr>
                </w:p>
              </w:tc>
              <w:tc>
                <w:tcPr>
                  <w:tcW w:w="850" w:type="dxa"/>
                  <w:vMerge w:val="continue"/>
                  <w:noWrap w:val="0"/>
                  <w:vAlign w:val="center"/>
                </w:tcPr>
                <w:p>
                  <w:pPr>
                    <w:jc w:val="center"/>
                    <w:rPr>
                      <w:rFonts w:hint="eastAsia"/>
                    </w:rPr>
                  </w:pPr>
                </w:p>
              </w:tc>
              <w:tc>
                <w:tcPr>
                  <w:tcW w:w="1276" w:type="dxa"/>
                  <w:noWrap w:val="0"/>
                  <w:vAlign w:val="center"/>
                </w:tcPr>
                <w:p>
                  <w:pPr>
                    <w:jc w:val="center"/>
                    <w:rPr>
                      <w:rFonts w:hint="eastAsia"/>
                    </w:rPr>
                  </w:pPr>
                  <w:r>
                    <w:rPr>
                      <w:rFonts w:hint="eastAsia"/>
                    </w:rPr>
                    <w:t>加油枪喷管</w:t>
                  </w:r>
                </w:p>
              </w:tc>
              <w:tc>
                <w:tcPr>
                  <w:tcW w:w="1761" w:type="dxa"/>
                  <w:noWrap w:val="0"/>
                  <w:vAlign w:val="center"/>
                </w:tcPr>
                <w:p>
                  <w:pPr>
                    <w:jc w:val="center"/>
                    <w:rPr>
                      <w:rFonts w:hint="eastAsia"/>
                    </w:rPr>
                  </w:pPr>
                  <w:r>
                    <w:rPr>
                      <w:rFonts w:hint="eastAsia"/>
                    </w:rPr>
                    <w:t>气液比</w:t>
                  </w:r>
                </w:p>
              </w:tc>
              <w:tc>
                <w:tcPr>
                  <w:tcW w:w="1074" w:type="dxa"/>
                  <w:noWrap w:val="0"/>
                  <w:vAlign w:val="center"/>
                </w:tcPr>
                <w:p>
                  <w:pPr>
                    <w:jc w:val="center"/>
                    <w:rPr>
                      <w:rFonts w:hint="eastAsia"/>
                    </w:rPr>
                  </w:pPr>
                  <w:r>
                    <w:t>1次/</w:t>
                  </w:r>
                  <w:r>
                    <w:rPr>
                      <w:rFonts w:hint="eastAsia"/>
                    </w:rPr>
                    <w:t>年</w:t>
                  </w:r>
                </w:p>
              </w:tc>
              <w:tc>
                <w:tcPr>
                  <w:tcW w:w="1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noWrap w:val="0"/>
                  <w:vAlign w:val="center"/>
                </w:tcPr>
                <w:p>
                  <w:pPr>
                    <w:jc w:val="center"/>
                    <w:rPr>
                      <w:rFonts w:hint="eastAsia"/>
                    </w:rPr>
                  </w:pPr>
                  <w:r>
                    <w:rPr>
                      <w:rFonts w:hint="eastAsia"/>
                    </w:rPr>
                    <w:t>噪声</w:t>
                  </w:r>
                </w:p>
              </w:tc>
              <w:tc>
                <w:tcPr>
                  <w:tcW w:w="850" w:type="dxa"/>
                  <w:noWrap w:val="0"/>
                  <w:vAlign w:val="center"/>
                </w:tcPr>
                <w:p>
                  <w:pPr>
                    <w:jc w:val="center"/>
                    <w:rPr>
                      <w:rFonts w:hint="eastAsia"/>
                    </w:rPr>
                  </w:pPr>
                  <w:r>
                    <w:rPr>
                      <w:rFonts w:hint="eastAsia"/>
                    </w:rPr>
                    <w:t>设备运行噪声</w:t>
                  </w:r>
                </w:p>
              </w:tc>
              <w:tc>
                <w:tcPr>
                  <w:tcW w:w="1276" w:type="dxa"/>
                  <w:noWrap w:val="0"/>
                  <w:vAlign w:val="center"/>
                </w:tcPr>
                <w:p>
                  <w:pPr>
                    <w:jc w:val="center"/>
                    <w:rPr>
                      <w:rFonts w:hint="eastAsia"/>
                    </w:rPr>
                  </w:pPr>
                  <w:r>
                    <w:rPr>
                      <w:rFonts w:hint="eastAsia"/>
                    </w:rPr>
                    <w:t>场界外1m</w:t>
                  </w:r>
                </w:p>
              </w:tc>
              <w:tc>
                <w:tcPr>
                  <w:tcW w:w="1761" w:type="dxa"/>
                  <w:noWrap w:val="0"/>
                  <w:vAlign w:val="center"/>
                </w:tcPr>
                <w:p>
                  <w:pPr>
                    <w:jc w:val="center"/>
                    <w:rPr>
                      <w:rFonts w:hint="eastAsia"/>
                    </w:rPr>
                  </w:pPr>
                  <w:r>
                    <w:t>等效连续</w:t>
                  </w:r>
                  <w:r>
                    <w:rPr>
                      <w:rFonts w:hint="eastAsia"/>
                    </w:rPr>
                    <w:t>A</w:t>
                  </w:r>
                  <w:r>
                    <w:t>声级</w:t>
                  </w:r>
                </w:p>
              </w:tc>
              <w:tc>
                <w:tcPr>
                  <w:tcW w:w="1074" w:type="dxa"/>
                  <w:noWrap w:val="0"/>
                  <w:vAlign w:val="center"/>
                </w:tcPr>
                <w:p>
                  <w:pPr>
                    <w:jc w:val="center"/>
                    <w:rPr>
                      <w:rFonts w:hint="eastAsia"/>
                    </w:rPr>
                  </w:pPr>
                  <w:r>
                    <w:rPr>
                      <w:rFonts w:hint="eastAsia"/>
                    </w:rPr>
                    <w:t>1次/季</w:t>
                  </w:r>
                </w:p>
              </w:tc>
              <w:tc>
                <w:tcPr>
                  <w:tcW w:w="1190" w:type="dxa"/>
                  <w:noWrap w:val="0"/>
                  <w:vAlign w:val="center"/>
                </w:tcPr>
                <w:p>
                  <w:pPr>
                    <w:jc w:val="center"/>
                  </w:pPr>
                  <w:r>
                    <w:t>《工业企业厂界环境噪声排放标准》</w:t>
                  </w:r>
                </w:p>
                <w:p>
                  <w:pPr>
                    <w:jc w:val="center"/>
                    <w:rPr>
                      <w:rFonts w:hint="eastAsia"/>
                    </w:rPr>
                  </w:pPr>
                  <w:r>
                    <w:rPr>
                      <w:rFonts w:hint="eastAsia"/>
                    </w:rPr>
                    <w:t>（</w:t>
                  </w:r>
                  <w:r>
                    <w:t>GB12348-2008</w:t>
                  </w:r>
                  <w:r>
                    <w:rPr>
                      <w:rFonts w:hint="eastAsia"/>
                    </w:rPr>
                    <w:t>）</w:t>
                  </w:r>
                  <w: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0" w:type="dxa"/>
                  <w:noWrap w:val="0"/>
                  <w:vAlign w:val="center"/>
                </w:tcPr>
                <w:p>
                  <w:pPr>
                    <w:jc w:val="center"/>
                    <w:rPr>
                      <w:rFonts w:hint="eastAsia"/>
                    </w:rPr>
                  </w:pPr>
                  <w:r>
                    <w:rPr>
                      <w:rFonts w:hint="eastAsia"/>
                    </w:rPr>
                    <w:t>地下水</w:t>
                  </w:r>
                </w:p>
              </w:tc>
              <w:tc>
                <w:tcPr>
                  <w:tcW w:w="850" w:type="dxa"/>
                  <w:noWrap w:val="0"/>
                  <w:vAlign w:val="center"/>
                </w:tcPr>
                <w:p>
                  <w:pPr>
                    <w:jc w:val="center"/>
                    <w:rPr>
                      <w:rFonts w:hint="eastAsia"/>
                    </w:rPr>
                  </w:pPr>
                  <w:r>
                    <w:rPr>
                      <w:rFonts w:hint="eastAsia"/>
                    </w:rPr>
                    <w:t>/</w:t>
                  </w:r>
                </w:p>
              </w:tc>
              <w:tc>
                <w:tcPr>
                  <w:tcW w:w="1276" w:type="dxa"/>
                  <w:noWrap w:val="0"/>
                  <w:vAlign w:val="center"/>
                </w:tcPr>
                <w:p>
                  <w:pPr>
                    <w:jc w:val="center"/>
                    <w:rPr>
                      <w:rFonts w:hint="eastAsia"/>
                    </w:rPr>
                  </w:pPr>
                  <w:r>
                    <w:rPr>
                      <w:rFonts w:hint="eastAsia"/>
                    </w:rPr>
                    <w:t>站址下游跟踪监测井</w:t>
                  </w:r>
                </w:p>
              </w:tc>
              <w:tc>
                <w:tcPr>
                  <w:tcW w:w="1761" w:type="dxa"/>
                  <w:noWrap w:val="0"/>
                  <w:vAlign w:val="center"/>
                </w:tcPr>
                <w:p>
                  <w:pPr>
                    <w:jc w:val="center"/>
                    <w:rPr>
                      <w:rFonts w:hint="eastAsia"/>
                    </w:rPr>
                  </w:pPr>
                  <w:r>
                    <w:rPr>
                      <w:szCs w:val="21"/>
                    </w:rPr>
                    <w:t>pH</w:t>
                  </w:r>
                  <w:r>
                    <w:rPr>
                      <w:spacing w:val="6"/>
                      <w:szCs w:val="21"/>
                    </w:rPr>
                    <w:t>、</w:t>
                  </w:r>
                  <w:r>
                    <w:rPr>
                      <w:spacing w:val="3"/>
                      <w:szCs w:val="21"/>
                    </w:rPr>
                    <w:t>耗氧量、氨氮、铁、锰、</w:t>
                  </w:r>
                  <w:r>
                    <w:rPr>
                      <w:spacing w:val="11"/>
                      <w:szCs w:val="21"/>
                    </w:rPr>
                    <w:t>硫</w:t>
                  </w:r>
                  <w:r>
                    <w:rPr>
                      <w:spacing w:val="9"/>
                      <w:szCs w:val="21"/>
                    </w:rPr>
                    <w:t>酸盐、氯化物、石油类、石油烃（C</w:t>
                  </w:r>
                  <w:r>
                    <w:rPr>
                      <w:spacing w:val="9"/>
                      <w:szCs w:val="21"/>
                      <w:vertAlign w:val="subscript"/>
                    </w:rPr>
                    <w:t>6</w:t>
                  </w:r>
                  <w:r>
                    <w:rPr>
                      <w:spacing w:val="9"/>
                      <w:szCs w:val="21"/>
                    </w:rPr>
                    <w:t>~C</w:t>
                  </w:r>
                  <w:r>
                    <w:rPr>
                      <w:spacing w:val="9"/>
                      <w:szCs w:val="21"/>
                      <w:vertAlign w:val="subscript"/>
                    </w:rPr>
                    <w:t>9</w:t>
                  </w:r>
                  <w:r>
                    <w:rPr>
                      <w:spacing w:val="9"/>
                      <w:szCs w:val="21"/>
                    </w:rPr>
                    <w:t>）、石油烃（C</w:t>
                  </w:r>
                  <w:r>
                    <w:rPr>
                      <w:rFonts w:hint="eastAsia"/>
                      <w:spacing w:val="9"/>
                      <w:szCs w:val="21"/>
                      <w:vertAlign w:val="subscript"/>
                    </w:rPr>
                    <w:t>10</w:t>
                  </w:r>
                  <w:r>
                    <w:rPr>
                      <w:spacing w:val="9"/>
                      <w:szCs w:val="21"/>
                    </w:rPr>
                    <w:t>~C</w:t>
                  </w:r>
                  <w:r>
                    <w:rPr>
                      <w:rFonts w:hint="eastAsia"/>
                      <w:spacing w:val="9"/>
                      <w:szCs w:val="21"/>
                      <w:vertAlign w:val="subscript"/>
                    </w:rPr>
                    <w:t>40</w:t>
                  </w:r>
                  <w:r>
                    <w:rPr>
                      <w:spacing w:val="9"/>
                      <w:szCs w:val="21"/>
                    </w:rPr>
                    <w:t>）、</w:t>
                  </w:r>
                  <w:r>
                    <w:rPr>
                      <w:rFonts w:hint="eastAsia"/>
                      <w:spacing w:val="9"/>
                      <w:szCs w:val="21"/>
                    </w:rPr>
                    <w:t>甲基叔丁基醚</w:t>
                  </w:r>
                </w:p>
              </w:tc>
              <w:tc>
                <w:tcPr>
                  <w:tcW w:w="1074" w:type="dxa"/>
                  <w:noWrap w:val="0"/>
                  <w:vAlign w:val="center"/>
                </w:tcPr>
                <w:p>
                  <w:pPr>
                    <w:jc w:val="center"/>
                  </w:pPr>
                  <w:r>
                    <w:rPr>
                      <w:szCs w:val="21"/>
                    </w:rPr>
                    <w:t>1次/</w:t>
                  </w:r>
                  <w:r>
                    <w:rPr>
                      <w:rFonts w:hint="eastAsia"/>
                      <w:szCs w:val="21"/>
                    </w:rPr>
                    <w:t>半</w:t>
                  </w:r>
                  <w:r>
                    <w:rPr>
                      <w:szCs w:val="21"/>
                    </w:rPr>
                    <w:t>年</w:t>
                  </w:r>
                </w:p>
              </w:tc>
              <w:tc>
                <w:tcPr>
                  <w:tcW w:w="1190" w:type="dxa"/>
                  <w:noWrap w:val="0"/>
                  <w:vAlign w:val="center"/>
                </w:tcPr>
                <w:p>
                  <w:pPr>
                    <w:jc w:val="center"/>
                    <w:rPr>
                      <w:rFonts w:hint="eastAsia"/>
                    </w:rPr>
                  </w:pPr>
                  <w:r>
                    <w:rPr>
                      <w:szCs w:val="21"/>
                    </w:rPr>
                    <w:t>《地下水质量标准》（GB/T14848-2017）中</w:t>
                  </w:r>
                  <w:r>
                    <w:rPr>
                      <w:szCs w:val="21"/>
                    </w:rPr>
                    <w:fldChar w:fldCharType="begin"/>
                  </w:r>
                  <w:r>
                    <w:rPr>
                      <w:szCs w:val="21"/>
                    </w:rPr>
                    <w:instrText xml:space="preserve"> = 3 \* ROMAN \* MERGEFORMAT </w:instrText>
                  </w:r>
                  <w:r>
                    <w:rPr>
                      <w:szCs w:val="21"/>
                    </w:rPr>
                    <w:fldChar w:fldCharType="separate"/>
                  </w:r>
                  <w:r>
                    <w:rPr>
                      <w:szCs w:val="21"/>
                    </w:rPr>
                    <w:t>III</w:t>
                  </w:r>
                  <w:r>
                    <w:rPr>
                      <w:szCs w:val="21"/>
                    </w:rPr>
                    <w:fldChar w:fldCharType="end"/>
                  </w:r>
                  <w:r>
                    <w:rPr>
                      <w:szCs w:val="21"/>
                    </w:rPr>
                    <w:t>类标准</w:t>
                  </w:r>
                </w:p>
              </w:tc>
            </w:tr>
          </w:tbl>
          <w:p>
            <w:pPr>
              <w:rPr>
                <w:rFonts w:hint="eastAsia"/>
              </w:rPr>
            </w:pPr>
          </w:p>
        </w:tc>
      </w:tr>
    </w:tbl>
    <w:p>
      <w:pPr>
        <w:pStyle w:val="65"/>
        <w:jc w:val="center"/>
        <w:outlineLvl w:val="0"/>
        <w:rPr>
          <w:rFonts w:ascii="Times New Roman" w:hAnsi="Times New Roman"/>
          <w:b/>
          <w:bCs/>
          <w:snapToGrid w:val="0"/>
          <w:sz w:val="30"/>
          <w:szCs w:val="30"/>
        </w:rPr>
      </w:pPr>
      <w:r>
        <w:rPr>
          <w:rFonts w:ascii="Times New Roman" w:hAnsi="Times New Roman"/>
          <w:snapToGrid w:val="0"/>
        </w:rPr>
        <w:br w:type="page"/>
      </w:r>
      <w:r>
        <w:rPr>
          <w:rFonts w:ascii="Times New Roman" w:hAnsi="Times New Roman"/>
          <w:b/>
          <w:bCs/>
          <w:snapToGrid w:val="0"/>
          <w:sz w:val="30"/>
          <w:szCs w:val="30"/>
        </w:rPr>
        <w:t>六、结论</w:t>
      </w:r>
    </w:p>
    <w:tbl>
      <w:tblPr>
        <w:tblStyle w:val="7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snapToGrid w:val="0"/>
                <w:kern w:val="0"/>
                <w:sz w:val="24"/>
              </w:rPr>
            </w:pPr>
            <w:r>
              <w:rPr>
                <w:sz w:val="24"/>
              </w:rPr>
              <w:t>本项目符合国家产业政策，选址符合当地规划，总图布置满足《汽车加油加气加氢站技术标准》</w:t>
            </w:r>
            <w:r>
              <w:rPr>
                <w:rFonts w:hint="eastAsia"/>
                <w:sz w:val="24"/>
              </w:rPr>
              <w:t>（</w:t>
            </w:r>
            <w:r>
              <w:rPr>
                <w:sz w:val="24"/>
              </w:rPr>
              <w:t>GB50156-2021</w:t>
            </w:r>
            <w:r>
              <w:rPr>
                <w:rFonts w:hint="eastAsia"/>
                <w:sz w:val="24"/>
              </w:rPr>
              <w:t>）</w:t>
            </w:r>
            <w:r>
              <w:rPr>
                <w:sz w:val="24"/>
              </w:rPr>
              <w:t>中相关要求，所在区域环境质量满足国家以及地方环境质量标准，项目采取的污染防治措施能够满足国家和地方污染物排放标准。项目实施后，在切实落实本评价所提出的各项污染防治措施和确保</w:t>
            </w:r>
            <w:r>
              <w:rPr>
                <w:rFonts w:hint="eastAsia"/>
                <w:sz w:val="24"/>
              </w:rPr>
              <w:t>“</w:t>
            </w:r>
            <w:r>
              <w:rPr>
                <w:sz w:val="24"/>
              </w:rPr>
              <w:t>三废</w:t>
            </w:r>
            <w:r>
              <w:rPr>
                <w:rFonts w:hint="eastAsia"/>
                <w:sz w:val="24"/>
              </w:rPr>
              <w:t>”</w:t>
            </w:r>
            <w:r>
              <w:rPr>
                <w:sz w:val="24"/>
              </w:rPr>
              <w:t>污染物达标排放的前提下，项目建设所产生的不利影响可以得到减缓或消除，故本次评价认为，项目从环境保护角度论证是可行的。</w:t>
            </w:r>
          </w:p>
        </w:tc>
      </w:tr>
    </w:tbl>
    <w:p>
      <w:pPr>
        <w:sectPr>
          <w:pgSz w:w="11906" w:h="16838"/>
          <w:pgMar w:top="1701" w:right="1531" w:bottom="1701" w:left="1531" w:header="851" w:footer="851" w:gutter="0"/>
          <w:cols w:space="720" w:num="1"/>
          <w:docGrid w:linePitch="312" w:charSpace="0"/>
        </w:sectPr>
      </w:pPr>
    </w:p>
    <w:p>
      <w:pPr>
        <w:pStyle w:val="65"/>
        <w:adjustRightInd w:val="0"/>
        <w:snapToGrid w:val="0"/>
        <w:spacing w:before="0" w:beforeAutospacing="0" w:after="0" w:afterAutospacing="0" w:line="648" w:lineRule="auto"/>
        <w:outlineLvl w:val="0"/>
        <w:rPr>
          <w:rFonts w:ascii="Times New Roman" w:hAnsi="Times New Roman"/>
          <w:snapToGrid w:val="0"/>
          <w:sz w:val="32"/>
          <w:szCs w:val="32"/>
        </w:rPr>
      </w:pPr>
      <w:r>
        <w:rPr>
          <w:rFonts w:ascii="Times New Roman" w:hAnsi="Times New Roman"/>
          <w:snapToGrid w:val="0"/>
          <w:sz w:val="32"/>
          <w:szCs w:val="32"/>
        </w:rPr>
        <w:t>附表</w:t>
      </w:r>
    </w:p>
    <w:p>
      <w:pPr>
        <w:pStyle w:val="65"/>
        <w:adjustRightInd w:val="0"/>
        <w:snapToGrid w:val="0"/>
        <w:spacing w:before="0" w:beforeAutospacing="0" w:after="0" w:afterAutospacing="0" w:line="552" w:lineRule="auto"/>
        <w:jc w:val="center"/>
        <w:outlineLvl w:val="0"/>
        <w:rPr>
          <w:rFonts w:ascii="Times New Roman" w:hAnsi="Times New Roman"/>
          <w:snapToGrid w:val="0"/>
          <w:sz w:val="38"/>
          <w:szCs w:val="38"/>
        </w:rPr>
      </w:pPr>
      <w:r>
        <w:rPr>
          <w:rFonts w:ascii="Times New Roman" w:hAnsi="Times New Roman"/>
          <w:snapToGrid w:val="0"/>
          <w:sz w:val="38"/>
          <w:szCs w:val="38"/>
        </w:rPr>
        <w:t>建设项目污染物排放量汇总表</w:t>
      </w:r>
    </w:p>
    <w:tbl>
      <w:tblPr>
        <w:tblStyle w:val="7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39"/>
        <w:gridCol w:w="1479"/>
        <w:gridCol w:w="1276"/>
        <w:gridCol w:w="1701"/>
        <w:gridCol w:w="1559"/>
        <w:gridCol w:w="1761"/>
        <w:gridCol w:w="1499"/>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588" w:type="dxa"/>
            <w:tcBorders>
              <w:tl2br w:val="single" w:color="auto" w:sz="4" w:space="0"/>
            </w:tcBorders>
            <w:noWrap w:val="0"/>
            <w:tcMar>
              <w:left w:w="28" w:type="dxa"/>
              <w:right w:w="28" w:type="dxa"/>
            </w:tcMar>
            <w:vAlign w:val="center"/>
          </w:tcPr>
          <w:p>
            <w:pPr>
              <w:pStyle w:val="126"/>
              <w:spacing w:beforeLines="0" w:afterLines="0" w:line="240" w:lineRule="auto"/>
              <w:jc w:val="right"/>
              <w:rPr>
                <w:rFonts w:ascii="Times New Roman"/>
                <w:snapToGrid w:val="0"/>
                <w:spacing w:val="-6"/>
                <w:kern w:val="21"/>
                <w:szCs w:val="21"/>
              </w:rPr>
            </w:pPr>
            <w:r>
              <w:rPr>
                <w:rFonts w:ascii="Times New Roman"/>
                <w:snapToGrid w:val="0"/>
                <w:spacing w:val="-6"/>
                <w:kern w:val="21"/>
                <w:szCs w:val="21"/>
              </w:rPr>
              <w:t>项目</w:t>
            </w:r>
          </w:p>
          <w:p>
            <w:pPr>
              <w:pStyle w:val="126"/>
              <w:spacing w:beforeLines="0" w:afterLines="0" w:line="240" w:lineRule="auto"/>
              <w:jc w:val="left"/>
              <w:rPr>
                <w:rFonts w:ascii="Times New Roman"/>
                <w:snapToGrid w:val="0"/>
                <w:spacing w:val="-6"/>
                <w:kern w:val="21"/>
                <w:szCs w:val="21"/>
              </w:rPr>
            </w:pPr>
            <w:r>
              <w:rPr>
                <w:rFonts w:ascii="Times New Roman"/>
                <w:snapToGrid w:val="0"/>
                <w:spacing w:val="-6"/>
                <w:kern w:val="21"/>
                <w:szCs w:val="21"/>
              </w:rPr>
              <w:t>分类</w:t>
            </w:r>
          </w:p>
        </w:tc>
        <w:tc>
          <w:tcPr>
            <w:tcW w:w="1639"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污染物名称</w:t>
            </w:r>
          </w:p>
        </w:tc>
        <w:tc>
          <w:tcPr>
            <w:tcW w:w="1479"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kern w:val="2"/>
                <w:szCs w:val="21"/>
              </w:rPr>
              <w:t>①</w:t>
            </w:r>
            <w:r>
              <w:rPr>
                <w:rFonts w:ascii="Times New Roman"/>
                <w:snapToGrid w:val="0"/>
                <w:spacing w:val="-6"/>
                <w:kern w:val="21"/>
                <w:szCs w:val="21"/>
              </w:rPr>
              <w:fldChar w:fldCharType="end"/>
            </w:r>
          </w:p>
        </w:tc>
        <w:tc>
          <w:tcPr>
            <w:tcW w:w="1276"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126"/>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hAnsi="宋体" w:cs="宋体"/>
                <w:snapToGrid w:val="0"/>
                <w:spacing w:val="-6"/>
                <w:kern w:val="21"/>
                <w:szCs w:val="21"/>
              </w:rPr>
              <w:t>②</w:t>
            </w:r>
            <w:r>
              <w:rPr>
                <w:rFonts w:ascii="Times New Roman"/>
                <w:snapToGrid w:val="0"/>
                <w:spacing w:val="-6"/>
                <w:kern w:val="21"/>
                <w:szCs w:val="21"/>
              </w:rPr>
              <w:fldChar w:fldCharType="end"/>
            </w:r>
          </w:p>
        </w:tc>
        <w:tc>
          <w:tcPr>
            <w:tcW w:w="1701"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kern w:val="2"/>
                <w:szCs w:val="21"/>
              </w:rPr>
              <w:t>③</w:t>
            </w:r>
            <w:r>
              <w:rPr>
                <w:rFonts w:ascii="Times New Roman"/>
                <w:snapToGrid w:val="0"/>
                <w:spacing w:val="-6"/>
                <w:kern w:val="21"/>
                <w:szCs w:val="21"/>
              </w:rPr>
              <w:fldChar w:fldCharType="end"/>
            </w:r>
          </w:p>
        </w:tc>
        <w:tc>
          <w:tcPr>
            <w:tcW w:w="1559"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kern w:val="2"/>
                <w:szCs w:val="21"/>
              </w:rPr>
              <w:t>④</w:t>
            </w:r>
            <w:r>
              <w:rPr>
                <w:rFonts w:ascii="Times New Roman"/>
                <w:snapToGrid w:val="0"/>
                <w:spacing w:val="-6"/>
                <w:kern w:val="21"/>
                <w:szCs w:val="21"/>
              </w:rPr>
              <w:fldChar w:fldCharType="end"/>
            </w:r>
          </w:p>
        </w:tc>
        <w:tc>
          <w:tcPr>
            <w:tcW w:w="1761" w:type="dxa"/>
            <w:noWrap w:val="0"/>
            <w:tcMar>
              <w:left w:w="28" w:type="dxa"/>
              <w:right w:w="28" w:type="dxa"/>
            </w:tcMar>
            <w:vAlign w:val="center"/>
          </w:tcPr>
          <w:p>
            <w:pPr>
              <w:pStyle w:val="126"/>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126"/>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kern w:val="2"/>
                <w:szCs w:val="21"/>
              </w:rPr>
              <w:t>⑤</w:t>
            </w:r>
            <w:r>
              <w:rPr>
                <w:rFonts w:ascii="Times New Roman"/>
                <w:snapToGrid w:val="0"/>
                <w:spacing w:val="-16"/>
                <w:kern w:val="21"/>
                <w:szCs w:val="21"/>
              </w:rPr>
              <w:fldChar w:fldCharType="end"/>
            </w:r>
          </w:p>
        </w:tc>
        <w:tc>
          <w:tcPr>
            <w:tcW w:w="1499" w:type="dxa"/>
            <w:noWrap w:val="0"/>
            <w:tcMar>
              <w:left w:w="28" w:type="dxa"/>
              <w:right w:w="28" w:type="dxa"/>
            </w:tcMar>
            <w:vAlign w:val="center"/>
          </w:tcPr>
          <w:p>
            <w:pPr>
              <w:pStyle w:val="126"/>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126"/>
              <w:spacing w:beforeLines="0" w:afterLines="0" w:line="240" w:lineRule="auto"/>
              <w:rPr>
                <w:rFonts w:ascii="Times New Roman"/>
                <w:snapToGrid w:val="0"/>
                <w:spacing w:val="-16"/>
                <w:kern w:val="21"/>
                <w:szCs w:val="21"/>
              </w:rPr>
            </w:pPr>
            <w:r>
              <w:rPr>
                <w:rFonts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kern w:val="2"/>
                <w:szCs w:val="21"/>
              </w:rPr>
              <w:t>⑥</w:t>
            </w:r>
            <w:r>
              <w:rPr>
                <w:rFonts w:ascii="Times New Roman"/>
                <w:snapToGrid w:val="0"/>
                <w:spacing w:val="-16"/>
                <w:kern w:val="21"/>
                <w:szCs w:val="21"/>
              </w:rPr>
              <w:fldChar w:fldCharType="end"/>
            </w:r>
          </w:p>
        </w:tc>
        <w:tc>
          <w:tcPr>
            <w:tcW w:w="1286" w:type="dxa"/>
            <w:noWrap w:val="0"/>
            <w:tcMar>
              <w:left w:w="28" w:type="dxa"/>
              <w:right w:w="28" w:type="dxa"/>
            </w:tcMar>
            <w:vAlign w:val="center"/>
          </w:tcPr>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126"/>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废气</w:t>
            </w: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二氧化硫</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氮氧化物</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颗粒物</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非甲烷总烃</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1.0682</w:t>
            </w: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1.0682</w:t>
            </w: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废水</w:t>
            </w: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COD</w:t>
            </w:r>
            <w:r>
              <w:rPr>
                <w:rFonts w:ascii="Times New Roman"/>
                <w:snapToGrid w:val="0"/>
                <w:kern w:val="21"/>
                <w:szCs w:val="21"/>
                <w:vertAlign w:val="subscript"/>
              </w:rPr>
              <w:t>Cr</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0.4946</w:t>
            </w: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0.4946</w:t>
            </w: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氨氮</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0.0445</w:t>
            </w: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0.0445</w:t>
            </w: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总磷</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0.0079</w:t>
            </w: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0.0079</w:t>
            </w: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总氮</w:t>
            </w:r>
          </w:p>
        </w:tc>
        <w:tc>
          <w:tcPr>
            <w:tcW w:w="1479" w:type="dxa"/>
            <w:noWrap w:val="0"/>
            <w:vAlign w:val="center"/>
          </w:tcPr>
          <w:p>
            <w:pPr>
              <w:pStyle w:val="126"/>
              <w:spacing w:beforeLines="0" w:afterLines="0" w:line="240" w:lineRule="auto"/>
              <w:rPr>
                <w:rFonts w:ascii="Times New Roman"/>
                <w:snapToGrid w:val="0"/>
                <w:kern w:val="21"/>
                <w:szCs w:val="21"/>
              </w:rPr>
            </w:pPr>
          </w:p>
        </w:tc>
        <w:tc>
          <w:tcPr>
            <w:tcW w:w="1276" w:type="dxa"/>
            <w:noWrap w:val="0"/>
            <w:vAlign w:val="center"/>
          </w:tcPr>
          <w:p>
            <w:pPr>
              <w:pStyle w:val="126"/>
              <w:spacing w:beforeLines="0" w:afterLines="0" w:line="240" w:lineRule="auto"/>
              <w:rPr>
                <w:rFonts w:ascii="Times New Roman"/>
                <w:snapToGrid w:val="0"/>
                <w:kern w:val="21"/>
                <w:szCs w:val="21"/>
              </w:rPr>
            </w:pPr>
          </w:p>
        </w:tc>
        <w:tc>
          <w:tcPr>
            <w:tcW w:w="1701" w:type="dxa"/>
            <w:noWrap w:val="0"/>
            <w:vAlign w:val="center"/>
          </w:tcPr>
          <w:p>
            <w:pPr>
              <w:pStyle w:val="126"/>
              <w:spacing w:beforeLines="0" w:afterLines="0" w:line="240" w:lineRule="auto"/>
              <w:rPr>
                <w:rFonts w:ascii="Times New Roman"/>
                <w:snapToGrid w:val="0"/>
                <w:kern w:val="21"/>
                <w:szCs w:val="21"/>
              </w:rPr>
            </w:pPr>
          </w:p>
        </w:tc>
        <w:tc>
          <w:tcPr>
            <w:tcW w:w="155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0.0692</w:t>
            </w:r>
          </w:p>
        </w:tc>
        <w:tc>
          <w:tcPr>
            <w:tcW w:w="1761" w:type="dxa"/>
            <w:noWrap w:val="0"/>
            <w:vAlign w:val="center"/>
          </w:tcPr>
          <w:p>
            <w:pPr>
              <w:pStyle w:val="126"/>
              <w:spacing w:beforeLines="0" w:afterLines="0" w:line="240" w:lineRule="auto"/>
              <w:rPr>
                <w:rFonts w:ascii="Times New Roman"/>
                <w:snapToGrid w:val="0"/>
                <w:kern w:val="21"/>
                <w:szCs w:val="21"/>
              </w:rPr>
            </w:pPr>
          </w:p>
        </w:tc>
        <w:tc>
          <w:tcPr>
            <w:tcW w:w="1499" w:type="dxa"/>
            <w:noWrap w:val="0"/>
            <w:vAlign w:val="center"/>
          </w:tcPr>
          <w:p>
            <w:pPr>
              <w:pStyle w:val="126"/>
              <w:spacing w:beforeLines="0" w:afterLines="0" w:line="240" w:lineRule="auto"/>
              <w:rPr>
                <w:rFonts w:ascii="Times New Roman"/>
                <w:snapToGrid w:val="0"/>
                <w:kern w:val="21"/>
                <w:szCs w:val="21"/>
              </w:rPr>
            </w:pPr>
            <w:r>
              <w:rPr>
                <w:rFonts w:hint="eastAsia" w:ascii="Times New Roman"/>
                <w:snapToGrid w:val="0"/>
                <w:kern w:val="21"/>
                <w:szCs w:val="21"/>
              </w:rPr>
              <w:t>0.0692</w:t>
            </w:r>
          </w:p>
        </w:tc>
        <w:tc>
          <w:tcPr>
            <w:tcW w:w="1286" w:type="dxa"/>
            <w:noWrap w:val="0"/>
            <w:vAlign w:val="center"/>
          </w:tcPr>
          <w:p>
            <w:pPr>
              <w:pStyle w:val="126"/>
              <w:spacing w:beforeLines="0" w:afterLines="0" w:line="240" w:lineRule="auto"/>
              <w:rPr>
                <w:rFonts w:ascii="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一般工业</w:t>
            </w:r>
          </w:p>
          <w:p>
            <w:pPr>
              <w:pStyle w:val="126"/>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639" w:type="dxa"/>
            <w:noWrap w:val="0"/>
            <w:vAlign w:val="center"/>
          </w:tcPr>
          <w:p>
            <w:pPr>
              <w:pStyle w:val="126"/>
              <w:spacing w:beforeLines="0" w:afterLines="0" w:line="240" w:lineRule="auto"/>
              <w:rPr>
                <w:rFonts w:ascii="Times New Roman"/>
                <w:snapToGrid w:val="0"/>
                <w:kern w:val="21"/>
                <w:szCs w:val="21"/>
              </w:rPr>
            </w:pPr>
            <w:r>
              <w:rPr>
                <w:rFonts w:hint="eastAsia"/>
                <w:szCs w:val="21"/>
              </w:rPr>
              <w:t>生活垃圾</w:t>
            </w:r>
          </w:p>
        </w:tc>
        <w:tc>
          <w:tcPr>
            <w:tcW w:w="1479" w:type="dxa"/>
            <w:noWrap w:val="0"/>
            <w:vAlign w:val="center"/>
          </w:tcPr>
          <w:p>
            <w:pPr>
              <w:pStyle w:val="126"/>
              <w:spacing w:beforeLines="0" w:afterLines="0" w:line="240" w:lineRule="auto"/>
              <w:rPr>
                <w:rFonts w:ascii="Times New Roman" w:eastAsia="等线"/>
                <w:szCs w:val="21"/>
              </w:rPr>
            </w:pPr>
          </w:p>
        </w:tc>
        <w:tc>
          <w:tcPr>
            <w:tcW w:w="1276" w:type="dxa"/>
            <w:noWrap w:val="0"/>
            <w:vAlign w:val="center"/>
          </w:tcPr>
          <w:p>
            <w:pPr>
              <w:pStyle w:val="126"/>
              <w:spacing w:beforeLines="0" w:afterLines="0" w:line="240" w:lineRule="auto"/>
              <w:rPr>
                <w:rFonts w:ascii="Times New Roman" w:eastAsia="等线"/>
                <w:szCs w:val="21"/>
              </w:rPr>
            </w:pPr>
          </w:p>
        </w:tc>
        <w:tc>
          <w:tcPr>
            <w:tcW w:w="1701" w:type="dxa"/>
            <w:noWrap w:val="0"/>
            <w:vAlign w:val="center"/>
          </w:tcPr>
          <w:p>
            <w:pPr>
              <w:pStyle w:val="126"/>
              <w:spacing w:beforeLines="0" w:afterLines="0" w:line="240" w:lineRule="auto"/>
              <w:rPr>
                <w:rFonts w:ascii="Times New Roman" w:eastAsia="等线"/>
                <w:szCs w:val="21"/>
              </w:rPr>
            </w:pPr>
          </w:p>
        </w:tc>
        <w:tc>
          <w:tcPr>
            <w:tcW w:w="1559" w:type="dxa"/>
            <w:noWrap w:val="0"/>
            <w:vAlign w:val="center"/>
          </w:tcPr>
          <w:p>
            <w:pPr>
              <w:pStyle w:val="126"/>
              <w:spacing w:beforeLines="0" w:afterLines="0" w:line="240" w:lineRule="auto"/>
              <w:rPr>
                <w:rFonts w:ascii="Times New Roman" w:eastAsia="等线"/>
                <w:szCs w:val="21"/>
              </w:rPr>
            </w:pPr>
            <w:r>
              <w:rPr>
                <w:rFonts w:hint="eastAsia" w:ascii="Times New Roman" w:eastAsia="等线"/>
                <w:szCs w:val="21"/>
              </w:rPr>
              <w:t>12.775</w:t>
            </w:r>
          </w:p>
        </w:tc>
        <w:tc>
          <w:tcPr>
            <w:tcW w:w="1761" w:type="dxa"/>
            <w:noWrap w:val="0"/>
            <w:vAlign w:val="center"/>
          </w:tcPr>
          <w:p>
            <w:pPr>
              <w:pStyle w:val="126"/>
              <w:spacing w:beforeLines="0" w:afterLines="0" w:line="240" w:lineRule="auto"/>
              <w:rPr>
                <w:rFonts w:ascii="Times New Roman" w:eastAsia="等线"/>
                <w:szCs w:val="21"/>
              </w:rPr>
            </w:pPr>
          </w:p>
        </w:tc>
        <w:tc>
          <w:tcPr>
            <w:tcW w:w="1499" w:type="dxa"/>
            <w:noWrap w:val="0"/>
            <w:vAlign w:val="center"/>
          </w:tcPr>
          <w:p>
            <w:pPr>
              <w:pStyle w:val="126"/>
              <w:spacing w:beforeLines="0" w:afterLines="0" w:line="240" w:lineRule="auto"/>
              <w:rPr>
                <w:rFonts w:ascii="Times New Roman" w:eastAsia="等线"/>
                <w:szCs w:val="21"/>
              </w:rPr>
            </w:pPr>
            <w:r>
              <w:rPr>
                <w:rFonts w:hint="eastAsia" w:ascii="Times New Roman" w:eastAsia="等线"/>
                <w:szCs w:val="21"/>
              </w:rPr>
              <w:t>12.775</w:t>
            </w:r>
          </w:p>
        </w:tc>
        <w:tc>
          <w:tcPr>
            <w:tcW w:w="1286" w:type="dxa"/>
            <w:noWrap w:val="0"/>
            <w:vAlign w:val="center"/>
          </w:tcPr>
          <w:p>
            <w:pPr>
              <w:pStyle w:val="126"/>
              <w:spacing w:beforeLines="0" w:afterLines="0" w:line="240" w:lineRule="auto"/>
              <w:rPr>
                <w:rFonts w:ascii="Times New Roman" w:eastAsia="等线"/>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hint="eastAsia"/>
                <w:szCs w:val="21"/>
              </w:rPr>
              <w:t>化粪池及隔油池污泥</w:t>
            </w:r>
          </w:p>
        </w:tc>
        <w:tc>
          <w:tcPr>
            <w:tcW w:w="1479" w:type="dxa"/>
            <w:noWrap w:val="0"/>
            <w:vAlign w:val="center"/>
          </w:tcPr>
          <w:p>
            <w:pPr>
              <w:pStyle w:val="126"/>
              <w:spacing w:beforeLines="0" w:afterLines="0" w:line="240" w:lineRule="auto"/>
              <w:rPr>
                <w:rFonts w:ascii="Times New Roman" w:eastAsia="等线"/>
                <w:szCs w:val="21"/>
              </w:rPr>
            </w:pPr>
          </w:p>
        </w:tc>
        <w:tc>
          <w:tcPr>
            <w:tcW w:w="1276" w:type="dxa"/>
            <w:noWrap w:val="0"/>
            <w:vAlign w:val="center"/>
          </w:tcPr>
          <w:p>
            <w:pPr>
              <w:pStyle w:val="126"/>
              <w:spacing w:beforeLines="0" w:afterLines="0" w:line="240" w:lineRule="auto"/>
              <w:rPr>
                <w:rFonts w:ascii="Times New Roman" w:eastAsia="等线"/>
                <w:szCs w:val="21"/>
              </w:rPr>
            </w:pPr>
          </w:p>
        </w:tc>
        <w:tc>
          <w:tcPr>
            <w:tcW w:w="1701" w:type="dxa"/>
            <w:noWrap w:val="0"/>
            <w:vAlign w:val="center"/>
          </w:tcPr>
          <w:p>
            <w:pPr>
              <w:pStyle w:val="126"/>
              <w:spacing w:beforeLines="0" w:afterLines="0" w:line="240" w:lineRule="auto"/>
              <w:rPr>
                <w:rFonts w:ascii="Times New Roman" w:eastAsia="等线"/>
                <w:szCs w:val="21"/>
              </w:rPr>
            </w:pPr>
          </w:p>
        </w:tc>
        <w:tc>
          <w:tcPr>
            <w:tcW w:w="1559" w:type="dxa"/>
            <w:noWrap w:val="0"/>
            <w:vAlign w:val="center"/>
          </w:tcPr>
          <w:p>
            <w:pPr>
              <w:pStyle w:val="126"/>
              <w:spacing w:beforeLines="0" w:afterLines="0" w:line="240" w:lineRule="auto"/>
              <w:rPr>
                <w:rFonts w:ascii="Times New Roman" w:eastAsia="等线"/>
                <w:szCs w:val="21"/>
              </w:rPr>
            </w:pPr>
            <w:r>
              <w:rPr>
                <w:rFonts w:hint="eastAsia" w:ascii="Times New Roman" w:eastAsia="等线"/>
                <w:szCs w:val="21"/>
              </w:rPr>
              <w:t>1.5</w:t>
            </w:r>
          </w:p>
        </w:tc>
        <w:tc>
          <w:tcPr>
            <w:tcW w:w="1761" w:type="dxa"/>
            <w:noWrap w:val="0"/>
            <w:vAlign w:val="center"/>
          </w:tcPr>
          <w:p>
            <w:pPr>
              <w:pStyle w:val="126"/>
              <w:spacing w:beforeLines="0" w:afterLines="0" w:line="240" w:lineRule="auto"/>
              <w:rPr>
                <w:rFonts w:ascii="Times New Roman" w:eastAsia="等线"/>
                <w:szCs w:val="21"/>
              </w:rPr>
            </w:pPr>
          </w:p>
        </w:tc>
        <w:tc>
          <w:tcPr>
            <w:tcW w:w="1499" w:type="dxa"/>
            <w:noWrap w:val="0"/>
            <w:vAlign w:val="center"/>
          </w:tcPr>
          <w:p>
            <w:pPr>
              <w:pStyle w:val="126"/>
              <w:spacing w:beforeLines="0" w:afterLines="0" w:line="240" w:lineRule="auto"/>
              <w:rPr>
                <w:rFonts w:ascii="Times New Roman" w:eastAsia="等线"/>
                <w:szCs w:val="21"/>
              </w:rPr>
            </w:pPr>
            <w:r>
              <w:rPr>
                <w:rFonts w:hint="eastAsia" w:ascii="Times New Roman" w:eastAsia="等线"/>
                <w:szCs w:val="21"/>
              </w:rPr>
              <w:t>1.5</w:t>
            </w:r>
          </w:p>
        </w:tc>
        <w:tc>
          <w:tcPr>
            <w:tcW w:w="1286" w:type="dxa"/>
            <w:noWrap w:val="0"/>
            <w:vAlign w:val="center"/>
          </w:tcPr>
          <w:p>
            <w:pPr>
              <w:pStyle w:val="126"/>
              <w:spacing w:beforeLines="0" w:afterLines="0" w:line="240" w:lineRule="auto"/>
              <w:rPr>
                <w:rFonts w:ascii="Times New Roman" w:eastAsia="等线"/>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126"/>
              <w:spacing w:beforeLines="0" w:afterLines="0" w:line="240" w:lineRule="auto"/>
              <w:rPr>
                <w:rFonts w:ascii="Times New Roman"/>
                <w:snapToGrid w:val="0"/>
                <w:kern w:val="21"/>
                <w:szCs w:val="21"/>
              </w:rPr>
            </w:pPr>
            <w:r>
              <w:rPr>
                <w:rFonts w:ascii="Times New Roman"/>
                <w:snapToGrid w:val="0"/>
                <w:kern w:val="21"/>
                <w:szCs w:val="21"/>
              </w:rPr>
              <w:t>危险废物</w:t>
            </w:r>
          </w:p>
        </w:tc>
        <w:tc>
          <w:tcPr>
            <w:tcW w:w="1639" w:type="dxa"/>
            <w:noWrap w:val="0"/>
            <w:vAlign w:val="center"/>
          </w:tcPr>
          <w:p>
            <w:pPr>
              <w:pStyle w:val="126"/>
              <w:spacing w:beforeLines="0" w:afterLines="0" w:line="240" w:lineRule="auto"/>
              <w:rPr>
                <w:rFonts w:ascii="Times New Roman"/>
                <w:snapToGrid w:val="0"/>
                <w:kern w:val="21"/>
                <w:szCs w:val="21"/>
              </w:rPr>
            </w:pPr>
            <w:r>
              <w:rPr>
                <w:rFonts w:hint="eastAsia"/>
                <w:szCs w:val="21"/>
              </w:rPr>
              <w:t>隔油池废油</w:t>
            </w:r>
          </w:p>
        </w:tc>
        <w:tc>
          <w:tcPr>
            <w:tcW w:w="1479" w:type="dxa"/>
            <w:noWrap w:val="0"/>
            <w:vAlign w:val="center"/>
          </w:tcPr>
          <w:p>
            <w:pPr>
              <w:pStyle w:val="126"/>
              <w:spacing w:beforeLines="0" w:afterLines="0" w:line="240" w:lineRule="auto"/>
              <w:rPr>
                <w:rFonts w:ascii="Times New Roman" w:eastAsia="等线"/>
                <w:szCs w:val="21"/>
              </w:rPr>
            </w:pPr>
          </w:p>
        </w:tc>
        <w:tc>
          <w:tcPr>
            <w:tcW w:w="1276" w:type="dxa"/>
            <w:noWrap w:val="0"/>
            <w:vAlign w:val="center"/>
          </w:tcPr>
          <w:p>
            <w:pPr>
              <w:pStyle w:val="126"/>
              <w:spacing w:beforeLines="0" w:afterLines="0" w:line="240" w:lineRule="auto"/>
              <w:rPr>
                <w:rFonts w:ascii="Times New Roman" w:eastAsia="等线"/>
                <w:szCs w:val="21"/>
              </w:rPr>
            </w:pPr>
          </w:p>
        </w:tc>
        <w:tc>
          <w:tcPr>
            <w:tcW w:w="1701" w:type="dxa"/>
            <w:noWrap w:val="0"/>
            <w:vAlign w:val="center"/>
          </w:tcPr>
          <w:p>
            <w:pPr>
              <w:pStyle w:val="126"/>
              <w:spacing w:beforeLines="0" w:afterLines="0" w:line="240" w:lineRule="auto"/>
              <w:rPr>
                <w:rFonts w:ascii="Times New Roman" w:eastAsia="等线"/>
                <w:szCs w:val="21"/>
              </w:rPr>
            </w:pPr>
          </w:p>
        </w:tc>
        <w:tc>
          <w:tcPr>
            <w:tcW w:w="155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0.02</w:t>
            </w:r>
          </w:p>
        </w:tc>
        <w:tc>
          <w:tcPr>
            <w:tcW w:w="1761" w:type="dxa"/>
            <w:noWrap w:val="0"/>
            <w:vAlign w:val="center"/>
          </w:tcPr>
          <w:p>
            <w:pPr>
              <w:pStyle w:val="126"/>
              <w:spacing w:beforeLines="0" w:afterLines="0" w:line="240" w:lineRule="auto"/>
              <w:rPr>
                <w:rFonts w:ascii="Times New Roman" w:eastAsia="等线"/>
                <w:szCs w:val="21"/>
              </w:rPr>
            </w:pPr>
          </w:p>
        </w:tc>
        <w:tc>
          <w:tcPr>
            <w:tcW w:w="149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0.02</w:t>
            </w:r>
          </w:p>
        </w:tc>
        <w:tc>
          <w:tcPr>
            <w:tcW w:w="1286" w:type="dxa"/>
            <w:noWrap w:val="0"/>
            <w:vAlign w:val="center"/>
          </w:tcPr>
          <w:p>
            <w:pPr>
              <w:pStyle w:val="126"/>
              <w:spacing w:beforeLines="0" w:afterLines="0" w:line="240" w:lineRule="auto"/>
              <w:rPr>
                <w:rFonts w:ascii="Times New Roman" w:eastAsia="等线"/>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zCs w:val="21"/>
              </w:rPr>
            </w:pPr>
            <w:r>
              <w:rPr>
                <w:rFonts w:hint="eastAsia"/>
                <w:szCs w:val="21"/>
              </w:rPr>
              <w:t>清罐废水及废渣</w:t>
            </w:r>
          </w:p>
        </w:tc>
        <w:tc>
          <w:tcPr>
            <w:tcW w:w="1479" w:type="dxa"/>
            <w:noWrap w:val="0"/>
            <w:vAlign w:val="center"/>
          </w:tcPr>
          <w:p>
            <w:pPr>
              <w:pStyle w:val="126"/>
              <w:spacing w:beforeLines="0" w:afterLines="0" w:line="240" w:lineRule="auto"/>
              <w:rPr>
                <w:rFonts w:ascii="Times New Roman" w:eastAsia="等线"/>
                <w:szCs w:val="21"/>
              </w:rPr>
            </w:pPr>
          </w:p>
        </w:tc>
        <w:tc>
          <w:tcPr>
            <w:tcW w:w="1276" w:type="dxa"/>
            <w:noWrap w:val="0"/>
            <w:vAlign w:val="center"/>
          </w:tcPr>
          <w:p>
            <w:pPr>
              <w:pStyle w:val="126"/>
              <w:spacing w:beforeLines="0" w:afterLines="0" w:line="240" w:lineRule="auto"/>
              <w:rPr>
                <w:rFonts w:ascii="Times New Roman" w:eastAsia="等线"/>
                <w:szCs w:val="21"/>
              </w:rPr>
            </w:pPr>
          </w:p>
        </w:tc>
        <w:tc>
          <w:tcPr>
            <w:tcW w:w="1701" w:type="dxa"/>
            <w:noWrap w:val="0"/>
            <w:vAlign w:val="center"/>
          </w:tcPr>
          <w:p>
            <w:pPr>
              <w:pStyle w:val="126"/>
              <w:spacing w:beforeLines="0" w:afterLines="0" w:line="240" w:lineRule="auto"/>
              <w:rPr>
                <w:rFonts w:ascii="Times New Roman" w:eastAsia="等线"/>
                <w:szCs w:val="21"/>
              </w:rPr>
            </w:pPr>
          </w:p>
        </w:tc>
        <w:tc>
          <w:tcPr>
            <w:tcW w:w="155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0.3</w:t>
            </w:r>
          </w:p>
        </w:tc>
        <w:tc>
          <w:tcPr>
            <w:tcW w:w="1761" w:type="dxa"/>
            <w:noWrap w:val="0"/>
            <w:vAlign w:val="center"/>
          </w:tcPr>
          <w:p>
            <w:pPr>
              <w:pStyle w:val="126"/>
              <w:spacing w:beforeLines="0" w:afterLines="0" w:line="240" w:lineRule="auto"/>
              <w:rPr>
                <w:rFonts w:ascii="Times New Roman" w:eastAsia="等线"/>
                <w:szCs w:val="21"/>
              </w:rPr>
            </w:pPr>
          </w:p>
        </w:tc>
        <w:tc>
          <w:tcPr>
            <w:tcW w:w="149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0.3</w:t>
            </w:r>
          </w:p>
        </w:tc>
        <w:tc>
          <w:tcPr>
            <w:tcW w:w="1286" w:type="dxa"/>
            <w:noWrap w:val="0"/>
            <w:vAlign w:val="center"/>
          </w:tcPr>
          <w:p>
            <w:pPr>
              <w:pStyle w:val="126"/>
              <w:spacing w:beforeLines="0" w:afterLines="0" w:line="240" w:lineRule="auto"/>
              <w:rPr>
                <w:rFonts w:ascii="Times New Roman" w:eastAsia="等线"/>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126"/>
              <w:spacing w:beforeLines="0" w:afterLines="0" w:line="240" w:lineRule="auto"/>
              <w:rPr>
                <w:rFonts w:ascii="Times New Roman"/>
                <w:snapToGrid w:val="0"/>
                <w:kern w:val="21"/>
                <w:szCs w:val="21"/>
              </w:rPr>
            </w:pPr>
          </w:p>
        </w:tc>
        <w:tc>
          <w:tcPr>
            <w:tcW w:w="1639" w:type="dxa"/>
            <w:noWrap w:val="0"/>
            <w:vAlign w:val="center"/>
          </w:tcPr>
          <w:p>
            <w:pPr>
              <w:pStyle w:val="126"/>
              <w:spacing w:beforeLines="0" w:afterLines="0" w:line="240" w:lineRule="auto"/>
              <w:rPr>
                <w:rFonts w:ascii="Times New Roman"/>
                <w:snapToGrid w:val="0"/>
                <w:kern w:val="21"/>
                <w:szCs w:val="21"/>
              </w:rPr>
            </w:pPr>
            <w:r>
              <w:rPr>
                <w:rFonts w:hint="eastAsia"/>
                <w:szCs w:val="21"/>
              </w:rPr>
              <w:t>沾油废物</w:t>
            </w:r>
          </w:p>
        </w:tc>
        <w:tc>
          <w:tcPr>
            <w:tcW w:w="1479" w:type="dxa"/>
            <w:noWrap w:val="0"/>
            <w:vAlign w:val="center"/>
          </w:tcPr>
          <w:p>
            <w:pPr>
              <w:pStyle w:val="126"/>
              <w:spacing w:beforeLines="0" w:afterLines="0" w:line="240" w:lineRule="auto"/>
              <w:rPr>
                <w:rFonts w:ascii="Times New Roman" w:eastAsia="等线"/>
                <w:szCs w:val="21"/>
              </w:rPr>
            </w:pPr>
          </w:p>
        </w:tc>
        <w:tc>
          <w:tcPr>
            <w:tcW w:w="1276" w:type="dxa"/>
            <w:noWrap w:val="0"/>
            <w:vAlign w:val="center"/>
          </w:tcPr>
          <w:p>
            <w:pPr>
              <w:pStyle w:val="126"/>
              <w:spacing w:beforeLines="0" w:afterLines="0" w:line="240" w:lineRule="auto"/>
              <w:rPr>
                <w:rFonts w:ascii="Times New Roman" w:eastAsia="等线"/>
                <w:szCs w:val="21"/>
              </w:rPr>
            </w:pPr>
          </w:p>
        </w:tc>
        <w:tc>
          <w:tcPr>
            <w:tcW w:w="1701" w:type="dxa"/>
            <w:noWrap w:val="0"/>
            <w:vAlign w:val="center"/>
          </w:tcPr>
          <w:p>
            <w:pPr>
              <w:pStyle w:val="126"/>
              <w:spacing w:beforeLines="0" w:afterLines="0" w:line="240" w:lineRule="auto"/>
              <w:rPr>
                <w:rFonts w:ascii="Times New Roman" w:eastAsia="等线"/>
                <w:szCs w:val="21"/>
              </w:rPr>
            </w:pPr>
          </w:p>
        </w:tc>
        <w:tc>
          <w:tcPr>
            <w:tcW w:w="155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0.05</w:t>
            </w:r>
          </w:p>
        </w:tc>
        <w:tc>
          <w:tcPr>
            <w:tcW w:w="1761" w:type="dxa"/>
            <w:noWrap w:val="0"/>
            <w:vAlign w:val="center"/>
          </w:tcPr>
          <w:p>
            <w:pPr>
              <w:pStyle w:val="126"/>
              <w:spacing w:beforeLines="0" w:afterLines="0" w:line="240" w:lineRule="auto"/>
              <w:rPr>
                <w:rFonts w:ascii="Times New Roman" w:eastAsia="等线"/>
                <w:szCs w:val="21"/>
              </w:rPr>
            </w:pPr>
          </w:p>
        </w:tc>
        <w:tc>
          <w:tcPr>
            <w:tcW w:w="1499" w:type="dxa"/>
            <w:noWrap w:val="0"/>
            <w:vAlign w:val="center"/>
          </w:tcPr>
          <w:p>
            <w:pPr>
              <w:pStyle w:val="126"/>
              <w:spacing w:beforeLines="0" w:afterLines="0" w:line="240" w:lineRule="auto"/>
              <w:rPr>
                <w:rFonts w:ascii="Times New Roman" w:eastAsia="等线"/>
                <w:szCs w:val="21"/>
              </w:rPr>
            </w:pPr>
            <w:r>
              <w:rPr>
                <w:rFonts w:ascii="Times New Roman" w:eastAsia="等线"/>
                <w:szCs w:val="21"/>
              </w:rPr>
              <w:t>0.05</w:t>
            </w:r>
          </w:p>
        </w:tc>
        <w:tc>
          <w:tcPr>
            <w:tcW w:w="1286" w:type="dxa"/>
            <w:noWrap w:val="0"/>
            <w:vAlign w:val="center"/>
          </w:tcPr>
          <w:p>
            <w:pPr>
              <w:pStyle w:val="126"/>
              <w:spacing w:beforeLines="0" w:afterLines="0" w:line="240" w:lineRule="auto"/>
              <w:rPr>
                <w:rFonts w:ascii="Times New Roman" w:eastAsia="等线"/>
                <w:szCs w:val="21"/>
              </w:rPr>
            </w:pPr>
          </w:p>
        </w:tc>
      </w:tr>
    </w:tbl>
    <w:p>
      <w:pPr>
        <w:pStyle w:val="126"/>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Pr>
        <w:sectPr>
          <w:footerReference r:id="rId6" w:type="default"/>
          <w:pgSz w:w="16838" w:h="11906" w:orient="landscape"/>
          <w:pgMar w:top="1701" w:right="1531" w:bottom="1701" w:left="1531" w:header="851" w:footer="851" w:gutter="0"/>
          <w:cols w:space="720" w:num="1"/>
          <w:docGrid w:linePitch="312" w:charSpace="0"/>
        </w:sectPr>
      </w:pPr>
    </w:p>
    <w:p>
      <w:pPr>
        <w:pStyle w:val="65"/>
        <w:adjustRightInd w:val="0"/>
        <w:snapToGrid w:val="0"/>
        <w:spacing w:before="648" w:beforeLines="270" w:beforeAutospacing="0" w:after="648" w:afterLines="270" w:afterAutospacing="0"/>
        <w:jc w:val="center"/>
        <w:outlineLvl w:val="0"/>
        <w:rPr>
          <w:rFonts w:ascii="Times New Roman" w:hAnsi="Times New Roman"/>
        </w:rPr>
      </w:pPr>
    </w:p>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00001" w:csb1="00000000"/>
  </w:font>
  <w:font w:name="華康中楷體">
    <w:altName w:val="Microsoft JhengHei"/>
    <w:panose1 w:val="00000000000000000000"/>
    <w:charset w:val="88"/>
    <w:family w:val="modern"/>
    <w:pitch w:val="default"/>
    <w:sig w:usb0="00000000" w:usb1="00000000" w:usb2="00000010" w:usb3="00000000" w:csb0="00100000" w:csb1="00000000"/>
  </w:font>
  <w:font w:name="等线 Light">
    <w:panose1 w:val="02010600030101010101"/>
    <w:charset w:val="86"/>
    <w:family w:val="auto"/>
    <w:pitch w:val="default"/>
    <w:sig w:usb0="A00002BF" w:usb1="38CF7CFA" w:usb2="00000016" w:usb3="00000000" w:csb0="0004000F" w:csb1="00000000"/>
  </w:font>
  <w:font w:name="方正宋三简体">
    <w:altName w:val="微软雅黑"/>
    <w:panose1 w:val="02010601030101010101"/>
    <w:charset w:val="86"/>
    <w:family w:val="auto"/>
    <w:pitch w:val="default"/>
    <w:sig w:usb0="00000000" w:usb1="00000000" w:usb2="00000010" w:usb3="00000000" w:csb0="00040000" w:csb1="00000000"/>
  </w:font>
  <w:font w:name="Gulim">
    <w:altName w:val="Malgun Gothic"/>
    <w:panose1 w:val="020B0600000101010101"/>
    <w:charset w:val="81"/>
    <w:family w:val="roman"/>
    <w:pitch w:val="default"/>
    <w:sig w:usb0="00000000" w:usb1="00000000" w:usb2="00000010" w:usb3="00000000" w:csb0="00080000" w:csb1="00000000"/>
  </w:font>
  <w:font w:name="CommercialPi BT">
    <w:altName w:val="Symbol"/>
    <w:panose1 w:val="05020102010206080802"/>
    <w:charset w:val="02"/>
    <w:family w:val="roman"/>
    <w:pitch w:val="default"/>
    <w:sig w:usb0="00000000" w:usb1="00000000" w:usb2="00000000" w:usb3="00000000" w:csb0="80000000" w:csb1="00000000"/>
  </w:font>
  <w:font w:name="MS Mincho">
    <w:altName w:val="Yu Gothic UI"/>
    <w:panose1 w:val="02020609040205080304"/>
    <w:charset w:val="80"/>
    <w:family w:val="roman"/>
    <w:pitch w:val="default"/>
    <w:sig w:usb0="00000000" w:usb1="00000000" w:usb2="00000010" w:usb3="00000000" w:csb0="00020000" w:csb1="00000000"/>
  </w:font>
  <w:font w:name="TimesNewRoman">
    <w:altName w:val="Yu Gothic"/>
    <w:panose1 w:val="00000000000000000000"/>
    <w:charset w:val="80"/>
    <w:family w:val="auto"/>
    <w:pitch w:val="default"/>
    <w:sig w:usb0="00000000" w:usb1="00000000" w:usb2="00000010" w:usb3="00000000" w:csb0="00020000"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_x001A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0" w:usb3="00000000" w:csb0="00100000" w:csb1="00000000"/>
  </w:font>
  <w:font w:name="Garamond">
    <w:altName w:val="Segoe Print"/>
    <w:panose1 w:val="02020404030301010803"/>
    <w:charset w:val="00"/>
    <w:family w:val="roman"/>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003F01FF" w:csb1="00000000"/>
  </w:font>
  <w:font w:name="Century">
    <w:altName w:val="Times New Roman"/>
    <w:panose1 w:val="02040604050505020304"/>
    <w:charset w:val="00"/>
    <w:family w:val="roman"/>
    <w:pitch w:val="default"/>
    <w:sig w:usb0="00000000" w:usb1="00000000" w:usb2="00000000" w:usb3="00000000" w:csb0="0000009F" w:csb1="00000000"/>
  </w:font>
  <w:font w:name="Times">
    <w:altName w:val="Times New Roman"/>
    <w:panose1 w:val="02020603050405020304"/>
    <w:charset w:val="00"/>
    <w:family w:val="roman"/>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0000009F" w:csb1="00000000"/>
  </w:font>
  <w:font w:name="DFKai-SB">
    <w:altName w:val="Microsoft JhengHei Light"/>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華康中明體">
    <w:altName w:val="Arial"/>
    <w:panose1 w:val="00000000000000000000"/>
    <w:charset w:val="00"/>
    <w:family w:val="modern"/>
    <w:pitch w:val="default"/>
    <w:sig w:usb0="00000000" w:usb1="00000000" w:usb2="00000000" w:usb3="00000000" w:csb0="00040001" w:csb1="00000000"/>
  </w:font>
  <w:font w:name="PMingLiU">
    <w:altName w:val="Microsoft JhengHei UI"/>
    <w:panose1 w:val="02010601000101010101"/>
    <w:charset w:val="88"/>
    <w:family w:val="auto"/>
    <w:pitch w:val="default"/>
    <w:sig w:usb0="00000000" w:usb1="00000000" w:usb2="00000010" w:usb3="00000000" w:csb0="00100000" w:csb1="00000000"/>
  </w:font>
  <w:font w:name="MHei-Medium">
    <w:altName w:val="MingLiU-ExtB"/>
    <w:panose1 w:val="00000000000000000000"/>
    <w:charset w:val="88"/>
    <w:family w:val="auto"/>
    <w:pitch w:val="default"/>
    <w:sig w:usb0="00000000" w:usb1="00000000" w:usb2="00000010" w:usb3="00000000" w:csb0="00100000" w:csb1="00000000"/>
  </w:font>
  <w:font w:name="MS Gothic">
    <w:panose1 w:val="020B0609070205080204"/>
    <w:charset w:val="80"/>
    <w:family w:val="modern"/>
    <w:pitch w:val="default"/>
    <w:sig w:usb0="E00002FF" w:usb1="6AC7FDFB" w:usb2="08000012" w:usb3="00000000" w:csb0="4002009F" w:csb1="DFD70000"/>
  </w:font>
  <w:font w:name="華康粗黑體">
    <w:altName w:val="Arial"/>
    <w:panose1 w:val="00000000000000000000"/>
    <w:charset w:val="00"/>
    <w:family w:val="modern"/>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icrosoft JhengHe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framePr w:wrap="around" w:vAnchor="text" w:hAnchor="margin" w:xAlign="center" w:y="1"/>
      <w:rPr>
        <w:rStyle w:val="78"/>
      </w:rPr>
    </w:pPr>
    <w:r>
      <w:fldChar w:fldCharType="begin"/>
    </w:r>
    <w:r>
      <w:rPr>
        <w:rStyle w:val="78"/>
      </w:rPr>
      <w:instrText xml:space="preserve">PAGE  </w:instrText>
    </w:r>
    <w:r>
      <w:fldChar w:fldCharType="end"/>
    </w:r>
  </w:p>
  <w:p>
    <w:pPr>
      <w:pStyle w:val="4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framePr w:wrap="around" w:vAnchor="text" w:hAnchor="page" w:x="5561" w:y="-93"/>
      <w:jc w:val="center"/>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Style w:val="78"/>
        <w:rFonts w:ascii="宋体" w:hAnsi="宋体"/>
        <w:sz w:val="26"/>
        <w:szCs w:val="26"/>
      </w:rPr>
      <w:fldChar w:fldCharType="begin"/>
    </w:r>
    <w:r>
      <w:rPr>
        <w:rStyle w:val="78"/>
        <w:rFonts w:ascii="宋体" w:hAnsi="宋体"/>
        <w:sz w:val="26"/>
        <w:szCs w:val="26"/>
      </w:rPr>
      <w:instrText xml:space="preserve">PAGE  </w:instrText>
    </w:r>
    <w:r>
      <w:rPr>
        <w:rStyle w:val="78"/>
        <w:rFonts w:ascii="宋体" w:hAnsi="宋体"/>
        <w:sz w:val="26"/>
        <w:szCs w:val="26"/>
      </w:rPr>
      <w:fldChar w:fldCharType="separate"/>
    </w:r>
    <w:r>
      <w:rPr>
        <w:rStyle w:val="78"/>
        <w:rFonts w:ascii="宋体" w:hAnsi="宋体"/>
        <w:sz w:val="26"/>
        <w:szCs w:val="26"/>
      </w:rPr>
      <w:t>20</w:t>
    </w:r>
    <w:r>
      <w:rPr>
        <w:rStyle w:val="78"/>
        <w:rFonts w:ascii="宋体" w:hAnsi="宋体"/>
        <w:sz w:val="26"/>
        <w:szCs w:val="26"/>
      </w:rPr>
      <w:fldChar w:fldCharType="end"/>
    </w:r>
    <w:r>
      <w:rPr>
        <w:rStyle w:val="78"/>
        <w:rFonts w:hint="eastAsia" w:ascii="宋体" w:hAnsi="宋体"/>
        <w:sz w:val="20"/>
      </w:rPr>
      <w:t xml:space="preserve">  </w:t>
    </w:r>
    <w:r>
      <w:rPr>
        <w:rStyle w:val="78"/>
        <w:rFonts w:hint="eastAsia" w:ascii="宋体" w:hAnsi="宋体"/>
        <w:sz w:val="28"/>
        <w:szCs w:val="28"/>
      </w:rPr>
      <w:t>—</w:t>
    </w:r>
  </w:p>
  <w:p>
    <w:pPr>
      <w:pStyle w:val="4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framePr w:wrap="around" w:vAnchor="text" w:hAnchor="margin" w:xAlign="center" w:y="1"/>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Style w:val="78"/>
        <w:rFonts w:ascii="宋体" w:hAnsi="宋体"/>
        <w:sz w:val="26"/>
        <w:szCs w:val="26"/>
      </w:rPr>
      <w:fldChar w:fldCharType="begin"/>
    </w:r>
    <w:r>
      <w:rPr>
        <w:rStyle w:val="78"/>
        <w:rFonts w:ascii="宋体" w:hAnsi="宋体"/>
        <w:sz w:val="26"/>
        <w:szCs w:val="26"/>
      </w:rPr>
      <w:instrText xml:space="preserve">PAGE  </w:instrText>
    </w:r>
    <w:r>
      <w:rPr>
        <w:rStyle w:val="78"/>
        <w:rFonts w:ascii="宋体" w:hAnsi="宋体"/>
        <w:sz w:val="26"/>
        <w:szCs w:val="26"/>
      </w:rPr>
      <w:fldChar w:fldCharType="separate"/>
    </w:r>
    <w:r>
      <w:rPr>
        <w:rStyle w:val="78"/>
        <w:rFonts w:ascii="宋体" w:hAnsi="宋体"/>
        <w:sz w:val="26"/>
        <w:szCs w:val="26"/>
      </w:rPr>
      <w:t>98</w:t>
    </w:r>
    <w:r>
      <w:rPr>
        <w:rStyle w:val="78"/>
        <w:rFonts w:ascii="宋体" w:hAnsi="宋体"/>
        <w:sz w:val="26"/>
        <w:szCs w:val="26"/>
      </w:rPr>
      <w:fldChar w:fldCharType="end"/>
    </w:r>
    <w:r>
      <w:rPr>
        <w:rStyle w:val="78"/>
        <w:rFonts w:hint="eastAsia" w:ascii="宋体" w:hAnsi="宋体"/>
        <w:sz w:val="20"/>
      </w:rPr>
      <w:t xml:space="preserve">  </w:t>
    </w:r>
    <w:r>
      <w:rPr>
        <w:rStyle w:val="78"/>
        <w:rFonts w:hint="eastAsia" w:ascii="宋体" w:hAnsi="宋体"/>
        <w:sz w:val="28"/>
        <w:szCs w:val="28"/>
      </w:rPr>
      <w:t>—</w:t>
    </w:r>
  </w:p>
  <w:p>
    <w:pPr>
      <w:pStyle w:val="4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framePr w:wrap="around" w:vAnchor="text" w:hAnchor="margin" w:xAlign="outside" w:y="1"/>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Style w:val="78"/>
        <w:rFonts w:ascii="宋体" w:hAnsi="宋体"/>
        <w:sz w:val="26"/>
        <w:szCs w:val="26"/>
      </w:rPr>
      <w:fldChar w:fldCharType="begin"/>
    </w:r>
    <w:r>
      <w:rPr>
        <w:rStyle w:val="78"/>
        <w:rFonts w:ascii="宋体" w:hAnsi="宋体"/>
        <w:sz w:val="26"/>
        <w:szCs w:val="26"/>
      </w:rPr>
      <w:instrText xml:space="preserve">PAGE  </w:instrText>
    </w:r>
    <w:r>
      <w:rPr>
        <w:rStyle w:val="78"/>
        <w:rFonts w:ascii="宋体" w:hAnsi="宋体"/>
        <w:sz w:val="26"/>
        <w:szCs w:val="26"/>
      </w:rPr>
      <w:fldChar w:fldCharType="separate"/>
    </w:r>
    <w:r>
      <w:rPr>
        <w:rStyle w:val="78"/>
        <w:rFonts w:ascii="宋体" w:hAnsi="宋体"/>
        <w:sz w:val="26"/>
        <w:szCs w:val="26"/>
      </w:rPr>
      <w:t>99</w:t>
    </w:r>
    <w:r>
      <w:rPr>
        <w:rStyle w:val="78"/>
        <w:rFonts w:ascii="宋体" w:hAnsi="宋体"/>
        <w:sz w:val="26"/>
        <w:szCs w:val="26"/>
      </w:rPr>
      <w:fldChar w:fldCharType="end"/>
    </w:r>
    <w:r>
      <w:rPr>
        <w:rStyle w:val="78"/>
        <w:rFonts w:hint="eastAsia" w:ascii="宋体" w:hAnsi="宋体"/>
        <w:sz w:val="20"/>
      </w:rPr>
      <w:t xml:space="preserve">  </w:t>
    </w:r>
    <w:r>
      <w:rPr>
        <w:rStyle w:val="78"/>
        <w:rFonts w:hint="eastAsia" w:ascii="宋体" w:hAnsi="宋体"/>
        <w:sz w:val="28"/>
        <w:szCs w:val="28"/>
      </w:rPr>
      <w:t>—</w:t>
    </w:r>
  </w:p>
  <w:p>
    <w:pPr>
      <w:pStyle w:val="4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3E3E2"/>
    <w:multiLevelType w:val="singleLevel"/>
    <w:tmpl w:val="EF13E3E2"/>
    <w:lvl w:ilvl="0" w:tentative="0">
      <w:start w:val="1"/>
      <w:numFmt w:val="chineseCounting"/>
      <w:suff w:val="nothing"/>
      <w:lvlText w:val="%1、"/>
      <w:lvlJc w:val="left"/>
      <w:rPr>
        <w:rFonts w:hint="eastAsia"/>
      </w:rPr>
    </w:lvl>
  </w:abstractNum>
  <w:abstractNum w:abstractNumId="1">
    <w:nsid w:val="FFFFFFFB"/>
    <w:multiLevelType w:val="multilevel"/>
    <w:tmpl w:val="FFFFFFFB"/>
    <w:lvl w:ilvl="0" w:tentative="0">
      <w:start w:val="0"/>
      <w:numFmt w:val="decimal"/>
      <w:lvlText w:val="%1."/>
      <w:legacy w:legacy="1" w:legacySpace="144" w:legacyIndent="0"/>
      <w:lvlJc w:val="left"/>
    </w:lvl>
    <w:lvl w:ilvl="1" w:tentative="0">
      <w:start w:val="1"/>
      <w:numFmt w:val="decimal"/>
      <w:pStyle w:val="718"/>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pStyle w:val="9"/>
      <w:lvlText w:val="%1.%2.%3.%4.%5.%6"/>
      <w:legacy w:legacy="1" w:legacySpace="144" w:legacyIndent="0"/>
      <w:lvlJc w:val="left"/>
    </w:lvl>
    <w:lvl w:ilvl="6" w:tentative="0">
      <w:start w:val="1"/>
      <w:numFmt w:val="decimal"/>
      <w:pStyle w:val="10"/>
      <w:lvlText w:val="%1.%2.%3.%4.%5.%6.%7"/>
      <w:legacy w:legacy="1" w:legacySpace="144" w:legacyIndent="0"/>
      <w:lvlJc w:val="left"/>
    </w:lvl>
    <w:lvl w:ilvl="7" w:tentative="0">
      <w:start w:val="1"/>
      <w:numFmt w:val="decimal"/>
      <w:pStyle w:val="11"/>
      <w:lvlText w:val="%1.%2.%3.%4.%5.%6.%7.%8"/>
      <w:legacy w:legacy="1" w:legacySpace="144" w:legacyIndent="0"/>
      <w:lvlJc w:val="left"/>
    </w:lvl>
    <w:lvl w:ilvl="8" w:tentative="0">
      <w:start w:val="1"/>
      <w:numFmt w:val="decimal"/>
      <w:pStyle w:val="12"/>
      <w:lvlText w:val="%1.%2.%3.%4.%5.%6.%7.%8.%9"/>
      <w:legacy w:legacy="1" w:legacySpace="144" w:legacyIndent="0"/>
      <w:lvlJc w:val="left"/>
    </w:lvl>
  </w:abstractNum>
  <w:abstractNum w:abstractNumId="2">
    <w:nsid w:val="00249775"/>
    <w:multiLevelType w:val="singleLevel"/>
    <w:tmpl w:val="00249775"/>
    <w:lvl w:ilvl="0" w:tentative="0">
      <w:start w:val="4"/>
      <w:numFmt w:val="chineseCounting"/>
      <w:suff w:val="nothing"/>
      <w:lvlText w:val="（%1）"/>
      <w:lvlJc w:val="left"/>
      <w:rPr>
        <w:rFonts w:hint="eastAsia"/>
      </w:rPr>
    </w:lvl>
  </w:abstractNum>
  <w:abstractNum w:abstractNumId="3">
    <w:nsid w:val="03515AF0"/>
    <w:multiLevelType w:val="multilevel"/>
    <w:tmpl w:val="03515AF0"/>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1509323A"/>
    <w:multiLevelType w:val="multilevel"/>
    <w:tmpl w:val="1509323A"/>
    <w:lvl w:ilvl="0" w:tentative="0">
      <w:start w:val="1"/>
      <w:numFmt w:val="decimal"/>
      <w:lvlText w:val="%1"/>
      <w:lvlJc w:val="left"/>
      <w:pPr>
        <w:tabs>
          <w:tab w:val="left" w:pos="567"/>
        </w:tabs>
        <w:ind w:left="567" w:hanging="567"/>
      </w:pPr>
      <w:rPr>
        <w:rFonts w:hint="eastAsia"/>
      </w:rPr>
    </w:lvl>
    <w:lvl w:ilvl="1" w:tentative="0">
      <w:start w:val="1"/>
      <w:numFmt w:val="decimal"/>
      <w:pStyle w:val="212"/>
      <w:lvlText w:val="%1.%2"/>
      <w:lvlJc w:val="left"/>
      <w:pPr>
        <w:tabs>
          <w:tab w:val="left" w:pos="567"/>
        </w:tabs>
        <w:ind w:left="567" w:hanging="567"/>
      </w:pPr>
      <w:rPr>
        <w:rFonts w:hint="eastAsia"/>
      </w:rPr>
    </w:lvl>
    <w:lvl w:ilvl="2" w:tentative="0">
      <w:start w:val="1"/>
      <w:numFmt w:val="bullet"/>
      <w:lvlText w:val=""/>
      <w:lvlJc w:val="left"/>
      <w:pPr>
        <w:tabs>
          <w:tab w:val="left" w:pos="927"/>
        </w:tabs>
        <w:ind w:left="794" w:hanging="227"/>
      </w:pPr>
      <w:rPr>
        <w:rFonts w:hint="default" w:ascii="Symbol" w:hAnsi="Symbol"/>
        <w:color w:val="auto"/>
      </w:rPr>
    </w:lvl>
    <w:lvl w:ilvl="3" w:tentative="0">
      <w:start w:val="1"/>
      <w:numFmt w:val="none"/>
      <w:lvlText w:val=""/>
      <w:lvlJc w:val="left"/>
      <w:pPr>
        <w:tabs>
          <w:tab w:val="left" w:pos="927"/>
        </w:tabs>
        <w:ind w:left="794" w:hanging="22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1BA460AB"/>
    <w:multiLevelType w:val="singleLevel"/>
    <w:tmpl w:val="1BA460AB"/>
    <w:lvl w:ilvl="0" w:tentative="0">
      <w:start w:val="1"/>
      <w:numFmt w:val="decimal"/>
      <w:suff w:val="nothing"/>
      <w:lvlText w:val="（%1）"/>
      <w:lvlJc w:val="left"/>
    </w:lvl>
  </w:abstractNum>
  <w:abstractNum w:abstractNumId="6">
    <w:nsid w:val="3982624E"/>
    <w:multiLevelType w:val="multilevel"/>
    <w:tmpl w:val="3982624E"/>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B9E6CF4"/>
    <w:multiLevelType w:val="multilevel"/>
    <w:tmpl w:val="3B9E6CF4"/>
    <w:lvl w:ilvl="0" w:tentative="0">
      <w:start w:val="1"/>
      <w:numFmt w:val="decimal"/>
      <w:pStyle w:val="43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pStyle w:val="7"/>
      <w:isLgl/>
      <w:lvlText w:val="%1.%2.%3.%4.%5."/>
      <w:lvlJc w:val="left"/>
      <w:pPr>
        <w:tabs>
          <w:tab w:val="left" w:pos="1800"/>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63946DFA"/>
    <w:multiLevelType w:val="multilevel"/>
    <w:tmpl w:val="63946DFA"/>
    <w:lvl w:ilvl="0" w:tentative="0">
      <w:start w:val="1"/>
      <w:numFmt w:val="bullet"/>
      <w:pStyle w:val="58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
    <w:nsid w:val="71227CFF"/>
    <w:multiLevelType w:val="multilevel"/>
    <w:tmpl w:val="71227CFF"/>
    <w:lvl w:ilvl="0" w:tentative="0">
      <w:start w:val="1"/>
      <w:numFmt w:val="decimal"/>
      <w:pStyle w:val="568"/>
      <w:lvlText w:val="表5-%1    "/>
      <w:lvlJc w:val="left"/>
      <w:pPr>
        <w:ind w:left="420" w:hanging="420"/>
      </w:pPr>
      <w:rPr>
        <w:rFonts w:hint="eastAsia"/>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EA723D8"/>
    <w:multiLevelType w:val="multilevel"/>
    <w:tmpl w:val="7EA723D8"/>
    <w:lvl w:ilvl="0" w:tentative="0">
      <w:start w:val="1"/>
      <w:numFmt w:val="decimal"/>
      <w:pStyle w:val="319"/>
      <w:suff w:val="nothing"/>
      <w:lvlText w:val="%1."/>
      <w:lvlJc w:val="left"/>
      <w:pPr>
        <w:ind w:left="-86" w:firstLine="500"/>
      </w:pPr>
      <w:rPr>
        <w:rFonts w:hint="eastAsia"/>
      </w:rPr>
    </w:lvl>
    <w:lvl w:ilvl="1" w:tentative="0">
      <w:start w:val="1"/>
      <w:numFmt w:val="lowerLetter"/>
      <w:lvlText w:val="%2)"/>
      <w:lvlJc w:val="left"/>
      <w:pPr>
        <w:ind w:left="-86" w:firstLine="0"/>
      </w:pPr>
      <w:rPr>
        <w:rFonts w:hint="eastAsia"/>
      </w:rPr>
    </w:lvl>
    <w:lvl w:ilvl="2" w:tentative="0">
      <w:start w:val="1"/>
      <w:numFmt w:val="lowerRoman"/>
      <w:lvlText w:val="%3."/>
      <w:lvlJc w:val="right"/>
      <w:pPr>
        <w:ind w:left="-86" w:firstLine="0"/>
      </w:pPr>
      <w:rPr>
        <w:rFonts w:hint="eastAsia"/>
      </w:rPr>
    </w:lvl>
    <w:lvl w:ilvl="3" w:tentative="0">
      <w:start w:val="1"/>
      <w:numFmt w:val="decimal"/>
      <w:lvlText w:val="%4."/>
      <w:lvlJc w:val="left"/>
      <w:pPr>
        <w:ind w:left="-86" w:firstLine="0"/>
      </w:pPr>
      <w:rPr>
        <w:rFonts w:hint="eastAsia"/>
      </w:rPr>
    </w:lvl>
    <w:lvl w:ilvl="4" w:tentative="0">
      <w:start w:val="1"/>
      <w:numFmt w:val="lowerLetter"/>
      <w:lvlText w:val="%5)"/>
      <w:lvlJc w:val="left"/>
      <w:pPr>
        <w:ind w:left="-86" w:firstLine="0"/>
      </w:pPr>
      <w:rPr>
        <w:rFonts w:hint="eastAsia"/>
      </w:rPr>
    </w:lvl>
    <w:lvl w:ilvl="5" w:tentative="0">
      <w:start w:val="1"/>
      <w:numFmt w:val="lowerRoman"/>
      <w:lvlText w:val="%6."/>
      <w:lvlJc w:val="right"/>
      <w:pPr>
        <w:ind w:left="-86" w:firstLine="0"/>
      </w:pPr>
      <w:rPr>
        <w:rFonts w:hint="eastAsia"/>
      </w:rPr>
    </w:lvl>
    <w:lvl w:ilvl="6" w:tentative="0">
      <w:start w:val="1"/>
      <w:numFmt w:val="decimal"/>
      <w:lvlText w:val="%7."/>
      <w:lvlJc w:val="left"/>
      <w:pPr>
        <w:ind w:left="-86" w:firstLine="0"/>
      </w:pPr>
      <w:rPr>
        <w:rFonts w:hint="eastAsia"/>
      </w:rPr>
    </w:lvl>
    <w:lvl w:ilvl="7" w:tentative="0">
      <w:start w:val="1"/>
      <w:numFmt w:val="lowerLetter"/>
      <w:lvlText w:val="%8)"/>
      <w:lvlJc w:val="left"/>
      <w:pPr>
        <w:ind w:left="-86" w:firstLine="0"/>
      </w:pPr>
      <w:rPr>
        <w:rFonts w:hint="eastAsia"/>
      </w:rPr>
    </w:lvl>
    <w:lvl w:ilvl="8" w:tentative="0">
      <w:start w:val="1"/>
      <w:numFmt w:val="lowerRoman"/>
      <w:lvlText w:val="%9."/>
      <w:lvlJc w:val="right"/>
      <w:pPr>
        <w:ind w:left="-86" w:firstLine="0"/>
      </w:pPr>
      <w:rPr>
        <w:rFonts w:hint="eastAsia"/>
      </w:rPr>
    </w:lvl>
  </w:abstractNum>
  <w:num w:numId="1">
    <w:abstractNumId w:val="7"/>
  </w:num>
  <w:num w:numId="2">
    <w:abstractNumId w:val="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8"/>
  </w:num>
  <w:num w:numId="8">
    <w:abstractNumId w:val="0"/>
  </w:num>
  <w:num w:numId="9">
    <w:abstractNumId w:val="3"/>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A14947"/>
    <w:rsid w:val="000034E7"/>
    <w:rsid w:val="00004684"/>
    <w:rsid w:val="000060B3"/>
    <w:rsid w:val="000158B6"/>
    <w:rsid w:val="00016EB2"/>
    <w:rsid w:val="0001713C"/>
    <w:rsid w:val="0001791B"/>
    <w:rsid w:val="00017F4F"/>
    <w:rsid w:val="00022440"/>
    <w:rsid w:val="00023CD2"/>
    <w:rsid w:val="00032BD4"/>
    <w:rsid w:val="00033399"/>
    <w:rsid w:val="00036191"/>
    <w:rsid w:val="00037659"/>
    <w:rsid w:val="0004264B"/>
    <w:rsid w:val="0004364B"/>
    <w:rsid w:val="000437D7"/>
    <w:rsid w:val="000438CE"/>
    <w:rsid w:val="00044580"/>
    <w:rsid w:val="00044692"/>
    <w:rsid w:val="0005511A"/>
    <w:rsid w:val="00061AB7"/>
    <w:rsid w:val="00061B1F"/>
    <w:rsid w:val="0006562F"/>
    <w:rsid w:val="0006644F"/>
    <w:rsid w:val="0007223A"/>
    <w:rsid w:val="000733C4"/>
    <w:rsid w:val="00074783"/>
    <w:rsid w:val="0008070B"/>
    <w:rsid w:val="000810AC"/>
    <w:rsid w:val="00081A02"/>
    <w:rsid w:val="00082231"/>
    <w:rsid w:val="000927E1"/>
    <w:rsid w:val="00092D38"/>
    <w:rsid w:val="0009377B"/>
    <w:rsid w:val="000971F6"/>
    <w:rsid w:val="000A0B3F"/>
    <w:rsid w:val="000A0F2A"/>
    <w:rsid w:val="000A20C9"/>
    <w:rsid w:val="000A2978"/>
    <w:rsid w:val="000A3A4E"/>
    <w:rsid w:val="000A4A9A"/>
    <w:rsid w:val="000B058F"/>
    <w:rsid w:val="000B4467"/>
    <w:rsid w:val="000B4DB9"/>
    <w:rsid w:val="000C09AC"/>
    <w:rsid w:val="000C66CD"/>
    <w:rsid w:val="000C767F"/>
    <w:rsid w:val="000D4155"/>
    <w:rsid w:val="000D5558"/>
    <w:rsid w:val="000D5849"/>
    <w:rsid w:val="000D5A44"/>
    <w:rsid w:val="000E3ED2"/>
    <w:rsid w:val="000F2009"/>
    <w:rsid w:val="000F2834"/>
    <w:rsid w:val="000F3C62"/>
    <w:rsid w:val="000F42FA"/>
    <w:rsid w:val="00100B33"/>
    <w:rsid w:val="00103DE1"/>
    <w:rsid w:val="00105A42"/>
    <w:rsid w:val="00105DB2"/>
    <w:rsid w:val="00111970"/>
    <w:rsid w:val="001148DD"/>
    <w:rsid w:val="00116700"/>
    <w:rsid w:val="00116AD9"/>
    <w:rsid w:val="001230FB"/>
    <w:rsid w:val="00131EC7"/>
    <w:rsid w:val="00131F42"/>
    <w:rsid w:val="00133198"/>
    <w:rsid w:val="001357F1"/>
    <w:rsid w:val="001403C6"/>
    <w:rsid w:val="00140F03"/>
    <w:rsid w:val="00140FA8"/>
    <w:rsid w:val="00142FEB"/>
    <w:rsid w:val="00143A2D"/>
    <w:rsid w:val="00145A41"/>
    <w:rsid w:val="00145CC1"/>
    <w:rsid w:val="00146265"/>
    <w:rsid w:val="00146C07"/>
    <w:rsid w:val="00151675"/>
    <w:rsid w:val="001525CB"/>
    <w:rsid w:val="0015291A"/>
    <w:rsid w:val="00152FEC"/>
    <w:rsid w:val="0015376B"/>
    <w:rsid w:val="00153F29"/>
    <w:rsid w:val="00157435"/>
    <w:rsid w:val="001574E2"/>
    <w:rsid w:val="00161314"/>
    <w:rsid w:val="00161B51"/>
    <w:rsid w:val="00163A12"/>
    <w:rsid w:val="00170494"/>
    <w:rsid w:val="00173247"/>
    <w:rsid w:val="00173506"/>
    <w:rsid w:val="0017504D"/>
    <w:rsid w:val="0017671A"/>
    <w:rsid w:val="00177422"/>
    <w:rsid w:val="00180B6C"/>
    <w:rsid w:val="001838DE"/>
    <w:rsid w:val="00184590"/>
    <w:rsid w:val="00184E19"/>
    <w:rsid w:val="001859DE"/>
    <w:rsid w:val="001870D1"/>
    <w:rsid w:val="0018781E"/>
    <w:rsid w:val="00187DD9"/>
    <w:rsid w:val="0019262D"/>
    <w:rsid w:val="00194337"/>
    <w:rsid w:val="001949B6"/>
    <w:rsid w:val="001A1B35"/>
    <w:rsid w:val="001A319F"/>
    <w:rsid w:val="001A36D7"/>
    <w:rsid w:val="001A48A2"/>
    <w:rsid w:val="001A5D44"/>
    <w:rsid w:val="001A6F61"/>
    <w:rsid w:val="001B72B8"/>
    <w:rsid w:val="001B7581"/>
    <w:rsid w:val="001B7D4A"/>
    <w:rsid w:val="001C0DB5"/>
    <w:rsid w:val="001C69B3"/>
    <w:rsid w:val="001C6B97"/>
    <w:rsid w:val="001D2659"/>
    <w:rsid w:val="001D5595"/>
    <w:rsid w:val="001D56E0"/>
    <w:rsid w:val="001D633A"/>
    <w:rsid w:val="001D721C"/>
    <w:rsid w:val="001D7874"/>
    <w:rsid w:val="001D7C82"/>
    <w:rsid w:val="001D7F22"/>
    <w:rsid w:val="001E0DA9"/>
    <w:rsid w:val="001E2E94"/>
    <w:rsid w:val="001E2FA6"/>
    <w:rsid w:val="001E6778"/>
    <w:rsid w:val="001E6EB5"/>
    <w:rsid w:val="001F0F17"/>
    <w:rsid w:val="001F2BA8"/>
    <w:rsid w:val="001F3347"/>
    <w:rsid w:val="001F59A5"/>
    <w:rsid w:val="001F69E4"/>
    <w:rsid w:val="001F6C28"/>
    <w:rsid w:val="001F702D"/>
    <w:rsid w:val="00200907"/>
    <w:rsid w:val="0020674A"/>
    <w:rsid w:val="002125B4"/>
    <w:rsid w:val="00214C29"/>
    <w:rsid w:val="00214D5A"/>
    <w:rsid w:val="002155B8"/>
    <w:rsid w:val="00224839"/>
    <w:rsid w:val="002249B2"/>
    <w:rsid w:val="00224BD9"/>
    <w:rsid w:val="002250BF"/>
    <w:rsid w:val="00226574"/>
    <w:rsid w:val="002278EC"/>
    <w:rsid w:val="00230800"/>
    <w:rsid w:val="0023280E"/>
    <w:rsid w:val="00234A86"/>
    <w:rsid w:val="002377D1"/>
    <w:rsid w:val="00241E6F"/>
    <w:rsid w:val="00241FE7"/>
    <w:rsid w:val="00243B7B"/>
    <w:rsid w:val="00244FE6"/>
    <w:rsid w:val="002454BB"/>
    <w:rsid w:val="00245C6B"/>
    <w:rsid w:val="00245DDA"/>
    <w:rsid w:val="002506BC"/>
    <w:rsid w:val="00252889"/>
    <w:rsid w:val="00254345"/>
    <w:rsid w:val="00264557"/>
    <w:rsid w:val="00272A14"/>
    <w:rsid w:val="00272E57"/>
    <w:rsid w:val="002745D7"/>
    <w:rsid w:val="002805AB"/>
    <w:rsid w:val="002834EA"/>
    <w:rsid w:val="00284204"/>
    <w:rsid w:val="00285D4E"/>
    <w:rsid w:val="00286840"/>
    <w:rsid w:val="00286E2D"/>
    <w:rsid w:val="002909D7"/>
    <w:rsid w:val="00291773"/>
    <w:rsid w:val="00293EAC"/>
    <w:rsid w:val="002A093A"/>
    <w:rsid w:val="002A168C"/>
    <w:rsid w:val="002A1B98"/>
    <w:rsid w:val="002A2B54"/>
    <w:rsid w:val="002A3DC7"/>
    <w:rsid w:val="002B38BE"/>
    <w:rsid w:val="002B3FBD"/>
    <w:rsid w:val="002B49E2"/>
    <w:rsid w:val="002B5A19"/>
    <w:rsid w:val="002B7B00"/>
    <w:rsid w:val="002B7C44"/>
    <w:rsid w:val="002C2B17"/>
    <w:rsid w:val="002C3465"/>
    <w:rsid w:val="002C5079"/>
    <w:rsid w:val="002C5738"/>
    <w:rsid w:val="002C58CD"/>
    <w:rsid w:val="002D3DD0"/>
    <w:rsid w:val="002D7161"/>
    <w:rsid w:val="002D7DDF"/>
    <w:rsid w:val="002E1B00"/>
    <w:rsid w:val="002E1F3A"/>
    <w:rsid w:val="002E298A"/>
    <w:rsid w:val="002E39D3"/>
    <w:rsid w:val="002E4E34"/>
    <w:rsid w:val="002E66D0"/>
    <w:rsid w:val="002F2B7B"/>
    <w:rsid w:val="002F3B2E"/>
    <w:rsid w:val="002F3D4C"/>
    <w:rsid w:val="002F46B1"/>
    <w:rsid w:val="002F487C"/>
    <w:rsid w:val="002F4BE6"/>
    <w:rsid w:val="002F7063"/>
    <w:rsid w:val="00301978"/>
    <w:rsid w:val="0030332C"/>
    <w:rsid w:val="003042B1"/>
    <w:rsid w:val="00304777"/>
    <w:rsid w:val="003051C2"/>
    <w:rsid w:val="00307501"/>
    <w:rsid w:val="003077C9"/>
    <w:rsid w:val="00310205"/>
    <w:rsid w:val="00310969"/>
    <w:rsid w:val="00311B4F"/>
    <w:rsid w:val="00312296"/>
    <w:rsid w:val="00312816"/>
    <w:rsid w:val="00314F0E"/>
    <w:rsid w:val="00321D8E"/>
    <w:rsid w:val="00322ADB"/>
    <w:rsid w:val="003255E6"/>
    <w:rsid w:val="00325928"/>
    <w:rsid w:val="00326066"/>
    <w:rsid w:val="00331774"/>
    <w:rsid w:val="0033187B"/>
    <w:rsid w:val="00332863"/>
    <w:rsid w:val="003328C4"/>
    <w:rsid w:val="00335427"/>
    <w:rsid w:val="003359FA"/>
    <w:rsid w:val="0033684D"/>
    <w:rsid w:val="003377E2"/>
    <w:rsid w:val="00337B42"/>
    <w:rsid w:val="00337D88"/>
    <w:rsid w:val="00340330"/>
    <w:rsid w:val="00341B42"/>
    <w:rsid w:val="0034348F"/>
    <w:rsid w:val="00344B2D"/>
    <w:rsid w:val="00352C7C"/>
    <w:rsid w:val="00356653"/>
    <w:rsid w:val="00356856"/>
    <w:rsid w:val="0035743F"/>
    <w:rsid w:val="00357BE2"/>
    <w:rsid w:val="0036082D"/>
    <w:rsid w:val="003613B0"/>
    <w:rsid w:val="0036170C"/>
    <w:rsid w:val="00366E0F"/>
    <w:rsid w:val="00367D57"/>
    <w:rsid w:val="003731D1"/>
    <w:rsid w:val="00374C4D"/>
    <w:rsid w:val="0037510D"/>
    <w:rsid w:val="00377D9F"/>
    <w:rsid w:val="003817E5"/>
    <w:rsid w:val="00381A72"/>
    <w:rsid w:val="00382473"/>
    <w:rsid w:val="0038368E"/>
    <w:rsid w:val="00384676"/>
    <w:rsid w:val="00385202"/>
    <w:rsid w:val="00390857"/>
    <w:rsid w:val="0039212D"/>
    <w:rsid w:val="00392D58"/>
    <w:rsid w:val="00395A28"/>
    <w:rsid w:val="003A003B"/>
    <w:rsid w:val="003A4BF3"/>
    <w:rsid w:val="003A56F6"/>
    <w:rsid w:val="003A7642"/>
    <w:rsid w:val="003B24F3"/>
    <w:rsid w:val="003B316B"/>
    <w:rsid w:val="003B420D"/>
    <w:rsid w:val="003C38E6"/>
    <w:rsid w:val="003C4058"/>
    <w:rsid w:val="003C4A08"/>
    <w:rsid w:val="003C5851"/>
    <w:rsid w:val="003C5C42"/>
    <w:rsid w:val="003C6865"/>
    <w:rsid w:val="003C6C16"/>
    <w:rsid w:val="003D049B"/>
    <w:rsid w:val="003D1EC1"/>
    <w:rsid w:val="003D24F7"/>
    <w:rsid w:val="003D794D"/>
    <w:rsid w:val="003D7FDD"/>
    <w:rsid w:val="003E1018"/>
    <w:rsid w:val="003E109E"/>
    <w:rsid w:val="003E3058"/>
    <w:rsid w:val="003E50FD"/>
    <w:rsid w:val="003E5B28"/>
    <w:rsid w:val="003E76A9"/>
    <w:rsid w:val="003F0809"/>
    <w:rsid w:val="003F1D1A"/>
    <w:rsid w:val="003F5860"/>
    <w:rsid w:val="003F6A8C"/>
    <w:rsid w:val="003F755C"/>
    <w:rsid w:val="0040225C"/>
    <w:rsid w:val="0040359C"/>
    <w:rsid w:val="00406F01"/>
    <w:rsid w:val="0040742B"/>
    <w:rsid w:val="00411BAC"/>
    <w:rsid w:val="00416D50"/>
    <w:rsid w:val="00416FD5"/>
    <w:rsid w:val="00417772"/>
    <w:rsid w:val="00420E6A"/>
    <w:rsid w:val="00425A9E"/>
    <w:rsid w:val="00425D08"/>
    <w:rsid w:val="00426D6B"/>
    <w:rsid w:val="00431E6C"/>
    <w:rsid w:val="00433623"/>
    <w:rsid w:val="00433BC1"/>
    <w:rsid w:val="00433CE7"/>
    <w:rsid w:val="00437746"/>
    <w:rsid w:val="00443F8D"/>
    <w:rsid w:val="0044450B"/>
    <w:rsid w:val="0045122C"/>
    <w:rsid w:val="00452738"/>
    <w:rsid w:val="00456091"/>
    <w:rsid w:val="00456CB8"/>
    <w:rsid w:val="00456D92"/>
    <w:rsid w:val="004609CE"/>
    <w:rsid w:val="00461953"/>
    <w:rsid w:val="00464350"/>
    <w:rsid w:val="00466321"/>
    <w:rsid w:val="00466E28"/>
    <w:rsid w:val="00470A19"/>
    <w:rsid w:val="004716F6"/>
    <w:rsid w:val="00475C4B"/>
    <w:rsid w:val="00480800"/>
    <w:rsid w:val="00483387"/>
    <w:rsid w:val="00484B9B"/>
    <w:rsid w:val="004855F6"/>
    <w:rsid w:val="0048661E"/>
    <w:rsid w:val="004867A6"/>
    <w:rsid w:val="00487461"/>
    <w:rsid w:val="00491630"/>
    <w:rsid w:val="00494670"/>
    <w:rsid w:val="004A1C47"/>
    <w:rsid w:val="004A31E3"/>
    <w:rsid w:val="004A3823"/>
    <w:rsid w:val="004A47CF"/>
    <w:rsid w:val="004A4E0C"/>
    <w:rsid w:val="004A54E9"/>
    <w:rsid w:val="004A5701"/>
    <w:rsid w:val="004A62FF"/>
    <w:rsid w:val="004A68F5"/>
    <w:rsid w:val="004A726A"/>
    <w:rsid w:val="004B159D"/>
    <w:rsid w:val="004B1A34"/>
    <w:rsid w:val="004B275C"/>
    <w:rsid w:val="004B3849"/>
    <w:rsid w:val="004B48B4"/>
    <w:rsid w:val="004B6390"/>
    <w:rsid w:val="004C3C03"/>
    <w:rsid w:val="004C4F77"/>
    <w:rsid w:val="004D19E5"/>
    <w:rsid w:val="004D42F8"/>
    <w:rsid w:val="004D524B"/>
    <w:rsid w:val="004E0952"/>
    <w:rsid w:val="004E4B13"/>
    <w:rsid w:val="004E5803"/>
    <w:rsid w:val="004E6946"/>
    <w:rsid w:val="004F0B57"/>
    <w:rsid w:val="004F1AD8"/>
    <w:rsid w:val="004F2A65"/>
    <w:rsid w:val="004F6BA0"/>
    <w:rsid w:val="005039CB"/>
    <w:rsid w:val="0050558F"/>
    <w:rsid w:val="00505A8A"/>
    <w:rsid w:val="00506286"/>
    <w:rsid w:val="0050715D"/>
    <w:rsid w:val="00510813"/>
    <w:rsid w:val="00511990"/>
    <w:rsid w:val="00511B1A"/>
    <w:rsid w:val="00511DE0"/>
    <w:rsid w:val="00512211"/>
    <w:rsid w:val="00512755"/>
    <w:rsid w:val="00513EF3"/>
    <w:rsid w:val="00514870"/>
    <w:rsid w:val="00514B9B"/>
    <w:rsid w:val="00517F02"/>
    <w:rsid w:val="00520DB1"/>
    <w:rsid w:val="00523010"/>
    <w:rsid w:val="00523A99"/>
    <w:rsid w:val="00524303"/>
    <w:rsid w:val="005258A2"/>
    <w:rsid w:val="00526F89"/>
    <w:rsid w:val="005311D2"/>
    <w:rsid w:val="00531531"/>
    <w:rsid w:val="005325BB"/>
    <w:rsid w:val="005343EC"/>
    <w:rsid w:val="00535283"/>
    <w:rsid w:val="005352D7"/>
    <w:rsid w:val="005401AE"/>
    <w:rsid w:val="00542E07"/>
    <w:rsid w:val="00545424"/>
    <w:rsid w:val="00546101"/>
    <w:rsid w:val="00554A7B"/>
    <w:rsid w:val="0055572C"/>
    <w:rsid w:val="00557124"/>
    <w:rsid w:val="0056106A"/>
    <w:rsid w:val="005610F9"/>
    <w:rsid w:val="00563540"/>
    <w:rsid w:val="00564FCD"/>
    <w:rsid w:val="00566737"/>
    <w:rsid w:val="005720AE"/>
    <w:rsid w:val="00573173"/>
    <w:rsid w:val="00573619"/>
    <w:rsid w:val="00573AF4"/>
    <w:rsid w:val="00576413"/>
    <w:rsid w:val="00582C7D"/>
    <w:rsid w:val="00583C7C"/>
    <w:rsid w:val="005844FE"/>
    <w:rsid w:val="00593BDE"/>
    <w:rsid w:val="005942B7"/>
    <w:rsid w:val="00594D77"/>
    <w:rsid w:val="005969E4"/>
    <w:rsid w:val="005A06B7"/>
    <w:rsid w:val="005A1482"/>
    <w:rsid w:val="005A1759"/>
    <w:rsid w:val="005A25C9"/>
    <w:rsid w:val="005A68A7"/>
    <w:rsid w:val="005B3F7E"/>
    <w:rsid w:val="005B5E10"/>
    <w:rsid w:val="005B69CA"/>
    <w:rsid w:val="005C11D8"/>
    <w:rsid w:val="005C2AE3"/>
    <w:rsid w:val="005C50A6"/>
    <w:rsid w:val="005C6A69"/>
    <w:rsid w:val="005D0299"/>
    <w:rsid w:val="005D36AB"/>
    <w:rsid w:val="005D4CD4"/>
    <w:rsid w:val="005D5091"/>
    <w:rsid w:val="005D62F9"/>
    <w:rsid w:val="005D638A"/>
    <w:rsid w:val="005E1866"/>
    <w:rsid w:val="005E2C23"/>
    <w:rsid w:val="005E3C35"/>
    <w:rsid w:val="005E3D72"/>
    <w:rsid w:val="005E44C1"/>
    <w:rsid w:val="005E6A2A"/>
    <w:rsid w:val="005F2DE9"/>
    <w:rsid w:val="005F76B0"/>
    <w:rsid w:val="00604AE7"/>
    <w:rsid w:val="006054A6"/>
    <w:rsid w:val="00617CC3"/>
    <w:rsid w:val="00617DA4"/>
    <w:rsid w:val="00620D27"/>
    <w:rsid w:val="00621153"/>
    <w:rsid w:val="006226CD"/>
    <w:rsid w:val="006240DD"/>
    <w:rsid w:val="00626D74"/>
    <w:rsid w:val="006312A5"/>
    <w:rsid w:val="00631C36"/>
    <w:rsid w:val="00636467"/>
    <w:rsid w:val="006375BC"/>
    <w:rsid w:val="006377A6"/>
    <w:rsid w:val="00637A3D"/>
    <w:rsid w:val="0064117F"/>
    <w:rsid w:val="006411EF"/>
    <w:rsid w:val="00641A69"/>
    <w:rsid w:val="00645F9D"/>
    <w:rsid w:val="0065417A"/>
    <w:rsid w:val="00654E87"/>
    <w:rsid w:val="00656844"/>
    <w:rsid w:val="0065748A"/>
    <w:rsid w:val="00657E90"/>
    <w:rsid w:val="006652C0"/>
    <w:rsid w:val="006709FF"/>
    <w:rsid w:val="0067478F"/>
    <w:rsid w:val="006748B8"/>
    <w:rsid w:val="00675151"/>
    <w:rsid w:val="00675E1C"/>
    <w:rsid w:val="006775C3"/>
    <w:rsid w:val="006812B8"/>
    <w:rsid w:val="00687350"/>
    <w:rsid w:val="006876AB"/>
    <w:rsid w:val="006925E0"/>
    <w:rsid w:val="0069290A"/>
    <w:rsid w:val="006938F0"/>
    <w:rsid w:val="006940E1"/>
    <w:rsid w:val="00695314"/>
    <w:rsid w:val="0069775A"/>
    <w:rsid w:val="00697813"/>
    <w:rsid w:val="006A1CDF"/>
    <w:rsid w:val="006A2286"/>
    <w:rsid w:val="006A2890"/>
    <w:rsid w:val="006A3EE8"/>
    <w:rsid w:val="006A72BF"/>
    <w:rsid w:val="006A7955"/>
    <w:rsid w:val="006B03F2"/>
    <w:rsid w:val="006B1F59"/>
    <w:rsid w:val="006B37DC"/>
    <w:rsid w:val="006B4F68"/>
    <w:rsid w:val="006B5246"/>
    <w:rsid w:val="006B77F8"/>
    <w:rsid w:val="006B7E34"/>
    <w:rsid w:val="006C0592"/>
    <w:rsid w:val="006C272E"/>
    <w:rsid w:val="006C5479"/>
    <w:rsid w:val="006D13B5"/>
    <w:rsid w:val="006D220B"/>
    <w:rsid w:val="006E12FF"/>
    <w:rsid w:val="006E4660"/>
    <w:rsid w:val="006E57CA"/>
    <w:rsid w:val="006E607E"/>
    <w:rsid w:val="006E7282"/>
    <w:rsid w:val="006F00D2"/>
    <w:rsid w:val="006F088F"/>
    <w:rsid w:val="006F12D0"/>
    <w:rsid w:val="006F3814"/>
    <w:rsid w:val="0070088F"/>
    <w:rsid w:val="00700EA8"/>
    <w:rsid w:val="00702D10"/>
    <w:rsid w:val="00703756"/>
    <w:rsid w:val="00704D42"/>
    <w:rsid w:val="00706C5D"/>
    <w:rsid w:val="0070733F"/>
    <w:rsid w:val="00717241"/>
    <w:rsid w:val="007208F4"/>
    <w:rsid w:val="00720A6E"/>
    <w:rsid w:val="00721A48"/>
    <w:rsid w:val="00724D6D"/>
    <w:rsid w:val="007263FE"/>
    <w:rsid w:val="00730A39"/>
    <w:rsid w:val="00731671"/>
    <w:rsid w:val="00732922"/>
    <w:rsid w:val="00735CC3"/>
    <w:rsid w:val="00736EBB"/>
    <w:rsid w:val="0074048D"/>
    <w:rsid w:val="007427FB"/>
    <w:rsid w:val="007430AD"/>
    <w:rsid w:val="00744287"/>
    <w:rsid w:val="00747159"/>
    <w:rsid w:val="0075162E"/>
    <w:rsid w:val="00753A7D"/>
    <w:rsid w:val="00754034"/>
    <w:rsid w:val="007564FB"/>
    <w:rsid w:val="00756556"/>
    <w:rsid w:val="007618C4"/>
    <w:rsid w:val="00767980"/>
    <w:rsid w:val="0077000F"/>
    <w:rsid w:val="007707FD"/>
    <w:rsid w:val="00770B19"/>
    <w:rsid w:val="0077463F"/>
    <w:rsid w:val="00776842"/>
    <w:rsid w:val="00780E15"/>
    <w:rsid w:val="007826C9"/>
    <w:rsid w:val="007836EA"/>
    <w:rsid w:val="00783D96"/>
    <w:rsid w:val="00784CDA"/>
    <w:rsid w:val="007866C0"/>
    <w:rsid w:val="00787765"/>
    <w:rsid w:val="007906C4"/>
    <w:rsid w:val="007906CE"/>
    <w:rsid w:val="00791737"/>
    <w:rsid w:val="007940EA"/>
    <w:rsid w:val="00794DA2"/>
    <w:rsid w:val="007957E9"/>
    <w:rsid w:val="00796592"/>
    <w:rsid w:val="007967E8"/>
    <w:rsid w:val="007A0DC1"/>
    <w:rsid w:val="007A2170"/>
    <w:rsid w:val="007A22BF"/>
    <w:rsid w:val="007A3323"/>
    <w:rsid w:val="007A5CCA"/>
    <w:rsid w:val="007B72B8"/>
    <w:rsid w:val="007B7A58"/>
    <w:rsid w:val="007C21B5"/>
    <w:rsid w:val="007C2E34"/>
    <w:rsid w:val="007C393B"/>
    <w:rsid w:val="007C62D2"/>
    <w:rsid w:val="007D4D07"/>
    <w:rsid w:val="007D5988"/>
    <w:rsid w:val="007E4BD2"/>
    <w:rsid w:val="007E5D09"/>
    <w:rsid w:val="007E63D9"/>
    <w:rsid w:val="007E75E9"/>
    <w:rsid w:val="007E777C"/>
    <w:rsid w:val="007F5B61"/>
    <w:rsid w:val="00801393"/>
    <w:rsid w:val="00802F88"/>
    <w:rsid w:val="00806358"/>
    <w:rsid w:val="008073CF"/>
    <w:rsid w:val="00810690"/>
    <w:rsid w:val="00811E89"/>
    <w:rsid w:val="0081293E"/>
    <w:rsid w:val="008135D3"/>
    <w:rsid w:val="00815465"/>
    <w:rsid w:val="00816659"/>
    <w:rsid w:val="00817E9A"/>
    <w:rsid w:val="00822A30"/>
    <w:rsid w:val="008306BD"/>
    <w:rsid w:val="00831A80"/>
    <w:rsid w:val="00832A2F"/>
    <w:rsid w:val="00833743"/>
    <w:rsid w:val="008340A4"/>
    <w:rsid w:val="008361EC"/>
    <w:rsid w:val="00843CFF"/>
    <w:rsid w:val="00846CF7"/>
    <w:rsid w:val="00850821"/>
    <w:rsid w:val="00852276"/>
    <w:rsid w:val="00852E46"/>
    <w:rsid w:val="00853574"/>
    <w:rsid w:val="0085462B"/>
    <w:rsid w:val="00860283"/>
    <w:rsid w:val="00861879"/>
    <w:rsid w:val="008700DB"/>
    <w:rsid w:val="0087135F"/>
    <w:rsid w:val="00872D94"/>
    <w:rsid w:val="00873BD8"/>
    <w:rsid w:val="00874B51"/>
    <w:rsid w:val="00880364"/>
    <w:rsid w:val="00881A78"/>
    <w:rsid w:val="00885E60"/>
    <w:rsid w:val="008903DC"/>
    <w:rsid w:val="00891592"/>
    <w:rsid w:val="00891E9E"/>
    <w:rsid w:val="00893569"/>
    <w:rsid w:val="008935A3"/>
    <w:rsid w:val="00895269"/>
    <w:rsid w:val="00896512"/>
    <w:rsid w:val="00897BEA"/>
    <w:rsid w:val="00897EAB"/>
    <w:rsid w:val="008A0C53"/>
    <w:rsid w:val="008A29B0"/>
    <w:rsid w:val="008A2F68"/>
    <w:rsid w:val="008A3D20"/>
    <w:rsid w:val="008A7803"/>
    <w:rsid w:val="008A793D"/>
    <w:rsid w:val="008B366B"/>
    <w:rsid w:val="008B475C"/>
    <w:rsid w:val="008B4FA6"/>
    <w:rsid w:val="008B5282"/>
    <w:rsid w:val="008B5BB1"/>
    <w:rsid w:val="008B7C17"/>
    <w:rsid w:val="008C2D01"/>
    <w:rsid w:val="008C3B07"/>
    <w:rsid w:val="008C40E6"/>
    <w:rsid w:val="008C483C"/>
    <w:rsid w:val="008C5857"/>
    <w:rsid w:val="008D0F7A"/>
    <w:rsid w:val="008D5323"/>
    <w:rsid w:val="008D5E21"/>
    <w:rsid w:val="008D68E4"/>
    <w:rsid w:val="008E0506"/>
    <w:rsid w:val="008E0CFF"/>
    <w:rsid w:val="008E2F38"/>
    <w:rsid w:val="008E5D6B"/>
    <w:rsid w:val="008E76F0"/>
    <w:rsid w:val="008F15FE"/>
    <w:rsid w:val="008F294E"/>
    <w:rsid w:val="008F2D29"/>
    <w:rsid w:val="008F5187"/>
    <w:rsid w:val="008F5257"/>
    <w:rsid w:val="008F54E1"/>
    <w:rsid w:val="008F60D8"/>
    <w:rsid w:val="00900C64"/>
    <w:rsid w:val="00902727"/>
    <w:rsid w:val="0090312B"/>
    <w:rsid w:val="00905F83"/>
    <w:rsid w:val="00906191"/>
    <w:rsid w:val="009063E2"/>
    <w:rsid w:val="00913C22"/>
    <w:rsid w:val="00914054"/>
    <w:rsid w:val="00914D2C"/>
    <w:rsid w:val="0091542B"/>
    <w:rsid w:val="0091736D"/>
    <w:rsid w:val="009176AF"/>
    <w:rsid w:val="0091777F"/>
    <w:rsid w:val="00920B84"/>
    <w:rsid w:val="00923185"/>
    <w:rsid w:val="009258F0"/>
    <w:rsid w:val="0093037A"/>
    <w:rsid w:val="009329D4"/>
    <w:rsid w:val="009335EF"/>
    <w:rsid w:val="009340DA"/>
    <w:rsid w:val="00936FAB"/>
    <w:rsid w:val="0094154D"/>
    <w:rsid w:val="0094668E"/>
    <w:rsid w:val="00946942"/>
    <w:rsid w:val="009476C1"/>
    <w:rsid w:val="009476CA"/>
    <w:rsid w:val="0095155F"/>
    <w:rsid w:val="009520C1"/>
    <w:rsid w:val="0095213B"/>
    <w:rsid w:val="009532BE"/>
    <w:rsid w:val="00954429"/>
    <w:rsid w:val="009563CE"/>
    <w:rsid w:val="00960587"/>
    <w:rsid w:val="00960AB1"/>
    <w:rsid w:val="00964B9F"/>
    <w:rsid w:val="00972DC3"/>
    <w:rsid w:val="00973DBC"/>
    <w:rsid w:val="00974B44"/>
    <w:rsid w:val="00976328"/>
    <w:rsid w:val="0097680D"/>
    <w:rsid w:val="00976D57"/>
    <w:rsid w:val="0098111E"/>
    <w:rsid w:val="009818D1"/>
    <w:rsid w:val="00981EF1"/>
    <w:rsid w:val="0098206C"/>
    <w:rsid w:val="00982438"/>
    <w:rsid w:val="0098404C"/>
    <w:rsid w:val="009844B2"/>
    <w:rsid w:val="00985283"/>
    <w:rsid w:val="00995163"/>
    <w:rsid w:val="00995992"/>
    <w:rsid w:val="009974FD"/>
    <w:rsid w:val="009A03E5"/>
    <w:rsid w:val="009A0F3B"/>
    <w:rsid w:val="009A1BB4"/>
    <w:rsid w:val="009A25E9"/>
    <w:rsid w:val="009A2628"/>
    <w:rsid w:val="009A3200"/>
    <w:rsid w:val="009B05A3"/>
    <w:rsid w:val="009B0897"/>
    <w:rsid w:val="009B0F2E"/>
    <w:rsid w:val="009B14F5"/>
    <w:rsid w:val="009B7BD9"/>
    <w:rsid w:val="009C0E02"/>
    <w:rsid w:val="009C7DD5"/>
    <w:rsid w:val="009D2159"/>
    <w:rsid w:val="009D2D52"/>
    <w:rsid w:val="009D53B1"/>
    <w:rsid w:val="009E02F5"/>
    <w:rsid w:val="009E0407"/>
    <w:rsid w:val="009E227D"/>
    <w:rsid w:val="009E2A48"/>
    <w:rsid w:val="009E2EB6"/>
    <w:rsid w:val="009E5019"/>
    <w:rsid w:val="009E6B10"/>
    <w:rsid w:val="009F1714"/>
    <w:rsid w:val="009F23FD"/>
    <w:rsid w:val="009F4E2B"/>
    <w:rsid w:val="009F6973"/>
    <w:rsid w:val="00A00135"/>
    <w:rsid w:val="00A01158"/>
    <w:rsid w:val="00A02A2C"/>
    <w:rsid w:val="00A04639"/>
    <w:rsid w:val="00A0494C"/>
    <w:rsid w:val="00A04F1B"/>
    <w:rsid w:val="00A0501B"/>
    <w:rsid w:val="00A1275F"/>
    <w:rsid w:val="00A14355"/>
    <w:rsid w:val="00A14947"/>
    <w:rsid w:val="00A16741"/>
    <w:rsid w:val="00A171FE"/>
    <w:rsid w:val="00A1749A"/>
    <w:rsid w:val="00A22110"/>
    <w:rsid w:val="00A22B1A"/>
    <w:rsid w:val="00A23879"/>
    <w:rsid w:val="00A32A83"/>
    <w:rsid w:val="00A34B62"/>
    <w:rsid w:val="00A353E0"/>
    <w:rsid w:val="00A3590A"/>
    <w:rsid w:val="00A368DB"/>
    <w:rsid w:val="00A40154"/>
    <w:rsid w:val="00A409F2"/>
    <w:rsid w:val="00A423AA"/>
    <w:rsid w:val="00A42798"/>
    <w:rsid w:val="00A43073"/>
    <w:rsid w:val="00A45CD8"/>
    <w:rsid w:val="00A51C5A"/>
    <w:rsid w:val="00A53EC6"/>
    <w:rsid w:val="00A5496D"/>
    <w:rsid w:val="00A54999"/>
    <w:rsid w:val="00A55C0F"/>
    <w:rsid w:val="00A64050"/>
    <w:rsid w:val="00A66337"/>
    <w:rsid w:val="00A66EB4"/>
    <w:rsid w:val="00A67B0C"/>
    <w:rsid w:val="00A714CF"/>
    <w:rsid w:val="00A73BFA"/>
    <w:rsid w:val="00A73D17"/>
    <w:rsid w:val="00A839A3"/>
    <w:rsid w:val="00A83D46"/>
    <w:rsid w:val="00A8507B"/>
    <w:rsid w:val="00A8713F"/>
    <w:rsid w:val="00A906F6"/>
    <w:rsid w:val="00A90BA1"/>
    <w:rsid w:val="00A91A6C"/>
    <w:rsid w:val="00A96A68"/>
    <w:rsid w:val="00A97A9A"/>
    <w:rsid w:val="00A97FE9"/>
    <w:rsid w:val="00AA0671"/>
    <w:rsid w:val="00AA0D3D"/>
    <w:rsid w:val="00AA2531"/>
    <w:rsid w:val="00AA2EE0"/>
    <w:rsid w:val="00AA38C3"/>
    <w:rsid w:val="00AA447A"/>
    <w:rsid w:val="00AA5BB7"/>
    <w:rsid w:val="00AA5C15"/>
    <w:rsid w:val="00AB112C"/>
    <w:rsid w:val="00AB1E09"/>
    <w:rsid w:val="00AB2D94"/>
    <w:rsid w:val="00AB5330"/>
    <w:rsid w:val="00AB7747"/>
    <w:rsid w:val="00AC0589"/>
    <w:rsid w:val="00AC14CE"/>
    <w:rsid w:val="00AC2A56"/>
    <w:rsid w:val="00AC34C1"/>
    <w:rsid w:val="00AC6F79"/>
    <w:rsid w:val="00AC7E6E"/>
    <w:rsid w:val="00AD0535"/>
    <w:rsid w:val="00AD055E"/>
    <w:rsid w:val="00AD3D26"/>
    <w:rsid w:val="00AD408E"/>
    <w:rsid w:val="00AD47A7"/>
    <w:rsid w:val="00AD4B0E"/>
    <w:rsid w:val="00AD533F"/>
    <w:rsid w:val="00AE11B7"/>
    <w:rsid w:val="00AE444E"/>
    <w:rsid w:val="00AF0CBF"/>
    <w:rsid w:val="00AF257F"/>
    <w:rsid w:val="00AF2719"/>
    <w:rsid w:val="00AF33CF"/>
    <w:rsid w:val="00AF4D50"/>
    <w:rsid w:val="00AF5D13"/>
    <w:rsid w:val="00AF6179"/>
    <w:rsid w:val="00B047A7"/>
    <w:rsid w:val="00B05AAB"/>
    <w:rsid w:val="00B1278C"/>
    <w:rsid w:val="00B1295A"/>
    <w:rsid w:val="00B2069F"/>
    <w:rsid w:val="00B20A45"/>
    <w:rsid w:val="00B22C5C"/>
    <w:rsid w:val="00B24F30"/>
    <w:rsid w:val="00B258FF"/>
    <w:rsid w:val="00B30C1A"/>
    <w:rsid w:val="00B31A4C"/>
    <w:rsid w:val="00B31ABF"/>
    <w:rsid w:val="00B33BE3"/>
    <w:rsid w:val="00B33D7C"/>
    <w:rsid w:val="00B33F32"/>
    <w:rsid w:val="00B34CE6"/>
    <w:rsid w:val="00B36917"/>
    <w:rsid w:val="00B37BC0"/>
    <w:rsid w:val="00B41F6D"/>
    <w:rsid w:val="00B4246B"/>
    <w:rsid w:val="00B47BAB"/>
    <w:rsid w:val="00B50CF4"/>
    <w:rsid w:val="00B518EB"/>
    <w:rsid w:val="00B52118"/>
    <w:rsid w:val="00B53B5D"/>
    <w:rsid w:val="00B57793"/>
    <w:rsid w:val="00B57F0A"/>
    <w:rsid w:val="00B6055E"/>
    <w:rsid w:val="00B60A46"/>
    <w:rsid w:val="00B62684"/>
    <w:rsid w:val="00B6317D"/>
    <w:rsid w:val="00B709AD"/>
    <w:rsid w:val="00B720A6"/>
    <w:rsid w:val="00B72701"/>
    <w:rsid w:val="00B7723F"/>
    <w:rsid w:val="00B801D0"/>
    <w:rsid w:val="00B80534"/>
    <w:rsid w:val="00B813DA"/>
    <w:rsid w:val="00B8433C"/>
    <w:rsid w:val="00B86B68"/>
    <w:rsid w:val="00B87491"/>
    <w:rsid w:val="00B91A9C"/>
    <w:rsid w:val="00B92EF3"/>
    <w:rsid w:val="00B94CE9"/>
    <w:rsid w:val="00BA06CE"/>
    <w:rsid w:val="00BA29E9"/>
    <w:rsid w:val="00BA2DB6"/>
    <w:rsid w:val="00BA656E"/>
    <w:rsid w:val="00BA7142"/>
    <w:rsid w:val="00BB237C"/>
    <w:rsid w:val="00BB2BCA"/>
    <w:rsid w:val="00BB41A3"/>
    <w:rsid w:val="00BB6B68"/>
    <w:rsid w:val="00BC1ABE"/>
    <w:rsid w:val="00BC32DC"/>
    <w:rsid w:val="00BC35B6"/>
    <w:rsid w:val="00BC3F4A"/>
    <w:rsid w:val="00BC4ECA"/>
    <w:rsid w:val="00BC6BB2"/>
    <w:rsid w:val="00BD1B51"/>
    <w:rsid w:val="00BD4596"/>
    <w:rsid w:val="00BD6998"/>
    <w:rsid w:val="00BE1405"/>
    <w:rsid w:val="00BE312D"/>
    <w:rsid w:val="00BE32A3"/>
    <w:rsid w:val="00BE3D6C"/>
    <w:rsid w:val="00BF1C20"/>
    <w:rsid w:val="00BF21DE"/>
    <w:rsid w:val="00BF297B"/>
    <w:rsid w:val="00BF7858"/>
    <w:rsid w:val="00C0015B"/>
    <w:rsid w:val="00C01C7C"/>
    <w:rsid w:val="00C0394D"/>
    <w:rsid w:val="00C03E5F"/>
    <w:rsid w:val="00C10578"/>
    <w:rsid w:val="00C10B83"/>
    <w:rsid w:val="00C135BC"/>
    <w:rsid w:val="00C15C95"/>
    <w:rsid w:val="00C15E55"/>
    <w:rsid w:val="00C17DE3"/>
    <w:rsid w:val="00C2596A"/>
    <w:rsid w:val="00C27537"/>
    <w:rsid w:val="00C27D1D"/>
    <w:rsid w:val="00C31C80"/>
    <w:rsid w:val="00C321DF"/>
    <w:rsid w:val="00C328FE"/>
    <w:rsid w:val="00C33507"/>
    <w:rsid w:val="00C43C27"/>
    <w:rsid w:val="00C4409D"/>
    <w:rsid w:val="00C44E72"/>
    <w:rsid w:val="00C45882"/>
    <w:rsid w:val="00C45A06"/>
    <w:rsid w:val="00C45B24"/>
    <w:rsid w:val="00C47E5B"/>
    <w:rsid w:val="00C51331"/>
    <w:rsid w:val="00C51BD6"/>
    <w:rsid w:val="00C540D6"/>
    <w:rsid w:val="00C61E3A"/>
    <w:rsid w:val="00C61E4B"/>
    <w:rsid w:val="00C624E4"/>
    <w:rsid w:val="00C64BFF"/>
    <w:rsid w:val="00C704E9"/>
    <w:rsid w:val="00C715C8"/>
    <w:rsid w:val="00C750C7"/>
    <w:rsid w:val="00C763C9"/>
    <w:rsid w:val="00C80057"/>
    <w:rsid w:val="00C82232"/>
    <w:rsid w:val="00C82913"/>
    <w:rsid w:val="00C84D83"/>
    <w:rsid w:val="00C870B4"/>
    <w:rsid w:val="00C93F8C"/>
    <w:rsid w:val="00C941D4"/>
    <w:rsid w:val="00C972B1"/>
    <w:rsid w:val="00C97396"/>
    <w:rsid w:val="00CA2CCE"/>
    <w:rsid w:val="00CA327A"/>
    <w:rsid w:val="00CA43FD"/>
    <w:rsid w:val="00CA4CA4"/>
    <w:rsid w:val="00CA7EF8"/>
    <w:rsid w:val="00CB134F"/>
    <w:rsid w:val="00CB37A0"/>
    <w:rsid w:val="00CB3E0D"/>
    <w:rsid w:val="00CB69EA"/>
    <w:rsid w:val="00CB7561"/>
    <w:rsid w:val="00CC24CB"/>
    <w:rsid w:val="00CC36AD"/>
    <w:rsid w:val="00CC489B"/>
    <w:rsid w:val="00CC53FA"/>
    <w:rsid w:val="00CC5B92"/>
    <w:rsid w:val="00CC6CC1"/>
    <w:rsid w:val="00CD2BCD"/>
    <w:rsid w:val="00CD3977"/>
    <w:rsid w:val="00CD3A4C"/>
    <w:rsid w:val="00CD415F"/>
    <w:rsid w:val="00CD5CB0"/>
    <w:rsid w:val="00CD5F76"/>
    <w:rsid w:val="00CD6693"/>
    <w:rsid w:val="00CD7E9B"/>
    <w:rsid w:val="00CE10E9"/>
    <w:rsid w:val="00CE2910"/>
    <w:rsid w:val="00CE5393"/>
    <w:rsid w:val="00CF0500"/>
    <w:rsid w:val="00CF0AD2"/>
    <w:rsid w:val="00CF36BE"/>
    <w:rsid w:val="00CF41F1"/>
    <w:rsid w:val="00CF6000"/>
    <w:rsid w:val="00D003F3"/>
    <w:rsid w:val="00D00A85"/>
    <w:rsid w:val="00D00D7E"/>
    <w:rsid w:val="00D02689"/>
    <w:rsid w:val="00D0364F"/>
    <w:rsid w:val="00D03B7E"/>
    <w:rsid w:val="00D0439E"/>
    <w:rsid w:val="00D04801"/>
    <w:rsid w:val="00D06834"/>
    <w:rsid w:val="00D130FE"/>
    <w:rsid w:val="00D137D9"/>
    <w:rsid w:val="00D1598F"/>
    <w:rsid w:val="00D17840"/>
    <w:rsid w:val="00D20D3F"/>
    <w:rsid w:val="00D218C2"/>
    <w:rsid w:val="00D22064"/>
    <w:rsid w:val="00D22690"/>
    <w:rsid w:val="00D306B3"/>
    <w:rsid w:val="00D308ED"/>
    <w:rsid w:val="00D31E0B"/>
    <w:rsid w:val="00D322E1"/>
    <w:rsid w:val="00D3328C"/>
    <w:rsid w:val="00D36D86"/>
    <w:rsid w:val="00D37477"/>
    <w:rsid w:val="00D428AA"/>
    <w:rsid w:val="00D50A34"/>
    <w:rsid w:val="00D51C0B"/>
    <w:rsid w:val="00D53EFA"/>
    <w:rsid w:val="00D542A1"/>
    <w:rsid w:val="00D54A0A"/>
    <w:rsid w:val="00D56300"/>
    <w:rsid w:val="00D618D1"/>
    <w:rsid w:val="00D65079"/>
    <w:rsid w:val="00D658CF"/>
    <w:rsid w:val="00D665C3"/>
    <w:rsid w:val="00D73235"/>
    <w:rsid w:val="00D74A2C"/>
    <w:rsid w:val="00D7737C"/>
    <w:rsid w:val="00D80C19"/>
    <w:rsid w:val="00D824DE"/>
    <w:rsid w:val="00D82E62"/>
    <w:rsid w:val="00D84487"/>
    <w:rsid w:val="00D852C4"/>
    <w:rsid w:val="00D86890"/>
    <w:rsid w:val="00D9057C"/>
    <w:rsid w:val="00D94A7C"/>
    <w:rsid w:val="00D95896"/>
    <w:rsid w:val="00D9762C"/>
    <w:rsid w:val="00DA039C"/>
    <w:rsid w:val="00DA04F3"/>
    <w:rsid w:val="00DA4146"/>
    <w:rsid w:val="00DA5BD8"/>
    <w:rsid w:val="00DB2983"/>
    <w:rsid w:val="00DB29EA"/>
    <w:rsid w:val="00DB50DA"/>
    <w:rsid w:val="00DB6654"/>
    <w:rsid w:val="00DB73E2"/>
    <w:rsid w:val="00DC073E"/>
    <w:rsid w:val="00DC1257"/>
    <w:rsid w:val="00DC3DC0"/>
    <w:rsid w:val="00DC5B2B"/>
    <w:rsid w:val="00DC5EE2"/>
    <w:rsid w:val="00DD318D"/>
    <w:rsid w:val="00DD5A83"/>
    <w:rsid w:val="00DE257A"/>
    <w:rsid w:val="00DE443F"/>
    <w:rsid w:val="00DE4E82"/>
    <w:rsid w:val="00DE5EFD"/>
    <w:rsid w:val="00DE64F5"/>
    <w:rsid w:val="00DF2E12"/>
    <w:rsid w:val="00DF514A"/>
    <w:rsid w:val="00DF6690"/>
    <w:rsid w:val="00DF6804"/>
    <w:rsid w:val="00DF7D5E"/>
    <w:rsid w:val="00E0020E"/>
    <w:rsid w:val="00E00CC1"/>
    <w:rsid w:val="00E02F06"/>
    <w:rsid w:val="00E0358D"/>
    <w:rsid w:val="00E04323"/>
    <w:rsid w:val="00E044C8"/>
    <w:rsid w:val="00E070A2"/>
    <w:rsid w:val="00E07BDB"/>
    <w:rsid w:val="00E10BD9"/>
    <w:rsid w:val="00E2021A"/>
    <w:rsid w:val="00E204E6"/>
    <w:rsid w:val="00E20D19"/>
    <w:rsid w:val="00E2653A"/>
    <w:rsid w:val="00E2656A"/>
    <w:rsid w:val="00E27896"/>
    <w:rsid w:val="00E30E60"/>
    <w:rsid w:val="00E32602"/>
    <w:rsid w:val="00E337EC"/>
    <w:rsid w:val="00E34BDE"/>
    <w:rsid w:val="00E35008"/>
    <w:rsid w:val="00E3737B"/>
    <w:rsid w:val="00E402B0"/>
    <w:rsid w:val="00E412D0"/>
    <w:rsid w:val="00E4273F"/>
    <w:rsid w:val="00E46027"/>
    <w:rsid w:val="00E465A1"/>
    <w:rsid w:val="00E5223F"/>
    <w:rsid w:val="00E53335"/>
    <w:rsid w:val="00E55708"/>
    <w:rsid w:val="00E56322"/>
    <w:rsid w:val="00E56D35"/>
    <w:rsid w:val="00E571DE"/>
    <w:rsid w:val="00E573F8"/>
    <w:rsid w:val="00E60982"/>
    <w:rsid w:val="00E62C62"/>
    <w:rsid w:val="00E654C1"/>
    <w:rsid w:val="00E6579C"/>
    <w:rsid w:val="00E65D97"/>
    <w:rsid w:val="00E65ECB"/>
    <w:rsid w:val="00E66DFD"/>
    <w:rsid w:val="00E67D6C"/>
    <w:rsid w:val="00E67E6C"/>
    <w:rsid w:val="00E71A84"/>
    <w:rsid w:val="00E72A5A"/>
    <w:rsid w:val="00E73354"/>
    <w:rsid w:val="00E7395D"/>
    <w:rsid w:val="00E76300"/>
    <w:rsid w:val="00E7776D"/>
    <w:rsid w:val="00E85A5D"/>
    <w:rsid w:val="00E91652"/>
    <w:rsid w:val="00E9242D"/>
    <w:rsid w:val="00EA03F8"/>
    <w:rsid w:val="00EA481E"/>
    <w:rsid w:val="00EA49A3"/>
    <w:rsid w:val="00EA5E8B"/>
    <w:rsid w:val="00EA62C2"/>
    <w:rsid w:val="00EB3222"/>
    <w:rsid w:val="00EB3BCD"/>
    <w:rsid w:val="00EB3CD9"/>
    <w:rsid w:val="00EB5255"/>
    <w:rsid w:val="00EB5C47"/>
    <w:rsid w:val="00EB7DB2"/>
    <w:rsid w:val="00EC47A4"/>
    <w:rsid w:val="00EC607F"/>
    <w:rsid w:val="00EC7BFF"/>
    <w:rsid w:val="00ED0639"/>
    <w:rsid w:val="00ED2EB1"/>
    <w:rsid w:val="00ED3103"/>
    <w:rsid w:val="00ED32D5"/>
    <w:rsid w:val="00ED6B75"/>
    <w:rsid w:val="00ED7BC0"/>
    <w:rsid w:val="00EE1AAE"/>
    <w:rsid w:val="00EE23A3"/>
    <w:rsid w:val="00EE2C3F"/>
    <w:rsid w:val="00EE7E63"/>
    <w:rsid w:val="00EF044F"/>
    <w:rsid w:val="00EF1D82"/>
    <w:rsid w:val="00EF20D6"/>
    <w:rsid w:val="00EF293A"/>
    <w:rsid w:val="00EF45E0"/>
    <w:rsid w:val="00EF4755"/>
    <w:rsid w:val="00EF5B83"/>
    <w:rsid w:val="00EF5B96"/>
    <w:rsid w:val="00EF7135"/>
    <w:rsid w:val="00EF7563"/>
    <w:rsid w:val="00EF7A1C"/>
    <w:rsid w:val="00F0232C"/>
    <w:rsid w:val="00F023FC"/>
    <w:rsid w:val="00F027DB"/>
    <w:rsid w:val="00F05610"/>
    <w:rsid w:val="00F06FA4"/>
    <w:rsid w:val="00F1359A"/>
    <w:rsid w:val="00F14A7A"/>
    <w:rsid w:val="00F22985"/>
    <w:rsid w:val="00F22A67"/>
    <w:rsid w:val="00F22D85"/>
    <w:rsid w:val="00F25A4C"/>
    <w:rsid w:val="00F26536"/>
    <w:rsid w:val="00F32B0E"/>
    <w:rsid w:val="00F3383E"/>
    <w:rsid w:val="00F43639"/>
    <w:rsid w:val="00F43CB1"/>
    <w:rsid w:val="00F43F24"/>
    <w:rsid w:val="00F465A7"/>
    <w:rsid w:val="00F50B7C"/>
    <w:rsid w:val="00F5209D"/>
    <w:rsid w:val="00F52926"/>
    <w:rsid w:val="00F530DE"/>
    <w:rsid w:val="00F550E6"/>
    <w:rsid w:val="00F60463"/>
    <w:rsid w:val="00F60B9E"/>
    <w:rsid w:val="00F61404"/>
    <w:rsid w:val="00F61CFF"/>
    <w:rsid w:val="00F63374"/>
    <w:rsid w:val="00F63D43"/>
    <w:rsid w:val="00F6692F"/>
    <w:rsid w:val="00F73926"/>
    <w:rsid w:val="00F74345"/>
    <w:rsid w:val="00F755F9"/>
    <w:rsid w:val="00F80A0A"/>
    <w:rsid w:val="00F82B19"/>
    <w:rsid w:val="00F835B0"/>
    <w:rsid w:val="00F85201"/>
    <w:rsid w:val="00F87D76"/>
    <w:rsid w:val="00F903F4"/>
    <w:rsid w:val="00F90F85"/>
    <w:rsid w:val="00F9212D"/>
    <w:rsid w:val="00F9376B"/>
    <w:rsid w:val="00F965DA"/>
    <w:rsid w:val="00FA09C0"/>
    <w:rsid w:val="00FA31FA"/>
    <w:rsid w:val="00FA3BC7"/>
    <w:rsid w:val="00FA406A"/>
    <w:rsid w:val="00FB0B9C"/>
    <w:rsid w:val="00FB2702"/>
    <w:rsid w:val="00FB503A"/>
    <w:rsid w:val="00FB516C"/>
    <w:rsid w:val="00FB7BD7"/>
    <w:rsid w:val="00FC1F58"/>
    <w:rsid w:val="00FC5C07"/>
    <w:rsid w:val="00FC5D22"/>
    <w:rsid w:val="00FD0236"/>
    <w:rsid w:val="00FD18F4"/>
    <w:rsid w:val="00FD19D6"/>
    <w:rsid w:val="00FD54DB"/>
    <w:rsid w:val="00FD5768"/>
    <w:rsid w:val="00FD619F"/>
    <w:rsid w:val="00FD6833"/>
    <w:rsid w:val="00FE2884"/>
    <w:rsid w:val="00FE3FC6"/>
    <w:rsid w:val="01290F7E"/>
    <w:rsid w:val="015D1E09"/>
    <w:rsid w:val="02697903"/>
    <w:rsid w:val="02E14D4F"/>
    <w:rsid w:val="02F96569"/>
    <w:rsid w:val="03EA7B21"/>
    <w:rsid w:val="05F83EAE"/>
    <w:rsid w:val="063E7D85"/>
    <w:rsid w:val="07293586"/>
    <w:rsid w:val="07295285"/>
    <w:rsid w:val="07636392"/>
    <w:rsid w:val="07770C56"/>
    <w:rsid w:val="090C457A"/>
    <w:rsid w:val="092217DD"/>
    <w:rsid w:val="093A7294"/>
    <w:rsid w:val="0A263993"/>
    <w:rsid w:val="0A2D3AC2"/>
    <w:rsid w:val="0AA755DF"/>
    <w:rsid w:val="0B120D44"/>
    <w:rsid w:val="0B6347B2"/>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50D0362"/>
    <w:rsid w:val="16087E1D"/>
    <w:rsid w:val="164D67E2"/>
    <w:rsid w:val="16BE60E1"/>
    <w:rsid w:val="17701D14"/>
    <w:rsid w:val="17735226"/>
    <w:rsid w:val="189F624C"/>
    <w:rsid w:val="1A1C66C0"/>
    <w:rsid w:val="1A42393B"/>
    <w:rsid w:val="1AAD45DE"/>
    <w:rsid w:val="1B046F80"/>
    <w:rsid w:val="1B1A37B1"/>
    <w:rsid w:val="1B3267B5"/>
    <w:rsid w:val="1B40161D"/>
    <w:rsid w:val="1B441859"/>
    <w:rsid w:val="1B6606B1"/>
    <w:rsid w:val="1C5E7925"/>
    <w:rsid w:val="1CFD070F"/>
    <w:rsid w:val="1D5F6196"/>
    <w:rsid w:val="1D6132A5"/>
    <w:rsid w:val="1D8E56D5"/>
    <w:rsid w:val="1E7A43DA"/>
    <w:rsid w:val="1FE7539E"/>
    <w:rsid w:val="20016901"/>
    <w:rsid w:val="20671BE0"/>
    <w:rsid w:val="20963CB8"/>
    <w:rsid w:val="20A81A1B"/>
    <w:rsid w:val="20B07FB6"/>
    <w:rsid w:val="20B646FB"/>
    <w:rsid w:val="21177CE7"/>
    <w:rsid w:val="213B74B1"/>
    <w:rsid w:val="215A2310"/>
    <w:rsid w:val="21CD1830"/>
    <w:rsid w:val="21DE318A"/>
    <w:rsid w:val="21EF5B80"/>
    <w:rsid w:val="22576990"/>
    <w:rsid w:val="22D221A8"/>
    <w:rsid w:val="22F47480"/>
    <w:rsid w:val="23DE1C48"/>
    <w:rsid w:val="240210CD"/>
    <w:rsid w:val="24A048C3"/>
    <w:rsid w:val="24BF09F7"/>
    <w:rsid w:val="252D53FE"/>
    <w:rsid w:val="25EC2D81"/>
    <w:rsid w:val="27247FCB"/>
    <w:rsid w:val="277057A2"/>
    <w:rsid w:val="29206EB8"/>
    <w:rsid w:val="29595666"/>
    <w:rsid w:val="29874881"/>
    <w:rsid w:val="29E325E0"/>
    <w:rsid w:val="2A452503"/>
    <w:rsid w:val="2BA936A8"/>
    <w:rsid w:val="2C315A5A"/>
    <w:rsid w:val="2C4B1C25"/>
    <w:rsid w:val="2D9E56F5"/>
    <w:rsid w:val="2E3733B9"/>
    <w:rsid w:val="2E667F96"/>
    <w:rsid w:val="2E8226AB"/>
    <w:rsid w:val="2FD065E6"/>
    <w:rsid w:val="2FD96870"/>
    <w:rsid w:val="30580BC9"/>
    <w:rsid w:val="311E2ED7"/>
    <w:rsid w:val="315619EE"/>
    <w:rsid w:val="315C449C"/>
    <w:rsid w:val="31B82709"/>
    <w:rsid w:val="31D05482"/>
    <w:rsid w:val="32400B34"/>
    <w:rsid w:val="329E6876"/>
    <w:rsid w:val="32A02DDF"/>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9766A08"/>
    <w:rsid w:val="39FF6685"/>
    <w:rsid w:val="3A5A00E7"/>
    <w:rsid w:val="3A872856"/>
    <w:rsid w:val="3B3763D1"/>
    <w:rsid w:val="3C2F6E1E"/>
    <w:rsid w:val="3C4F64BA"/>
    <w:rsid w:val="3CDA245A"/>
    <w:rsid w:val="3D1E06B7"/>
    <w:rsid w:val="3D605E5D"/>
    <w:rsid w:val="3EDA0523"/>
    <w:rsid w:val="407A6407"/>
    <w:rsid w:val="40B176F2"/>
    <w:rsid w:val="4200449D"/>
    <w:rsid w:val="423A3BCC"/>
    <w:rsid w:val="424E57D2"/>
    <w:rsid w:val="42B26C49"/>
    <w:rsid w:val="433A6FE6"/>
    <w:rsid w:val="43480868"/>
    <w:rsid w:val="4350713C"/>
    <w:rsid w:val="436653E0"/>
    <w:rsid w:val="43C4431A"/>
    <w:rsid w:val="44B951CC"/>
    <w:rsid w:val="44CD14E0"/>
    <w:rsid w:val="44F20B0B"/>
    <w:rsid w:val="452E5F4C"/>
    <w:rsid w:val="45554CDA"/>
    <w:rsid w:val="45612018"/>
    <w:rsid w:val="457F2402"/>
    <w:rsid w:val="458946E9"/>
    <w:rsid w:val="45A47C0E"/>
    <w:rsid w:val="46577FD6"/>
    <w:rsid w:val="469F4A19"/>
    <w:rsid w:val="46D955A7"/>
    <w:rsid w:val="47133957"/>
    <w:rsid w:val="47A07E0C"/>
    <w:rsid w:val="4870272E"/>
    <w:rsid w:val="49DC7715"/>
    <w:rsid w:val="4A023139"/>
    <w:rsid w:val="4A7B576F"/>
    <w:rsid w:val="4AF561A9"/>
    <w:rsid w:val="4C4A0649"/>
    <w:rsid w:val="4C7E5ECA"/>
    <w:rsid w:val="4C876AA5"/>
    <w:rsid w:val="4D0E00FB"/>
    <w:rsid w:val="4D176606"/>
    <w:rsid w:val="4DD451D1"/>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020CD"/>
    <w:rsid w:val="56B22A9C"/>
    <w:rsid w:val="57B72A76"/>
    <w:rsid w:val="57C3426C"/>
    <w:rsid w:val="57CE1F93"/>
    <w:rsid w:val="588743D1"/>
    <w:rsid w:val="5887701A"/>
    <w:rsid w:val="59C0439F"/>
    <w:rsid w:val="5ABE2233"/>
    <w:rsid w:val="5BD46C6B"/>
    <w:rsid w:val="5BDF5D95"/>
    <w:rsid w:val="5BFE7528"/>
    <w:rsid w:val="5E2467F1"/>
    <w:rsid w:val="5EF53250"/>
    <w:rsid w:val="5F1A2B43"/>
    <w:rsid w:val="5FB837BB"/>
    <w:rsid w:val="60CC405A"/>
    <w:rsid w:val="61E215D8"/>
    <w:rsid w:val="621B3775"/>
    <w:rsid w:val="62364782"/>
    <w:rsid w:val="6394356A"/>
    <w:rsid w:val="63C61B2C"/>
    <w:rsid w:val="63D40BE9"/>
    <w:rsid w:val="64102431"/>
    <w:rsid w:val="64A5243A"/>
    <w:rsid w:val="64F278A4"/>
    <w:rsid w:val="64F531DE"/>
    <w:rsid w:val="65373578"/>
    <w:rsid w:val="65ED5C67"/>
    <w:rsid w:val="671F124A"/>
    <w:rsid w:val="677A33C6"/>
    <w:rsid w:val="681F6961"/>
    <w:rsid w:val="68610A2F"/>
    <w:rsid w:val="68805514"/>
    <w:rsid w:val="69316E2F"/>
    <w:rsid w:val="694E2071"/>
    <w:rsid w:val="69766163"/>
    <w:rsid w:val="697A3B33"/>
    <w:rsid w:val="69D44760"/>
    <w:rsid w:val="6A520EC7"/>
    <w:rsid w:val="6A623396"/>
    <w:rsid w:val="6AF87E20"/>
    <w:rsid w:val="6B322639"/>
    <w:rsid w:val="6C636C38"/>
    <w:rsid w:val="6DB34098"/>
    <w:rsid w:val="6DB545B6"/>
    <w:rsid w:val="6DE02FB4"/>
    <w:rsid w:val="6E514CED"/>
    <w:rsid w:val="6E582B4C"/>
    <w:rsid w:val="6EB563D5"/>
    <w:rsid w:val="6ED92677"/>
    <w:rsid w:val="6F225983"/>
    <w:rsid w:val="6FB73ED8"/>
    <w:rsid w:val="6FFC5590"/>
    <w:rsid w:val="706D1DD0"/>
    <w:rsid w:val="70856B87"/>
    <w:rsid w:val="70D527EE"/>
    <w:rsid w:val="715B5300"/>
    <w:rsid w:val="71D27F8A"/>
    <w:rsid w:val="72553024"/>
    <w:rsid w:val="73122968"/>
    <w:rsid w:val="73145B8F"/>
    <w:rsid w:val="731F5D5E"/>
    <w:rsid w:val="73BC23E0"/>
    <w:rsid w:val="73C51AD5"/>
    <w:rsid w:val="741E793C"/>
    <w:rsid w:val="745E3944"/>
    <w:rsid w:val="7635099D"/>
    <w:rsid w:val="77762421"/>
    <w:rsid w:val="77B30F39"/>
    <w:rsid w:val="77B56B1F"/>
    <w:rsid w:val="780F09F4"/>
    <w:rsid w:val="78A90480"/>
    <w:rsid w:val="7A364017"/>
    <w:rsid w:val="7A8265E1"/>
    <w:rsid w:val="7B686D42"/>
    <w:rsid w:val="7B841746"/>
    <w:rsid w:val="7C6C5AC7"/>
    <w:rsid w:val="7C892035"/>
    <w:rsid w:val="7CC6544B"/>
    <w:rsid w:val="7D0239FF"/>
    <w:rsid w:val="7D5E40CD"/>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9"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39" w:semiHidden="0" w:name="toc 2" w:locked="1"/>
    <w:lsdException w:unhideWhenUsed="0" w:uiPriority="39" w:semiHidden="0" w:name="toc 3" w:locked="1"/>
    <w:lsdException w:unhideWhenUsed="0" w:uiPriority="39" w:semiHidden="0" w:name="toc 4" w:locked="1"/>
    <w:lsdException w:unhideWhenUsed="0" w:uiPriority="39" w:semiHidden="0" w:name="toc 5" w:locked="1"/>
    <w:lsdException w:unhideWhenUsed="0" w:uiPriority="39" w:semiHidden="0" w:name="toc 6" w:locked="1"/>
    <w:lsdException w:unhideWhenUsed="0" w:uiPriority="39" w:semiHidden="0" w:name="toc 7" w:locked="1"/>
    <w:lsdException w:unhideWhenUsed="0" w:uiPriority="39" w:semiHidden="0" w:name="toc 8" w:locked="1"/>
    <w:lsdException w:unhideWhenUsed="0" w:uiPriority="39" w:semiHidden="0" w:name="toc 9" w:locked="1"/>
    <w:lsdException w:qFormat="1" w:unhideWhenUsed="0" w:uiPriority="99"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99"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iPriority="99" w:semiHidden="0" w:name="Hyperlink" w:locked="1"/>
    <w:lsdException w:unhideWhenUsed="0" w:uiPriority="99" w:semiHidden="0" w:name="FollowedHyperlink" w:locked="1"/>
    <w:lsdException w:qFormat="1" w:unhideWhenUsed="0" w:uiPriority="22"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nhideWhenUsed="0" w:uiPriority="0" w:name="Normal Table"/>
    <w:lsdException w:unhideWhenUsed="0"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semiHidden="0" w:name="Balloon Text"/>
    <w:lsdException w:qFormat="1" w:unhideWhenUsed="0" w:uiPriority="39" w:semiHidden="0" w:name="Table Grid"/>
    <w:lsdException w:unhideWhenUsed="0" w:uiPriority="0" w:semiHidden="0" w:name="Table Theme" w:locked="1"/>
    <w:lsdException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6"/>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87"/>
    <w:qFormat/>
    <w:locked/>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88"/>
    <w:qFormat/>
    <w:locked/>
    <w:uiPriority w:val="9"/>
    <w:pPr>
      <w:keepNext/>
      <w:keepLines/>
      <w:spacing w:before="260" w:after="260" w:line="416" w:lineRule="auto"/>
      <w:outlineLvl w:val="2"/>
    </w:pPr>
    <w:rPr>
      <w:b/>
      <w:bCs/>
      <w:sz w:val="32"/>
      <w:szCs w:val="32"/>
    </w:rPr>
  </w:style>
  <w:style w:type="paragraph" w:styleId="6">
    <w:name w:val="heading 4"/>
    <w:basedOn w:val="1"/>
    <w:next w:val="1"/>
    <w:link w:val="89"/>
    <w:qFormat/>
    <w:locked/>
    <w:uiPriority w:val="9"/>
    <w:pPr>
      <w:keepNext/>
      <w:keepLines/>
      <w:tabs>
        <w:tab w:val="left" w:pos="960"/>
        <w:tab w:val="left" w:pos="1124"/>
        <w:tab w:val="left" w:pos="2269"/>
      </w:tabs>
      <w:adjustRightInd w:val="0"/>
      <w:spacing w:before="60" w:after="60" w:line="360" w:lineRule="auto"/>
      <w:ind w:left="567" w:hanging="567"/>
      <w:jc w:val="left"/>
      <w:textAlignment w:val="baseline"/>
      <w:outlineLvl w:val="3"/>
    </w:pPr>
    <w:rPr>
      <w:rFonts w:eastAsia="黑体"/>
      <w:bCs/>
      <w:color w:val="0000FF"/>
      <w:kern w:val="0"/>
      <w:sz w:val="28"/>
      <w:szCs w:val="28"/>
    </w:rPr>
  </w:style>
  <w:style w:type="paragraph" w:styleId="7">
    <w:name w:val="heading 5"/>
    <w:basedOn w:val="1"/>
    <w:next w:val="8"/>
    <w:link w:val="90"/>
    <w:qFormat/>
    <w:locked/>
    <w:uiPriority w:val="0"/>
    <w:pPr>
      <w:keepNext/>
      <w:keepLines/>
      <w:numPr>
        <w:ilvl w:val="4"/>
        <w:numId w:val="1"/>
      </w:numPr>
      <w:tabs>
        <w:tab w:val="left" w:pos="992"/>
        <w:tab w:val="clear" w:pos="1800"/>
      </w:tabs>
      <w:adjustRightInd w:val="0"/>
      <w:spacing w:before="60" w:after="60"/>
      <w:jc w:val="left"/>
      <w:textAlignment w:val="baseline"/>
      <w:outlineLvl w:val="4"/>
    </w:pPr>
    <w:rPr>
      <w:b/>
      <w:kern w:val="0"/>
      <w:sz w:val="28"/>
      <w:szCs w:val="20"/>
    </w:rPr>
  </w:style>
  <w:style w:type="paragraph" w:styleId="9">
    <w:name w:val="heading 6"/>
    <w:basedOn w:val="1"/>
    <w:next w:val="8"/>
    <w:link w:val="92"/>
    <w:qFormat/>
    <w:locked/>
    <w:uiPriority w:val="0"/>
    <w:pPr>
      <w:keepNext/>
      <w:keepLines/>
      <w:numPr>
        <w:ilvl w:val="5"/>
        <w:numId w:val="2"/>
      </w:numPr>
      <w:tabs>
        <w:tab w:val="left" w:pos="1134"/>
      </w:tabs>
      <w:adjustRightInd w:val="0"/>
      <w:spacing w:before="60" w:after="60"/>
      <w:ind w:left="1134" w:hanging="1134"/>
      <w:jc w:val="left"/>
      <w:textAlignment w:val="baseline"/>
      <w:outlineLvl w:val="5"/>
    </w:pPr>
    <w:rPr>
      <w:rFonts w:ascii="Arial" w:hAnsi="Arial" w:eastAsia="黑体"/>
      <w:b/>
      <w:kern w:val="0"/>
      <w:sz w:val="20"/>
      <w:szCs w:val="20"/>
    </w:rPr>
  </w:style>
  <w:style w:type="paragraph" w:styleId="10">
    <w:name w:val="heading 7"/>
    <w:basedOn w:val="1"/>
    <w:next w:val="8"/>
    <w:link w:val="93"/>
    <w:qFormat/>
    <w:locked/>
    <w:uiPriority w:val="0"/>
    <w:pPr>
      <w:keepNext/>
      <w:keepLines/>
      <w:numPr>
        <w:ilvl w:val="6"/>
        <w:numId w:val="2"/>
      </w:numPr>
      <w:tabs>
        <w:tab w:val="left" w:pos="1276"/>
      </w:tabs>
      <w:adjustRightInd w:val="0"/>
      <w:spacing w:before="60" w:after="60"/>
      <w:ind w:left="1276" w:hanging="1276"/>
      <w:jc w:val="left"/>
      <w:textAlignment w:val="baseline"/>
      <w:outlineLvl w:val="6"/>
    </w:pPr>
    <w:rPr>
      <w:rFonts w:ascii="宋体"/>
      <w:b/>
      <w:kern w:val="0"/>
      <w:sz w:val="20"/>
      <w:szCs w:val="20"/>
    </w:rPr>
  </w:style>
  <w:style w:type="paragraph" w:styleId="11">
    <w:name w:val="heading 8"/>
    <w:basedOn w:val="1"/>
    <w:next w:val="8"/>
    <w:link w:val="94"/>
    <w:qFormat/>
    <w:locked/>
    <w:uiPriority w:val="0"/>
    <w:pPr>
      <w:keepNext/>
      <w:keepLines/>
      <w:numPr>
        <w:ilvl w:val="7"/>
        <w:numId w:val="2"/>
      </w:numPr>
      <w:tabs>
        <w:tab w:val="left" w:pos="1418"/>
      </w:tabs>
      <w:adjustRightInd w:val="0"/>
      <w:spacing w:before="60" w:after="60"/>
      <w:ind w:left="1418" w:hanging="1418"/>
      <w:jc w:val="left"/>
      <w:textAlignment w:val="baseline"/>
      <w:outlineLvl w:val="7"/>
    </w:pPr>
    <w:rPr>
      <w:rFonts w:ascii="Arial" w:hAnsi="Arial" w:eastAsia="黑体"/>
      <w:kern w:val="0"/>
      <w:sz w:val="20"/>
      <w:szCs w:val="20"/>
    </w:rPr>
  </w:style>
  <w:style w:type="paragraph" w:styleId="12">
    <w:name w:val="heading 9"/>
    <w:basedOn w:val="1"/>
    <w:next w:val="8"/>
    <w:link w:val="95"/>
    <w:qFormat/>
    <w:locked/>
    <w:uiPriority w:val="0"/>
    <w:pPr>
      <w:keepNext/>
      <w:keepLines/>
      <w:numPr>
        <w:ilvl w:val="8"/>
        <w:numId w:val="2"/>
      </w:numPr>
      <w:tabs>
        <w:tab w:val="left" w:pos="1559"/>
      </w:tabs>
      <w:adjustRightInd w:val="0"/>
      <w:spacing w:before="60" w:after="60"/>
      <w:ind w:left="1559" w:hanging="1559"/>
      <w:jc w:val="left"/>
      <w:textAlignment w:val="baseline"/>
      <w:outlineLvl w:val="8"/>
    </w:pPr>
    <w:rPr>
      <w:rFonts w:ascii="Arial" w:hAnsi="Arial" w:eastAsia="黑体"/>
      <w:kern w:val="0"/>
      <w:sz w:val="20"/>
      <w:szCs w:val="20"/>
    </w:rPr>
  </w:style>
  <w:style w:type="character" w:default="1" w:styleId="75">
    <w:name w:val="Default Paragraph Font"/>
    <w:semiHidden/>
    <w:uiPriority w:val="0"/>
  </w:style>
  <w:style w:type="table" w:default="1" w:styleId="70">
    <w:name w:val="Normal Table"/>
    <w:semiHidden/>
    <w:uiPriority w:val="0"/>
    <w:tblPr>
      <w:tblCellMar>
        <w:top w:w="0" w:type="dxa"/>
        <w:left w:w="108" w:type="dxa"/>
        <w:bottom w:w="0" w:type="dxa"/>
        <w:right w:w="108" w:type="dxa"/>
      </w:tblCellMar>
    </w:tblPr>
  </w:style>
  <w:style w:type="paragraph" w:styleId="2">
    <w:name w:val="header"/>
    <w:basedOn w:val="1"/>
    <w:next w:val="1"/>
    <w:link w:val="8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8">
    <w:name w:val="报告"/>
    <w:basedOn w:val="1"/>
    <w:link w:val="91"/>
    <w:qFormat/>
    <w:uiPriority w:val="0"/>
    <w:pPr>
      <w:adjustRightInd w:val="0"/>
      <w:spacing w:line="360" w:lineRule="auto"/>
      <w:ind w:firstLine="505"/>
      <w:jc w:val="left"/>
      <w:textAlignment w:val="baseline"/>
    </w:pPr>
    <w:rPr>
      <w:kern w:val="0"/>
      <w:sz w:val="24"/>
      <w:szCs w:val="20"/>
    </w:rPr>
  </w:style>
  <w:style w:type="paragraph" w:styleId="13">
    <w:name w:val="List 3"/>
    <w:basedOn w:val="1"/>
    <w:qFormat/>
    <w:locked/>
    <w:uiPriority w:val="0"/>
    <w:pPr>
      <w:ind w:left="100" w:leftChars="400" w:hanging="200" w:hangingChars="200"/>
    </w:pPr>
    <w:rPr>
      <w:rFonts w:eastAsia="仿宋_GB2312"/>
      <w:color w:val="000000"/>
      <w:kern w:val="0"/>
      <w:sz w:val="28"/>
      <w:szCs w:val="32"/>
    </w:rPr>
  </w:style>
  <w:style w:type="paragraph" w:styleId="14">
    <w:name w:val="toc 7"/>
    <w:basedOn w:val="1"/>
    <w:next w:val="1"/>
    <w:locked/>
    <w:uiPriority w:val="39"/>
    <w:pPr>
      <w:ind w:left="1260"/>
      <w:jc w:val="left"/>
    </w:pPr>
    <w:rPr>
      <w:kern w:val="0"/>
      <w:sz w:val="20"/>
      <w:szCs w:val="20"/>
    </w:rPr>
  </w:style>
  <w:style w:type="paragraph" w:styleId="15">
    <w:name w:val="table of authorities"/>
    <w:basedOn w:val="1"/>
    <w:next w:val="1"/>
    <w:locked/>
    <w:uiPriority w:val="0"/>
    <w:pPr>
      <w:ind w:left="420" w:leftChars="200"/>
    </w:pPr>
    <w:rPr>
      <w:kern w:val="0"/>
      <w:sz w:val="20"/>
      <w:szCs w:val="20"/>
    </w:rPr>
  </w:style>
  <w:style w:type="paragraph" w:styleId="16">
    <w:name w:val="Note Heading"/>
    <w:basedOn w:val="1"/>
    <w:next w:val="1"/>
    <w:link w:val="96"/>
    <w:qFormat/>
    <w:locked/>
    <w:uiPriority w:val="0"/>
    <w:pPr>
      <w:jc w:val="center"/>
    </w:pPr>
    <w:rPr>
      <w:szCs w:val="22"/>
    </w:rPr>
  </w:style>
  <w:style w:type="paragraph" w:styleId="17">
    <w:name w:val="index 8"/>
    <w:basedOn w:val="1"/>
    <w:next w:val="1"/>
    <w:locked/>
    <w:uiPriority w:val="0"/>
    <w:pPr>
      <w:ind w:left="1680" w:hanging="210"/>
      <w:jc w:val="left"/>
    </w:pPr>
    <w:rPr>
      <w:kern w:val="0"/>
      <w:sz w:val="18"/>
      <w:szCs w:val="18"/>
    </w:rPr>
  </w:style>
  <w:style w:type="paragraph" w:styleId="18">
    <w:name w:val="Normal Indent"/>
    <w:basedOn w:val="1"/>
    <w:next w:val="1"/>
    <w:link w:val="97"/>
    <w:qFormat/>
    <w:locked/>
    <w:uiPriority w:val="99"/>
    <w:pPr>
      <w:spacing w:line="420" w:lineRule="exact"/>
      <w:ind w:firstLine="560" w:firstLineChars="200"/>
    </w:pPr>
    <w:rPr>
      <w:rFonts w:ascii="仿宋_GB2312" w:eastAsia="仿宋_GB2312"/>
      <w:color w:val="000000"/>
      <w:kern w:val="0"/>
      <w:sz w:val="30"/>
    </w:rPr>
  </w:style>
  <w:style w:type="paragraph" w:styleId="19">
    <w:name w:val="caption"/>
    <w:basedOn w:val="1"/>
    <w:next w:val="1"/>
    <w:link w:val="98"/>
    <w:qFormat/>
    <w:locked/>
    <w:uiPriority w:val="0"/>
    <w:rPr>
      <w:rFonts w:ascii="Arial" w:hAnsi="Arial" w:eastAsia="黑体" w:cs="Arial"/>
      <w:sz w:val="20"/>
      <w:szCs w:val="20"/>
    </w:rPr>
  </w:style>
  <w:style w:type="paragraph" w:styleId="20">
    <w:name w:val="index 5"/>
    <w:basedOn w:val="1"/>
    <w:next w:val="1"/>
    <w:locked/>
    <w:uiPriority w:val="0"/>
    <w:pPr>
      <w:ind w:left="1050" w:hanging="210"/>
      <w:jc w:val="left"/>
    </w:pPr>
    <w:rPr>
      <w:kern w:val="0"/>
      <w:sz w:val="18"/>
      <w:szCs w:val="18"/>
    </w:rPr>
  </w:style>
  <w:style w:type="paragraph" w:styleId="21">
    <w:name w:val="List Bullet"/>
    <w:basedOn w:val="1"/>
    <w:next w:val="22"/>
    <w:locked/>
    <w:uiPriority w:val="0"/>
    <w:pPr>
      <w:adjustRightInd w:val="0"/>
      <w:jc w:val="center"/>
      <w:textAlignment w:val="baseline"/>
    </w:pPr>
    <w:rPr>
      <w:bCs/>
      <w:iCs/>
      <w:kern w:val="0"/>
      <w:sz w:val="28"/>
      <w:szCs w:val="21"/>
      <w:u w:val="single"/>
    </w:rPr>
  </w:style>
  <w:style w:type="paragraph" w:styleId="22">
    <w:name w:val="List Bullet 2"/>
    <w:basedOn w:val="1"/>
    <w:next w:val="23"/>
    <w:locked/>
    <w:uiPriority w:val="0"/>
    <w:pPr>
      <w:adjustRightInd w:val="0"/>
      <w:spacing w:line="200" w:lineRule="atLeast"/>
      <w:jc w:val="center"/>
      <w:textAlignment w:val="baseline"/>
    </w:pPr>
    <w:rPr>
      <w:bCs/>
      <w:iCs/>
      <w:kern w:val="0"/>
      <w:sz w:val="28"/>
      <w:szCs w:val="21"/>
    </w:rPr>
  </w:style>
  <w:style w:type="paragraph" w:styleId="23">
    <w:name w:val="Body Text First Indent"/>
    <w:basedOn w:val="24"/>
    <w:link w:val="100"/>
    <w:locked/>
    <w:uiPriority w:val="0"/>
    <w:pPr>
      <w:widowControl w:val="0"/>
      <w:snapToGrid/>
      <w:spacing w:before="0" w:after="120" w:line="240" w:lineRule="auto"/>
      <w:ind w:right="0" w:firstLine="420" w:firstLineChars="100"/>
    </w:pPr>
    <w:rPr>
      <w:spacing w:val="-6"/>
      <w:sz w:val="30"/>
    </w:rPr>
  </w:style>
  <w:style w:type="paragraph" w:styleId="24">
    <w:name w:val="Body Text"/>
    <w:basedOn w:val="1"/>
    <w:next w:val="25"/>
    <w:link w:val="99"/>
    <w:qFormat/>
    <w:uiPriority w:val="0"/>
    <w:pPr>
      <w:widowControl/>
      <w:snapToGrid w:val="0"/>
      <w:spacing w:before="60" w:after="160" w:line="259" w:lineRule="auto"/>
      <w:ind w:right="113"/>
    </w:pPr>
    <w:rPr>
      <w:kern w:val="0"/>
      <w:sz w:val="18"/>
      <w:szCs w:val="20"/>
    </w:rPr>
  </w:style>
  <w:style w:type="paragraph" w:customStyle="1" w:styleId="25">
    <w:name w:val="xl27"/>
    <w:basedOn w:val="1"/>
    <w:uiPriority w:val="0"/>
    <w:pPr>
      <w:widowControl/>
      <w:pBdr>
        <w:bottom w:val="single" w:color="auto" w:sz="12" w:space="0"/>
      </w:pBdr>
      <w:adjustRightInd w:val="0"/>
      <w:snapToGrid w:val="0"/>
      <w:spacing w:before="100" w:after="100" w:line="460" w:lineRule="exact"/>
      <w:jc w:val="center"/>
    </w:pPr>
    <w:rPr>
      <w:rFonts w:ascii="宋体" w:hAnsi="宋体" w:eastAsia="仿宋_GB2312"/>
      <w:kern w:val="0"/>
      <w:sz w:val="20"/>
      <w:szCs w:val="20"/>
    </w:rPr>
  </w:style>
  <w:style w:type="paragraph" w:styleId="26">
    <w:name w:val="Document Map"/>
    <w:basedOn w:val="1"/>
    <w:link w:val="101"/>
    <w:locked/>
    <w:uiPriority w:val="0"/>
    <w:pPr>
      <w:shd w:val="clear" w:color="auto" w:fill="000080"/>
    </w:pPr>
    <w:rPr>
      <w:sz w:val="30"/>
      <w:szCs w:val="20"/>
    </w:rPr>
  </w:style>
  <w:style w:type="paragraph" w:styleId="27">
    <w:name w:val="toa heading"/>
    <w:basedOn w:val="1"/>
    <w:next w:val="1"/>
    <w:locked/>
    <w:uiPriority w:val="0"/>
    <w:pPr>
      <w:spacing w:before="120"/>
    </w:pPr>
    <w:rPr>
      <w:rFonts w:ascii="Arial" w:hAnsi="Arial"/>
      <w:b/>
      <w:bCs/>
      <w:kern w:val="0"/>
      <w:sz w:val="20"/>
      <w:szCs w:val="20"/>
    </w:rPr>
  </w:style>
  <w:style w:type="paragraph" w:styleId="28">
    <w:name w:val="annotation text"/>
    <w:basedOn w:val="1"/>
    <w:link w:val="102"/>
    <w:qFormat/>
    <w:uiPriority w:val="0"/>
    <w:pPr>
      <w:jc w:val="left"/>
    </w:pPr>
    <w:rPr>
      <w:kern w:val="0"/>
      <w:sz w:val="24"/>
      <w:szCs w:val="20"/>
    </w:rPr>
  </w:style>
  <w:style w:type="paragraph" w:styleId="29">
    <w:name w:val="index 6"/>
    <w:basedOn w:val="1"/>
    <w:next w:val="1"/>
    <w:locked/>
    <w:uiPriority w:val="0"/>
    <w:pPr>
      <w:topLinePunct/>
      <w:spacing w:beforeLines="50"/>
      <w:jc w:val="center"/>
    </w:pPr>
    <w:rPr>
      <w:rFonts w:ascii="宋体" w:hAnsi="宋体" w:cs="Arial"/>
      <w:b/>
      <w:kern w:val="0"/>
      <w:sz w:val="20"/>
      <w:szCs w:val="21"/>
    </w:rPr>
  </w:style>
  <w:style w:type="paragraph" w:styleId="30">
    <w:name w:val="Salutation"/>
    <w:basedOn w:val="1"/>
    <w:next w:val="1"/>
    <w:link w:val="103"/>
    <w:locked/>
    <w:uiPriority w:val="0"/>
    <w:pPr>
      <w:widowControl/>
    </w:pPr>
    <w:rPr>
      <w:kern w:val="0"/>
      <w:sz w:val="28"/>
      <w:szCs w:val="20"/>
    </w:rPr>
  </w:style>
  <w:style w:type="paragraph" w:styleId="31">
    <w:name w:val="Body Text 3"/>
    <w:basedOn w:val="1"/>
    <w:link w:val="104"/>
    <w:locked/>
    <w:uiPriority w:val="0"/>
    <w:pPr>
      <w:jc w:val="center"/>
    </w:pPr>
    <w:rPr>
      <w:rFonts w:eastAsia="仿宋_GB2312"/>
      <w:b/>
    </w:rPr>
  </w:style>
  <w:style w:type="paragraph" w:styleId="32">
    <w:name w:val="Closing"/>
    <w:basedOn w:val="1"/>
    <w:link w:val="105"/>
    <w:locked/>
    <w:uiPriority w:val="0"/>
    <w:pPr>
      <w:widowControl/>
      <w:ind w:left="100" w:leftChars="2100"/>
    </w:pPr>
    <w:rPr>
      <w:kern w:val="0"/>
      <w:sz w:val="28"/>
    </w:rPr>
  </w:style>
  <w:style w:type="paragraph" w:styleId="33">
    <w:name w:val="List Bullet 3"/>
    <w:basedOn w:val="1"/>
    <w:locked/>
    <w:uiPriority w:val="0"/>
    <w:pPr>
      <w:tabs>
        <w:tab w:val="left" w:pos="960"/>
      </w:tabs>
      <w:ind w:left="960" w:hanging="360"/>
    </w:pPr>
    <w:rPr>
      <w:rFonts w:ascii="宋体" w:hAnsi="Arial"/>
      <w:kern w:val="0"/>
      <w:sz w:val="44"/>
      <w:szCs w:val="20"/>
      <w:vertAlign w:val="subscript"/>
    </w:rPr>
  </w:style>
  <w:style w:type="paragraph" w:styleId="34">
    <w:name w:val="Body Text Indent"/>
    <w:basedOn w:val="1"/>
    <w:link w:val="106"/>
    <w:qFormat/>
    <w:uiPriority w:val="0"/>
    <w:pPr>
      <w:spacing w:after="120"/>
      <w:ind w:left="420" w:leftChars="200"/>
    </w:pPr>
    <w:rPr>
      <w:kern w:val="0"/>
      <w:sz w:val="24"/>
      <w:szCs w:val="20"/>
    </w:rPr>
  </w:style>
  <w:style w:type="paragraph" w:styleId="35">
    <w:name w:val="List 2"/>
    <w:basedOn w:val="1"/>
    <w:qFormat/>
    <w:locked/>
    <w:uiPriority w:val="0"/>
    <w:pPr>
      <w:ind w:left="100" w:leftChars="200" w:hanging="200" w:hangingChars="200"/>
    </w:pPr>
    <w:rPr>
      <w:sz w:val="30"/>
      <w:szCs w:val="20"/>
    </w:rPr>
  </w:style>
  <w:style w:type="paragraph" w:styleId="36">
    <w:name w:val="Block Text"/>
    <w:basedOn w:val="1"/>
    <w:locked/>
    <w:uiPriority w:val="0"/>
    <w:pPr>
      <w:spacing w:before="120" w:line="320" w:lineRule="exact"/>
      <w:ind w:left="178" w:leftChars="85" w:right="122" w:rightChars="58"/>
    </w:pPr>
    <w:rPr>
      <w:kern w:val="0"/>
      <w:sz w:val="20"/>
      <w:szCs w:val="21"/>
    </w:rPr>
  </w:style>
  <w:style w:type="paragraph" w:styleId="37">
    <w:name w:val="index 4"/>
    <w:basedOn w:val="1"/>
    <w:next w:val="1"/>
    <w:locked/>
    <w:uiPriority w:val="0"/>
    <w:pPr>
      <w:ind w:left="840" w:hanging="210"/>
      <w:jc w:val="left"/>
    </w:pPr>
    <w:rPr>
      <w:kern w:val="0"/>
      <w:sz w:val="18"/>
      <w:szCs w:val="18"/>
    </w:rPr>
  </w:style>
  <w:style w:type="paragraph" w:styleId="38">
    <w:name w:val="toc 5"/>
    <w:basedOn w:val="1"/>
    <w:next w:val="1"/>
    <w:locked/>
    <w:uiPriority w:val="39"/>
    <w:pPr>
      <w:ind w:left="840"/>
      <w:jc w:val="left"/>
    </w:pPr>
    <w:rPr>
      <w:kern w:val="0"/>
      <w:sz w:val="20"/>
      <w:szCs w:val="20"/>
    </w:rPr>
  </w:style>
  <w:style w:type="paragraph" w:styleId="39">
    <w:name w:val="toc 3"/>
    <w:basedOn w:val="1"/>
    <w:locked/>
    <w:uiPriority w:val="39"/>
    <w:pPr>
      <w:ind w:left="420"/>
      <w:jc w:val="left"/>
    </w:pPr>
    <w:rPr>
      <w:kern w:val="0"/>
      <w:sz w:val="20"/>
      <w:szCs w:val="20"/>
    </w:rPr>
  </w:style>
  <w:style w:type="paragraph" w:styleId="40">
    <w:name w:val="Plain Text"/>
    <w:basedOn w:val="1"/>
    <w:link w:val="107"/>
    <w:qFormat/>
    <w:locked/>
    <w:uiPriority w:val="0"/>
    <w:rPr>
      <w:rFonts w:ascii="宋体" w:hAnsi="Courier New"/>
      <w:kern w:val="0"/>
      <w:sz w:val="20"/>
      <w:szCs w:val="21"/>
    </w:rPr>
  </w:style>
  <w:style w:type="paragraph" w:styleId="41">
    <w:name w:val="toc 8"/>
    <w:basedOn w:val="1"/>
    <w:next w:val="1"/>
    <w:locked/>
    <w:uiPriority w:val="39"/>
    <w:pPr>
      <w:ind w:left="1470"/>
      <w:jc w:val="left"/>
    </w:pPr>
    <w:rPr>
      <w:kern w:val="0"/>
      <w:sz w:val="20"/>
      <w:szCs w:val="20"/>
    </w:rPr>
  </w:style>
  <w:style w:type="paragraph" w:styleId="42">
    <w:name w:val="index 3"/>
    <w:basedOn w:val="1"/>
    <w:next w:val="1"/>
    <w:locked/>
    <w:uiPriority w:val="0"/>
    <w:pPr>
      <w:ind w:left="630" w:hanging="210"/>
      <w:jc w:val="left"/>
    </w:pPr>
    <w:rPr>
      <w:kern w:val="0"/>
      <w:sz w:val="18"/>
      <w:szCs w:val="18"/>
    </w:rPr>
  </w:style>
  <w:style w:type="paragraph" w:styleId="43">
    <w:name w:val="Date"/>
    <w:basedOn w:val="1"/>
    <w:next w:val="1"/>
    <w:link w:val="108"/>
    <w:uiPriority w:val="99"/>
    <w:pPr>
      <w:ind w:left="100" w:leftChars="2500"/>
    </w:pPr>
    <w:rPr>
      <w:kern w:val="0"/>
      <w:sz w:val="24"/>
      <w:szCs w:val="20"/>
    </w:rPr>
  </w:style>
  <w:style w:type="paragraph" w:styleId="44">
    <w:name w:val="Body Text Indent 2"/>
    <w:basedOn w:val="1"/>
    <w:link w:val="109"/>
    <w:qFormat/>
    <w:locked/>
    <w:uiPriority w:val="0"/>
    <w:pPr>
      <w:ind w:firstLine="510"/>
    </w:pPr>
    <w:rPr>
      <w:spacing w:val="-6"/>
      <w:kern w:val="0"/>
      <w:sz w:val="28"/>
      <w:szCs w:val="20"/>
    </w:rPr>
  </w:style>
  <w:style w:type="paragraph" w:styleId="45">
    <w:name w:val="endnote text"/>
    <w:basedOn w:val="1"/>
    <w:link w:val="110"/>
    <w:locked/>
    <w:uiPriority w:val="0"/>
    <w:pPr>
      <w:adjustRightInd w:val="0"/>
      <w:snapToGrid w:val="0"/>
      <w:spacing w:before="60"/>
      <w:jc w:val="left"/>
      <w:textAlignment w:val="baseline"/>
    </w:pPr>
    <w:rPr>
      <w:sz w:val="24"/>
      <w:szCs w:val="20"/>
    </w:rPr>
  </w:style>
  <w:style w:type="paragraph" w:styleId="46">
    <w:name w:val="Balloon Text"/>
    <w:basedOn w:val="1"/>
    <w:link w:val="111"/>
    <w:qFormat/>
    <w:uiPriority w:val="99"/>
    <w:rPr>
      <w:kern w:val="0"/>
      <w:sz w:val="18"/>
      <w:szCs w:val="20"/>
    </w:rPr>
  </w:style>
  <w:style w:type="paragraph" w:styleId="47">
    <w:name w:val="footer"/>
    <w:basedOn w:val="1"/>
    <w:link w:val="112"/>
    <w:qFormat/>
    <w:uiPriority w:val="99"/>
    <w:pPr>
      <w:tabs>
        <w:tab w:val="center" w:pos="4153"/>
        <w:tab w:val="right" w:pos="8306"/>
      </w:tabs>
      <w:snapToGrid w:val="0"/>
      <w:jc w:val="left"/>
    </w:pPr>
    <w:rPr>
      <w:kern w:val="0"/>
      <w:sz w:val="18"/>
      <w:szCs w:val="20"/>
    </w:rPr>
  </w:style>
  <w:style w:type="paragraph" w:styleId="48">
    <w:name w:val="toc 1"/>
    <w:basedOn w:val="1"/>
    <w:next w:val="1"/>
    <w:qFormat/>
    <w:locked/>
    <w:uiPriority w:val="39"/>
    <w:pPr>
      <w:tabs>
        <w:tab w:val="right" w:leader="dot" w:pos="8493"/>
      </w:tabs>
      <w:spacing w:line="420" w:lineRule="exact"/>
    </w:pPr>
  </w:style>
  <w:style w:type="paragraph" w:styleId="49">
    <w:name w:val="toc 4"/>
    <w:basedOn w:val="1"/>
    <w:next w:val="1"/>
    <w:locked/>
    <w:uiPriority w:val="39"/>
    <w:pPr>
      <w:ind w:left="630"/>
      <w:jc w:val="left"/>
    </w:pPr>
    <w:rPr>
      <w:kern w:val="0"/>
      <w:sz w:val="20"/>
      <w:szCs w:val="20"/>
    </w:rPr>
  </w:style>
  <w:style w:type="paragraph" w:styleId="50">
    <w:name w:val="index heading"/>
    <w:basedOn w:val="1"/>
    <w:next w:val="51"/>
    <w:locked/>
    <w:uiPriority w:val="0"/>
    <w:rPr>
      <w:kern w:val="0"/>
      <w:sz w:val="20"/>
      <w:szCs w:val="20"/>
    </w:rPr>
  </w:style>
  <w:style w:type="paragraph" w:styleId="51">
    <w:name w:val="index 1"/>
    <w:basedOn w:val="1"/>
    <w:next w:val="1"/>
    <w:unhideWhenUsed/>
    <w:locked/>
    <w:uiPriority w:val="0"/>
    <w:rPr>
      <w:szCs w:val="22"/>
    </w:rPr>
  </w:style>
  <w:style w:type="paragraph" w:styleId="52">
    <w:name w:val="Subtitle"/>
    <w:basedOn w:val="1"/>
    <w:link w:val="113"/>
    <w:qFormat/>
    <w:locked/>
    <w:uiPriority w:val="0"/>
    <w:pPr>
      <w:adjustRightInd w:val="0"/>
      <w:spacing w:before="240" w:after="60" w:line="312" w:lineRule="auto"/>
      <w:jc w:val="center"/>
      <w:textAlignment w:val="baseline"/>
      <w:outlineLvl w:val="1"/>
    </w:pPr>
    <w:rPr>
      <w:rFonts w:ascii="Arial" w:hAnsi="Arial" w:cs="Arial"/>
      <w:b/>
      <w:bCs/>
      <w:kern w:val="28"/>
      <w:sz w:val="32"/>
      <w:szCs w:val="32"/>
    </w:rPr>
  </w:style>
  <w:style w:type="paragraph" w:styleId="53">
    <w:name w:val="List"/>
    <w:basedOn w:val="1"/>
    <w:link w:val="114"/>
    <w:locked/>
    <w:uiPriority w:val="0"/>
    <w:pPr>
      <w:ind w:left="200" w:hanging="200" w:hangingChars="200"/>
    </w:pPr>
    <w:rPr>
      <w:sz w:val="30"/>
      <w:szCs w:val="20"/>
    </w:rPr>
  </w:style>
  <w:style w:type="paragraph" w:styleId="54">
    <w:name w:val="footnote text"/>
    <w:basedOn w:val="1"/>
    <w:link w:val="115"/>
    <w:locked/>
    <w:uiPriority w:val="0"/>
    <w:pPr>
      <w:snapToGrid w:val="0"/>
      <w:jc w:val="left"/>
    </w:pPr>
    <w:rPr>
      <w:kern w:val="0"/>
      <w:sz w:val="18"/>
      <w:szCs w:val="18"/>
    </w:rPr>
  </w:style>
  <w:style w:type="paragraph" w:styleId="55">
    <w:name w:val="toc 6"/>
    <w:basedOn w:val="1"/>
    <w:next w:val="1"/>
    <w:locked/>
    <w:uiPriority w:val="39"/>
    <w:pPr>
      <w:ind w:left="1050"/>
      <w:jc w:val="left"/>
    </w:pPr>
    <w:rPr>
      <w:kern w:val="0"/>
      <w:sz w:val="20"/>
      <w:szCs w:val="20"/>
    </w:rPr>
  </w:style>
  <w:style w:type="paragraph" w:styleId="56">
    <w:name w:val="Body Text Indent 3"/>
    <w:basedOn w:val="1"/>
    <w:link w:val="116"/>
    <w:qFormat/>
    <w:locked/>
    <w:uiPriority w:val="0"/>
    <w:pPr>
      <w:ind w:firstLine="510"/>
    </w:pPr>
    <w:rPr>
      <w:spacing w:val="-6"/>
      <w:kern w:val="0"/>
      <w:sz w:val="24"/>
      <w:szCs w:val="20"/>
    </w:rPr>
  </w:style>
  <w:style w:type="paragraph" w:styleId="57">
    <w:name w:val="index 7"/>
    <w:basedOn w:val="1"/>
    <w:next w:val="1"/>
    <w:locked/>
    <w:uiPriority w:val="0"/>
    <w:pPr>
      <w:ind w:left="1470" w:hanging="210"/>
      <w:jc w:val="left"/>
    </w:pPr>
    <w:rPr>
      <w:kern w:val="0"/>
      <w:sz w:val="18"/>
      <w:szCs w:val="18"/>
    </w:rPr>
  </w:style>
  <w:style w:type="paragraph" w:styleId="58">
    <w:name w:val="index 9"/>
    <w:basedOn w:val="1"/>
    <w:next w:val="1"/>
    <w:locked/>
    <w:uiPriority w:val="0"/>
    <w:pPr>
      <w:ind w:left="1890" w:hanging="210"/>
      <w:jc w:val="left"/>
    </w:pPr>
    <w:rPr>
      <w:kern w:val="0"/>
      <w:sz w:val="18"/>
      <w:szCs w:val="18"/>
    </w:rPr>
  </w:style>
  <w:style w:type="paragraph" w:styleId="59">
    <w:name w:val="table of figures"/>
    <w:basedOn w:val="1"/>
    <w:next w:val="1"/>
    <w:qFormat/>
    <w:locked/>
    <w:uiPriority w:val="0"/>
    <w:pPr>
      <w:spacing w:line="360" w:lineRule="auto"/>
      <w:ind w:left="840" w:leftChars="200" w:hanging="420" w:hangingChars="200"/>
    </w:pPr>
    <w:rPr>
      <w:kern w:val="0"/>
      <w:sz w:val="24"/>
      <w:szCs w:val="20"/>
    </w:rPr>
  </w:style>
  <w:style w:type="paragraph" w:styleId="60">
    <w:name w:val="toc 2"/>
    <w:basedOn w:val="1"/>
    <w:locked/>
    <w:uiPriority w:val="39"/>
    <w:pPr>
      <w:spacing w:before="120"/>
      <w:ind w:left="210"/>
      <w:jc w:val="left"/>
    </w:pPr>
    <w:rPr>
      <w:b/>
      <w:bCs/>
      <w:kern w:val="0"/>
      <w:sz w:val="22"/>
      <w:szCs w:val="22"/>
    </w:rPr>
  </w:style>
  <w:style w:type="paragraph" w:styleId="61">
    <w:name w:val="toc 9"/>
    <w:basedOn w:val="1"/>
    <w:next w:val="1"/>
    <w:locked/>
    <w:uiPriority w:val="39"/>
    <w:pPr>
      <w:ind w:left="1680"/>
      <w:jc w:val="left"/>
    </w:pPr>
    <w:rPr>
      <w:kern w:val="0"/>
      <w:sz w:val="20"/>
      <w:szCs w:val="20"/>
    </w:rPr>
  </w:style>
  <w:style w:type="paragraph" w:styleId="62">
    <w:name w:val="Body Text 2"/>
    <w:basedOn w:val="1"/>
    <w:link w:val="117"/>
    <w:locked/>
    <w:uiPriority w:val="0"/>
    <w:rPr>
      <w:rFonts w:eastAsia="仿宋_GB2312"/>
      <w:b/>
      <w:bCs/>
      <w:szCs w:val="20"/>
    </w:rPr>
  </w:style>
  <w:style w:type="paragraph" w:styleId="63">
    <w:name w:val="List 4"/>
    <w:basedOn w:val="1"/>
    <w:locked/>
    <w:uiPriority w:val="0"/>
    <w:pPr>
      <w:adjustRightInd w:val="0"/>
      <w:spacing w:line="312" w:lineRule="atLeast"/>
      <w:ind w:left="1680" w:hanging="420"/>
      <w:textAlignment w:val="baseline"/>
    </w:pPr>
    <w:rPr>
      <w:kern w:val="0"/>
      <w:sz w:val="20"/>
      <w:szCs w:val="20"/>
    </w:rPr>
  </w:style>
  <w:style w:type="paragraph" w:styleId="64">
    <w:name w:val="HTML Preformatted"/>
    <w:basedOn w:val="1"/>
    <w:link w:val="118"/>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65">
    <w:name w:val="Normal (Web)"/>
    <w:basedOn w:val="1"/>
    <w:link w:val="119"/>
    <w:qFormat/>
    <w:uiPriority w:val="0"/>
    <w:pPr>
      <w:widowControl/>
      <w:spacing w:before="100" w:beforeAutospacing="1" w:after="100" w:afterAutospacing="1"/>
      <w:jc w:val="left"/>
    </w:pPr>
    <w:rPr>
      <w:rFonts w:ascii="宋体" w:hAnsi="宋体"/>
      <w:kern w:val="0"/>
      <w:sz w:val="24"/>
      <w:szCs w:val="20"/>
    </w:rPr>
  </w:style>
  <w:style w:type="paragraph" w:styleId="66">
    <w:name w:val="index 2"/>
    <w:basedOn w:val="1"/>
    <w:next w:val="1"/>
    <w:locked/>
    <w:uiPriority w:val="0"/>
    <w:pPr>
      <w:ind w:left="420" w:hanging="210"/>
      <w:jc w:val="left"/>
    </w:pPr>
    <w:rPr>
      <w:kern w:val="0"/>
      <w:sz w:val="18"/>
      <w:szCs w:val="18"/>
    </w:rPr>
  </w:style>
  <w:style w:type="paragraph" w:styleId="67">
    <w:name w:val="Title"/>
    <w:basedOn w:val="1"/>
    <w:next w:val="1"/>
    <w:link w:val="120"/>
    <w:qFormat/>
    <w:locked/>
    <w:uiPriority w:val="0"/>
    <w:pPr>
      <w:adjustRightInd w:val="0"/>
      <w:snapToGrid w:val="0"/>
      <w:jc w:val="center"/>
    </w:pPr>
    <w:rPr>
      <w:rFonts w:ascii="Cambria" w:hAnsi="Cambria" w:eastAsia="Times New Roman"/>
      <w:bCs/>
      <w:szCs w:val="32"/>
    </w:rPr>
  </w:style>
  <w:style w:type="paragraph" w:styleId="68">
    <w:name w:val="annotation subject"/>
    <w:basedOn w:val="28"/>
    <w:next w:val="28"/>
    <w:link w:val="121"/>
    <w:semiHidden/>
    <w:uiPriority w:val="99"/>
    <w:rPr>
      <w:b/>
      <w:sz w:val="24"/>
      <w:szCs w:val="20"/>
    </w:rPr>
  </w:style>
  <w:style w:type="paragraph" w:styleId="69">
    <w:name w:val="Body Text First Indent 2"/>
    <w:basedOn w:val="34"/>
    <w:link w:val="122"/>
    <w:qFormat/>
    <w:locked/>
    <w:uiPriority w:val="0"/>
    <w:pPr>
      <w:spacing w:after="0" w:line="360" w:lineRule="auto"/>
      <w:ind w:left="0" w:leftChars="0" w:firstLine="420" w:firstLineChars="200"/>
      <w:jc w:val="left"/>
    </w:pPr>
    <w:rPr>
      <w:spacing w:val="-6"/>
      <w:sz w:val="28"/>
    </w:rPr>
  </w:style>
  <w:style w:type="table" w:styleId="71">
    <w:name w:val="Table Grid"/>
    <w:basedOn w:val="70"/>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2">
    <w:name w:val="Table Theme"/>
    <w:basedOn w:val="70"/>
    <w:locked/>
    <w:uiPriority w:val="0"/>
    <w:pPr>
      <w:widowControl w:val="0"/>
      <w:jc w:val="both"/>
    </w:pPr>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name w:val="Table Simple 1"/>
    <w:basedOn w:val="70"/>
    <w:locked/>
    <w:uiPriority w:val="0"/>
    <w:pPr>
      <w:widowControl w:val="0"/>
      <w:jc w:val="both"/>
    </w:pPr>
    <w:rPr>
      <w:rFonts w:ascii="Calibri" w:hAnsi="Calibri"/>
      <w:kern w:val="2"/>
      <w:sz w:val="21"/>
      <w:szCs w:val="22"/>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74">
    <w:name w:val="Table Grid 2"/>
    <w:basedOn w:val="70"/>
    <w:locked/>
    <w:uiPriority w:val="0"/>
    <w:pPr>
      <w:widowControl w:val="0"/>
      <w:jc w:val="both"/>
    </w:pPr>
    <w:rPr>
      <w:rFonts w:ascii="Calibri" w:hAnsi="Calibri"/>
      <w:kern w:val="2"/>
      <w:sz w:val="21"/>
      <w:szCs w:val="22"/>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76">
    <w:name w:val="Strong"/>
    <w:qFormat/>
    <w:locked/>
    <w:uiPriority w:val="22"/>
    <w:rPr>
      <w:b/>
      <w:bCs/>
    </w:rPr>
  </w:style>
  <w:style w:type="character" w:styleId="77">
    <w:name w:val="endnote reference"/>
    <w:locked/>
    <w:uiPriority w:val="0"/>
    <w:rPr>
      <w:vertAlign w:val="superscript"/>
    </w:rPr>
  </w:style>
  <w:style w:type="character" w:styleId="78">
    <w:name w:val="page number"/>
    <w:qFormat/>
    <w:locked/>
    <w:uiPriority w:val="0"/>
  </w:style>
  <w:style w:type="character" w:styleId="79">
    <w:name w:val="FollowedHyperlink"/>
    <w:locked/>
    <w:uiPriority w:val="99"/>
    <w:rPr>
      <w:color w:val="800080"/>
      <w:u w:val="single"/>
    </w:rPr>
  </w:style>
  <w:style w:type="character" w:styleId="80">
    <w:name w:val="Emphasis"/>
    <w:qFormat/>
    <w:locked/>
    <w:uiPriority w:val="20"/>
    <w:rPr>
      <w:i/>
      <w:iCs/>
    </w:rPr>
  </w:style>
  <w:style w:type="character" w:styleId="81">
    <w:name w:val="HTML Typewriter"/>
    <w:locked/>
    <w:uiPriority w:val="0"/>
    <w:rPr>
      <w:rFonts w:ascii="黑体" w:hAnsi="Courier New" w:eastAsia="黑体" w:cs="Courier New"/>
      <w:sz w:val="18"/>
      <w:szCs w:val="18"/>
    </w:rPr>
  </w:style>
  <w:style w:type="character" w:styleId="82">
    <w:name w:val="Hyperlink"/>
    <w:unhideWhenUsed/>
    <w:qFormat/>
    <w:locked/>
    <w:uiPriority w:val="99"/>
    <w:rPr>
      <w:color w:val="0000FF"/>
      <w:u w:val="single"/>
    </w:rPr>
  </w:style>
  <w:style w:type="character" w:styleId="83">
    <w:name w:val="annotation reference"/>
    <w:qFormat/>
    <w:uiPriority w:val="0"/>
    <w:rPr>
      <w:sz w:val="21"/>
    </w:rPr>
  </w:style>
  <w:style w:type="character" w:styleId="84">
    <w:name w:val="footnote reference"/>
    <w:locked/>
    <w:uiPriority w:val="0"/>
    <w:rPr>
      <w:vertAlign w:val="superscript"/>
    </w:rPr>
  </w:style>
  <w:style w:type="character" w:customStyle="1" w:styleId="85">
    <w:name w:val="页眉 字符"/>
    <w:link w:val="2"/>
    <w:qFormat/>
    <w:locked/>
    <w:uiPriority w:val="99"/>
    <w:rPr>
      <w:sz w:val="18"/>
    </w:rPr>
  </w:style>
  <w:style w:type="character" w:customStyle="1" w:styleId="86">
    <w:name w:val="标题 1 字符"/>
    <w:link w:val="3"/>
    <w:qFormat/>
    <w:uiPriority w:val="9"/>
    <w:rPr>
      <w:rFonts w:eastAsia="黑体"/>
      <w:b/>
      <w:bCs/>
      <w:color w:val="000000"/>
      <w:kern w:val="44"/>
      <w:sz w:val="30"/>
      <w:szCs w:val="30"/>
    </w:rPr>
  </w:style>
  <w:style w:type="character" w:customStyle="1" w:styleId="87">
    <w:name w:val="标题 2 字符"/>
    <w:link w:val="4"/>
    <w:qFormat/>
    <w:uiPriority w:val="9"/>
    <w:rPr>
      <w:rFonts w:ascii="Cambria" w:hAnsi="Cambria"/>
      <w:b/>
      <w:bCs/>
      <w:kern w:val="2"/>
      <w:sz w:val="32"/>
      <w:szCs w:val="32"/>
    </w:rPr>
  </w:style>
  <w:style w:type="character" w:customStyle="1" w:styleId="88">
    <w:name w:val="标题 3 字符"/>
    <w:link w:val="5"/>
    <w:qFormat/>
    <w:uiPriority w:val="9"/>
    <w:rPr>
      <w:b/>
      <w:bCs/>
      <w:kern w:val="2"/>
      <w:sz w:val="32"/>
      <w:szCs w:val="32"/>
    </w:rPr>
  </w:style>
  <w:style w:type="character" w:customStyle="1" w:styleId="89">
    <w:name w:val="标题 4 字符"/>
    <w:link w:val="6"/>
    <w:uiPriority w:val="9"/>
    <w:rPr>
      <w:rFonts w:eastAsia="黑体"/>
      <w:bCs/>
      <w:color w:val="0000FF"/>
      <w:sz w:val="28"/>
      <w:szCs w:val="28"/>
    </w:rPr>
  </w:style>
  <w:style w:type="character" w:customStyle="1" w:styleId="90">
    <w:name w:val="标题 5 字符"/>
    <w:link w:val="7"/>
    <w:uiPriority w:val="0"/>
    <w:rPr>
      <w:b/>
      <w:sz w:val="28"/>
    </w:rPr>
  </w:style>
  <w:style w:type="character" w:customStyle="1" w:styleId="91">
    <w:name w:val="报告 Char"/>
    <w:link w:val="8"/>
    <w:qFormat/>
    <w:uiPriority w:val="0"/>
    <w:rPr>
      <w:sz w:val="24"/>
    </w:rPr>
  </w:style>
  <w:style w:type="character" w:customStyle="1" w:styleId="92">
    <w:name w:val="标题 6 字符"/>
    <w:link w:val="9"/>
    <w:uiPriority w:val="0"/>
    <w:rPr>
      <w:rFonts w:ascii="Arial" w:hAnsi="Arial" w:eastAsia="黑体"/>
      <w:b/>
    </w:rPr>
  </w:style>
  <w:style w:type="character" w:customStyle="1" w:styleId="93">
    <w:name w:val="标题 7 字符"/>
    <w:link w:val="10"/>
    <w:uiPriority w:val="0"/>
    <w:rPr>
      <w:rFonts w:ascii="宋体"/>
      <w:b/>
    </w:rPr>
  </w:style>
  <w:style w:type="character" w:customStyle="1" w:styleId="94">
    <w:name w:val="标题 8 字符"/>
    <w:link w:val="11"/>
    <w:uiPriority w:val="0"/>
    <w:rPr>
      <w:rFonts w:ascii="Arial" w:hAnsi="Arial" w:eastAsia="黑体"/>
    </w:rPr>
  </w:style>
  <w:style w:type="character" w:customStyle="1" w:styleId="95">
    <w:name w:val="标题 9 字符"/>
    <w:link w:val="12"/>
    <w:uiPriority w:val="0"/>
    <w:rPr>
      <w:rFonts w:ascii="Arial" w:hAnsi="Arial" w:eastAsia="黑体"/>
    </w:rPr>
  </w:style>
  <w:style w:type="character" w:customStyle="1" w:styleId="96">
    <w:name w:val="注释标题 字符"/>
    <w:link w:val="16"/>
    <w:uiPriority w:val="0"/>
    <w:rPr>
      <w:kern w:val="2"/>
      <w:sz w:val="21"/>
      <w:szCs w:val="22"/>
    </w:rPr>
  </w:style>
  <w:style w:type="character" w:customStyle="1" w:styleId="97">
    <w:name w:val="正文缩进 字符"/>
    <w:link w:val="18"/>
    <w:qFormat/>
    <w:uiPriority w:val="0"/>
    <w:rPr>
      <w:rFonts w:ascii="仿宋_GB2312" w:eastAsia="仿宋_GB2312"/>
      <w:color w:val="000000"/>
      <w:sz w:val="30"/>
      <w:szCs w:val="24"/>
    </w:rPr>
  </w:style>
  <w:style w:type="character" w:customStyle="1" w:styleId="98">
    <w:name w:val="题注 字符"/>
    <w:link w:val="19"/>
    <w:qFormat/>
    <w:uiPriority w:val="0"/>
    <w:rPr>
      <w:rFonts w:ascii="Arial" w:hAnsi="Arial" w:eastAsia="黑体" w:cs="Arial"/>
      <w:kern w:val="2"/>
    </w:rPr>
  </w:style>
  <w:style w:type="character" w:customStyle="1" w:styleId="99">
    <w:name w:val="正文文本 字符"/>
    <w:link w:val="24"/>
    <w:qFormat/>
    <w:locked/>
    <w:uiPriority w:val="0"/>
    <w:rPr>
      <w:sz w:val="18"/>
    </w:rPr>
  </w:style>
  <w:style w:type="character" w:customStyle="1" w:styleId="100">
    <w:name w:val="正文文本首行缩进 字符"/>
    <w:link w:val="23"/>
    <w:uiPriority w:val="0"/>
    <w:rPr>
      <w:spacing w:val="-6"/>
      <w:sz w:val="30"/>
    </w:rPr>
  </w:style>
  <w:style w:type="character" w:customStyle="1" w:styleId="101">
    <w:name w:val="文档结构图 字符"/>
    <w:link w:val="26"/>
    <w:uiPriority w:val="0"/>
    <w:rPr>
      <w:kern w:val="2"/>
      <w:sz w:val="30"/>
      <w:shd w:val="clear" w:color="auto" w:fill="000080"/>
    </w:rPr>
  </w:style>
  <w:style w:type="character" w:customStyle="1" w:styleId="102">
    <w:name w:val="批注文字 字符"/>
    <w:link w:val="28"/>
    <w:qFormat/>
    <w:locked/>
    <w:uiPriority w:val="0"/>
    <w:rPr>
      <w:rFonts w:ascii="Times New Roman" w:hAnsi="Times New Roman" w:eastAsia="宋体"/>
      <w:sz w:val="24"/>
    </w:rPr>
  </w:style>
  <w:style w:type="character" w:customStyle="1" w:styleId="103">
    <w:name w:val="称呼 字符"/>
    <w:link w:val="30"/>
    <w:uiPriority w:val="0"/>
    <w:rPr>
      <w:sz w:val="28"/>
    </w:rPr>
  </w:style>
  <w:style w:type="character" w:customStyle="1" w:styleId="104">
    <w:name w:val="正文文本 3 字符"/>
    <w:link w:val="31"/>
    <w:uiPriority w:val="0"/>
    <w:rPr>
      <w:rFonts w:eastAsia="仿宋_GB2312"/>
      <w:b/>
      <w:kern w:val="2"/>
      <w:sz w:val="21"/>
      <w:szCs w:val="24"/>
    </w:rPr>
  </w:style>
  <w:style w:type="character" w:customStyle="1" w:styleId="105">
    <w:name w:val="结束语 字符"/>
    <w:link w:val="32"/>
    <w:uiPriority w:val="0"/>
    <w:rPr>
      <w:sz w:val="28"/>
      <w:szCs w:val="24"/>
    </w:rPr>
  </w:style>
  <w:style w:type="character" w:customStyle="1" w:styleId="106">
    <w:name w:val="正文文本缩进 字符"/>
    <w:link w:val="34"/>
    <w:qFormat/>
    <w:locked/>
    <w:uiPriority w:val="0"/>
    <w:rPr>
      <w:rFonts w:ascii="Times New Roman" w:hAnsi="Times New Roman" w:eastAsia="宋体"/>
      <w:sz w:val="24"/>
    </w:rPr>
  </w:style>
  <w:style w:type="character" w:customStyle="1" w:styleId="107">
    <w:name w:val="纯文本 字符"/>
    <w:link w:val="40"/>
    <w:qFormat/>
    <w:uiPriority w:val="0"/>
    <w:rPr>
      <w:rFonts w:ascii="宋体" w:hAnsi="Courier New"/>
      <w:szCs w:val="21"/>
    </w:rPr>
  </w:style>
  <w:style w:type="character" w:customStyle="1" w:styleId="108">
    <w:name w:val="日期 字符1"/>
    <w:link w:val="43"/>
    <w:locked/>
    <w:uiPriority w:val="99"/>
    <w:rPr>
      <w:rFonts w:ascii="Times New Roman" w:hAnsi="Times New Roman" w:eastAsia="宋体"/>
      <w:sz w:val="24"/>
    </w:rPr>
  </w:style>
  <w:style w:type="character" w:customStyle="1" w:styleId="109">
    <w:name w:val="正文文本缩进 2 字符"/>
    <w:link w:val="44"/>
    <w:qFormat/>
    <w:uiPriority w:val="0"/>
    <w:rPr>
      <w:spacing w:val="-6"/>
      <w:sz w:val="28"/>
    </w:rPr>
  </w:style>
  <w:style w:type="character" w:customStyle="1" w:styleId="110">
    <w:name w:val="尾注文本 字符"/>
    <w:link w:val="45"/>
    <w:uiPriority w:val="0"/>
    <w:rPr>
      <w:kern w:val="2"/>
      <w:sz w:val="24"/>
    </w:rPr>
  </w:style>
  <w:style w:type="character" w:customStyle="1" w:styleId="111">
    <w:name w:val="批注框文本 字符"/>
    <w:link w:val="46"/>
    <w:qFormat/>
    <w:locked/>
    <w:uiPriority w:val="99"/>
    <w:rPr>
      <w:rFonts w:ascii="Times New Roman" w:hAnsi="Times New Roman" w:eastAsia="宋体"/>
      <w:sz w:val="18"/>
    </w:rPr>
  </w:style>
  <w:style w:type="character" w:customStyle="1" w:styleId="112">
    <w:name w:val="页脚 字符1"/>
    <w:link w:val="47"/>
    <w:locked/>
    <w:uiPriority w:val="99"/>
    <w:rPr>
      <w:sz w:val="18"/>
    </w:rPr>
  </w:style>
  <w:style w:type="character" w:customStyle="1" w:styleId="113">
    <w:name w:val="副标题 字符"/>
    <w:link w:val="52"/>
    <w:uiPriority w:val="0"/>
    <w:rPr>
      <w:rFonts w:ascii="Arial" w:hAnsi="Arial" w:cs="Arial"/>
      <w:b/>
      <w:bCs/>
      <w:kern w:val="28"/>
      <w:sz w:val="32"/>
      <w:szCs w:val="32"/>
    </w:rPr>
  </w:style>
  <w:style w:type="character" w:customStyle="1" w:styleId="114">
    <w:name w:val="列表 字符"/>
    <w:link w:val="53"/>
    <w:uiPriority w:val="0"/>
    <w:rPr>
      <w:kern w:val="2"/>
      <w:sz w:val="30"/>
    </w:rPr>
  </w:style>
  <w:style w:type="character" w:customStyle="1" w:styleId="115">
    <w:name w:val="脚注文本 字符"/>
    <w:link w:val="54"/>
    <w:uiPriority w:val="0"/>
    <w:rPr>
      <w:sz w:val="18"/>
      <w:szCs w:val="18"/>
    </w:rPr>
  </w:style>
  <w:style w:type="character" w:customStyle="1" w:styleId="116">
    <w:name w:val="正文文本缩进 3 字符"/>
    <w:link w:val="56"/>
    <w:qFormat/>
    <w:uiPriority w:val="0"/>
    <w:rPr>
      <w:spacing w:val="-6"/>
      <w:sz w:val="24"/>
    </w:rPr>
  </w:style>
  <w:style w:type="character" w:customStyle="1" w:styleId="117">
    <w:name w:val="正文文本 2 字符"/>
    <w:link w:val="62"/>
    <w:uiPriority w:val="0"/>
    <w:rPr>
      <w:rFonts w:eastAsia="仿宋_GB2312"/>
      <w:b/>
      <w:bCs/>
      <w:kern w:val="2"/>
      <w:sz w:val="21"/>
    </w:rPr>
  </w:style>
  <w:style w:type="character" w:customStyle="1" w:styleId="118">
    <w:name w:val="HTML 预设格式 字符"/>
    <w:link w:val="64"/>
    <w:qFormat/>
    <w:uiPriority w:val="99"/>
    <w:rPr>
      <w:rFonts w:ascii="宋体" w:hAnsi="宋体" w:cs="宋体"/>
      <w:sz w:val="24"/>
      <w:szCs w:val="24"/>
    </w:rPr>
  </w:style>
  <w:style w:type="character" w:customStyle="1" w:styleId="119">
    <w:name w:val="普通(网站) 字符"/>
    <w:link w:val="65"/>
    <w:qFormat/>
    <w:locked/>
    <w:uiPriority w:val="0"/>
    <w:rPr>
      <w:rFonts w:ascii="宋体" w:hAnsi="宋体" w:eastAsia="宋体"/>
      <w:sz w:val="24"/>
    </w:rPr>
  </w:style>
  <w:style w:type="character" w:customStyle="1" w:styleId="120">
    <w:name w:val="标题 字符"/>
    <w:link w:val="67"/>
    <w:uiPriority w:val="0"/>
    <w:rPr>
      <w:rFonts w:ascii="Cambria" w:hAnsi="Cambria" w:eastAsia="Times New Roman"/>
      <w:bCs/>
      <w:kern w:val="2"/>
      <w:sz w:val="21"/>
      <w:szCs w:val="32"/>
    </w:rPr>
  </w:style>
  <w:style w:type="character" w:customStyle="1" w:styleId="121">
    <w:name w:val="批注主题 字符"/>
    <w:link w:val="68"/>
    <w:semiHidden/>
    <w:qFormat/>
    <w:locked/>
    <w:uiPriority w:val="99"/>
    <w:rPr>
      <w:rFonts w:ascii="Times New Roman" w:hAnsi="Times New Roman" w:eastAsia="宋体"/>
      <w:b/>
      <w:kern w:val="2"/>
      <w:sz w:val="24"/>
    </w:rPr>
  </w:style>
  <w:style w:type="character" w:customStyle="1" w:styleId="122">
    <w:name w:val="正文文本首行缩进 2 字符"/>
    <w:link w:val="69"/>
    <w:uiPriority w:val="0"/>
    <w:rPr>
      <w:spacing w:val="-6"/>
      <w:sz w:val="28"/>
    </w:rPr>
  </w:style>
  <w:style w:type="character" w:customStyle="1" w:styleId="123">
    <w:name w:val="页脚 字符"/>
    <w:qFormat/>
    <w:uiPriority w:val="99"/>
  </w:style>
  <w:style w:type="character" w:customStyle="1" w:styleId="124">
    <w:name w:val="正文文本 字符1"/>
    <w:semiHidden/>
    <w:uiPriority w:val="0"/>
    <w:rPr>
      <w:rFonts w:ascii="Times New Roman" w:hAnsi="Times New Roman" w:eastAsia="宋体"/>
      <w:sz w:val="24"/>
    </w:rPr>
  </w:style>
  <w:style w:type="character" w:customStyle="1" w:styleId="125">
    <w:name w:val="表格 Char"/>
    <w:link w:val="126"/>
    <w:locked/>
    <w:uiPriority w:val="0"/>
    <w:rPr>
      <w:rFonts w:ascii="宋体"/>
      <w:sz w:val="21"/>
    </w:rPr>
  </w:style>
  <w:style w:type="paragraph" w:customStyle="1" w:styleId="126">
    <w:name w:val="表格"/>
    <w:basedOn w:val="1"/>
    <w:next w:val="1"/>
    <w:link w:val="125"/>
    <w:qFormat/>
    <w:uiPriority w:val="0"/>
    <w:pPr>
      <w:adjustRightInd w:val="0"/>
      <w:snapToGrid w:val="0"/>
      <w:spacing w:beforeLines="10" w:afterLines="10" w:line="259" w:lineRule="auto"/>
      <w:jc w:val="center"/>
    </w:pPr>
    <w:rPr>
      <w:rFonts w:ascii="宋体"/>
      <w:kern w:val="0"/>
      <w:szCs w:val="20"/>
    </w:rPr>
  </w:style>
  <w:style w:type="character" w:customStyle="1" w:styleId="127">
    <w:name w:val="日期 字符"/>
    <w:uiPriority w:val="99"/>
    <w:rPr>
      <w:rFonts w:ascii="Times New Roman" w:hAnsi="Times New Roman" w:eastAsia="宋体"/>
      <w:sz w:val="24"/>
    </w:rPr>
  </w:style>
  <w:style w:type="character" w:customStyle="1" w:styleId="128">
    <w:name w:val="批注文字 字符1"/>
    <w:semiHidden/>
    <w:uiPriority w:val="0"/>
    <w:rPr>
      <w:rFonts w:ascii="Times New Roman" w:hAnsi="Times New Roman" w:eastAsia="宋体"/>
      <w:sz w:val="24"/>
    </w:rPr>
  </w:style>
  <w:style w:type="paragraph" w:customStyle="1" w:styleId="129">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0">
    <w:name w:val="普通(网站)2"/>
    <w:basedOn w:val="1"/>
    <w:uiPriority w:val="0"/>
    <w:pPr>
      <w:widowControl/>
      <w:spacing w:before="100" w:beforeAutospacing="1" w:after="100" w:afterAutospacing="1"/>
      <w:jc w:val="left"/>
    </w:pPr>
    <w:rPr>
      <w:rFonts w:ascii="宋体" w:hAnsi="宋体"/>
      <w:sz w:val="24"/>
      <w:szCs w:val="20"/>
    </w:rPr>
  </w:style>
  <w:style w:type="character" w:customStyle="1" w:styleId="131">
    <w:name w:val="真·正文 Char"/>
    <w:link w:val="132"/>
    <w:qFormat/>
    <w:uiPriority w:val="0"/>
    <w:rPr>
      <w:kern w:val="2"/>
      <w:sz w:val="24"/>
      <w:szCs w:val="21"/>
    </w:rPr>
  </w:style>
  <w:style w:type="paragraph" w:customStyle="1" w:styleId="132">
    <w:name w:val="真·正文"/>
    <w:basedOn w:val="1"/>
    <w:next w:val="1"/>
    <w:link w:val="131"/>
    <w:qFormat/>
    <w:uiPriority w:val="0"/>
    <w:pPr>
      <w:adjustRightInd w:val="0"/>
      <w:snapToGrid w:val="0"/>
      <w:spacing w:line="360" w:lineRule="auto"/>
      <w:ind w:firstLine="200" w:firstLineChars="200"/>
      <w:jc w:val="left"/>
    </w:pPr>
    <w:rPr>
      <w:sz w:val="24"/>
      <w:szCs w:val="21"/>
    </w:rPr>
  </w:style>
  <w:style w:type="character" w:customStyle="1" w:styleId="133">
    <w:name w:val="真·小标题 Char"/>
    <w:link w:val="134"/>
    <w:qFormat/>
    <w:locked/>
    <w:uiPriority w:val="0"/>
    <w:rPr>
      <w:rFonts w:eastAsia="黑体"/>
      <w:sz w:val="24"/>
      <w:szCs w:val="24"/>
    </w:rPr>
  </w:style>
  <w:style w:type="paragraph" w:customStyle="1" w:styleId="134">
    <w:name w:val="真·小标题"/>
    <w:basedOn w:val="1"/>
    <w:next w:val="1"/>
    <w:link w:val="133"/>
    <w:qFormat/>
    <w:uiPriority w:val="0"/>
    <w:pPr>
      <w:adjustRightInd w:val="0"/>
      <w:snapToGrid w:val="0"/>
      <w:spacing w:line="360" w:lineRule="auto"/>
      <w:ind w:firstLine="200" w:firstLineChars="200"/>
      <w:jc w:val="left"/>
    </w:pPr>
    <w:rPr>
      <w:rFonts w:eastAsia="黑体"/>
      <w:kern w:val="0"/>
      <w:sz w:val="24"/>
    </w:rPr>
  </w:style>
  <w:style w:type="paragraph" w:customStyle="1" w:styleId="135">
    <w:name w:val="Table Paragraph"/>
    <w:basedOn w:val="1"/>
    <w:qFormat/>
    <w:uiPriority w:val="1"/>
    <w:pPr>
      <w:jc w:val="left"/>
    </w:pPr>
    <w:rPr>
      <w:kern w:val="0"/>
      <w:sz w:val="22"/>
      <w:szCs w:val="22"/>
      <w:lang w:eastAsia="en-US"/>
    </w:rPr>
  </w:style>
  <w:style w:type="character" w:customStyle="1" w:styleId="136">
    <w:name w:val="样式18 Char"/>
    <w:link w:val="137"/>
    <w:uiPriority w:val="0"/>
    <w:rPr>
      <w:sz w:val="26"/>
      <w:szCs w:val="26"/>
    </w:rPr>
  </w:style>
  <w:style w:type="paragraph" w:customStyle="1" w:styleId="137">
    <w:name w:val="样式18"/>
    <w:basedOn w:val="1"/>
    <w:link w:val="136"/>
    <w:qFormat/>
    <w:uiPriority w:val="0"/>
    <w:pPr>
      <w:widowControl/>
      <w:adjustRightInd w:val="0"/>
      <w:snapToGrid w:val="0"/>
      <w:spacing w:line="460" w:lineRule="exact"/>
      <w:ind w:firstLine="567" w:firstLineChars="218"/>
      <w:jc w:val="left"/>
    </w:pPr>
    <w:rPr>
      <w:kern w:val="0"/>
      <w:sz w:val="26"/>
      <w:szCs w:val="26"/>
    </w:rPr>
  </w:style>
  <w:style w:type="character" w:customStyle="1" w:styleId="138">
    <w:name w:val="font71"/>
    <w:qFormat/>
    <w:uiPriority w:val="0"/>
    <w:rPr>
      <w:rFonts w:hint="default" w:ascii="Times New Roman" w:hAnsi="Times New Roman" w:cs="Times New Roman"/>
      <w:b/>
      <w:color w:val="000000"/>
      <w:sz w:val="22"/>
      <w:szCs w:val="22"/>
      <w:u w:val="none"/>
    </w:rPr>
  </w:style>
  <w:style w:type="character" w:customStyle="1" w:styleId="139">
    <w:name w:val="font111"/>
    <w:uiPriority w:val="0"/>
    <w:rPr>
      <w:rFonts w:hint="eastAsia" w:ascii="宋体" w:hAnsi="宋体" w:eastAsia="宋体" w:cs="宋体"/>
      <w:b/>
      <w:color w:val="000000"/>
      <w:sz w:val="21"/>
      <w:szCs w:val="21"/>
      <w:u w:val="none"/>
    </w:rPr>
  </w:style>
  <w:style w:type="character" w:customStyle="1" w:styleId="140">
    <w:name w:val="font81"/>
    <w:uiPriority w:val="0"/>
    <w:rPr>
      <w:rFonts w:hint="eastAsia" w:ascii="宋体" w:hAnsi="宋体" w:eastAsia="宋体" w:cs="宋体"/>
      <w:b/>
      <w:color w:val="000000"/>
      <w:sz w:val="22"/>
      <w:szCs w:val="22"/>
      <w:u w:val="none"/>
    </w:rPr>
  </w:style>
  <w:style w:type="character" w:customStyle="1" w:styleId="141">
    <w:name w:val="图表标题 Char Char"/>
    <w:link w:val="142"/>
    <w:qFormat/>
    <w:uiPriority w:val="0"/>
    <w:rPr>
      <w:b/>
      <w:kern w:val="2"/>
      <w:sz w:val="24"/>
      <w:szCs w:val="24"/>
    </w:rPr>
  </w:style>
  <w:style w:type="paragraph" w:customStyle="1" w:styleId="142">
    <w:name w:val="图表标题"/>
    <w:basedOn w:val="8"/>
    <w:next w:val="143"/>
    <w:link w:val="141"/>
    <w:qFormat/>
    <w:uiPriority w:val="0"/>
    <w:pPr>
      <w:snapToGrid w:val="0"/>
      <w:spacing w:line="240" w:lineRule="auto"/>
      <w:ind w:firstLine="0"/>
      <w:jc w:val="center"/>
    </w:pPr>
    <w:rPr>
      <w:b/>
      <w:kern w:val="2"/>
      <w:szCs w:val="24"/>
    </w:rPr>
  </w:style>
  <w:style w:type="paragraph" w:customStyle="1" w:styleId="143">
    <w:name w:val="报告表格"/>
    <w:basedOn w:val="1"/>
    <w:link w:val="144"/>
    <w:qFormat/>
    <w:uiPriority w:val="0"/>
    <w:pPr>
      <w:autoSpaceDE w:val="0"/>
      <w:autoSpaceDN w:val="0"/>
      <w:adjustRightInd w:val="0"/>
      <w:spacing w:before="40" w:after="40"/>
      <w:jc w:val="center"/>
      <w:textAlignment w:val="baseline"/>
    </w:pPr>
    <w:rPr>
      <w:kern w:val="0"/>
      <w:szCs w:val="20"/>
    </w:rPr>
  </w:style>
  <w:style w:type="character" w:customStyle="1" w:styleId="144">
    <w:name w:val="报告表格 Char"/>
    <w:link w:val="143"/>
    <w:uiPriority w:val="0"/>
    <w:rPr>
      <w:sz w:val="21"/>
    </w:rPr>
  </w:style>
  <w:style w:type="character" w:customStyle="1" w:styleId="145">
    <w:name w:val="fcc 表格头 Char"/>
    <w:link w:val="146"/>
    <w:locked/>
    <w:uiPriority w:val="99"/>
    <w:rPr>
      <w:rFonts w:ascii="Tahoma" w:hAnsi="Tahoma" w:eastAsia="黑体"/>
      <w:b/>
      <w:color w:val="000000"/>
      <w:spacing w:val="-4"/>
      <w:sz w:val="22"/>
    </w:rPr>
  </w:style>
  <w:style w:type="paragraph" w:customStyle="1" w:styleId="146">
    <w:name w:val="fcc 表格头"/>
    <w:link w:val="145"/>
    <w:uiPriority w:val="99"/>
    <w:pPr>
      <w:spacing w:beforeLines="50" w:afterLines="50"/>
      <w:ind w:right="238"/>
      <w:jc w:val="center"/>
    </w:pPr>
    <w:rPr>
      <w:rFonts w:ascii="Tahoma" w:hAnsi="Tahoma" w:eastAsia="黑体" w:cs="Times New Roman"/>
      <w:b/>
      <w:color w:val="000000"/>
      <w:spacing w:val="-4"/>
      <w:sz w:val="22"/>
      <w:lang w:val="en-US" w:eastAsia="zh-CN" w:bidi="ar-SA"/>
    </w:rPr>
  </w:style>
  <w:style w:type="character" w:customStyle="1" w:styleId="147">
    <w:name w:val="fcc 正文 Char"/>
    <w:link w:val="148"/>
    <w:locked/>
    <w:uiPriority w:val="99"/>
    <w:rPr>
      <w:rFonts w:ascii="Calibri" w:hAnsi="Calibri"/>
      <w:kern w:val="2"/>
      <w:sz w:val="24"/>
    </w:rPr>
  </w:style>
  <w:style w:type="paragraph" w:customStyle="1" w:styleId="148">
    <w:name w:val="fcc 正文"/>
    <w:basedOn w:val="4"/>
    <w:link w:val="147"/>
    <w:uiPriority w:val="99"/>
    <w:pPr>
      <w:keepNext w:val="0"/>
      <w:keepLines w:val="0"/>
      <w:spacing w:before="0" w:after="0" w:line="360" w:lineRule="auto"/>
      <w:ind w:firstLine="510"/>
      <w:outlineLvl w:val="9"/>
    </w:pPr>
    <w:rPr>
      <w:rFonts w:ascii="Calibri" w:hAnsi="Calibri"/>
      <w:b w:val="0"/>
      <w:bCs w:val="0"/>
      <w:sz w:val="24"/>
      <w:szCs w:val="20"/>
    </w:rPr>
  </w:style>
  <w:style w:type="character" w:customStyle="1" w:styleId="149">
    <w:name w:val="表格、图片名 Char"/>
    <w:link w:val="150"/>
    <w:locked/>
    <w:uiPriority w:val="99"/>
    <w:rPr>
      <w:rFonts w:eastAsia="黑体"/>
      <w:sz w:val="21"/>
      <w:szCs w:val="22"/>
    </w:rPr>
  </w:style>
  <w:style w:type="paragraph" w:customStyle="1" w:styleId="150">
    <w:name w:val="表格、图片名"/>
    <w:basedOn w:val="1"/>
    <w:link w:val="149"/>
    <w:uiPriority w:val="99"/>
    <w:pPr>
      <w:spacing w:line="360" w:lineRule="auto"/>
      <w:ind w:firstLine="480" w:firstLineChars="200"/>
      <w:jc w:val="center"/>
    </w:pPr>
    <w:rPr>
      <w:rFonts w:eastAsia="黑体"/>
      <w:kern w:val="0"/>
      <w:szCs w:val="22"/>
    </w:rPr>
  </w:style>
  <w:style w:type="character" w:customStyle="1" w:styleId="151">
    <w:name w:val="_Style 150"/>
    <w:unhideWhenUsed/>
    <w:uiPriority w:val="99"/>
    <w:rPr>
      <w:color w:val="2B579A"/>
      <w:shd w:val="clear" w:color="auto" w:fill="E6E6E6"/>
    </w:rPr>
  </w:style>
  <w:style w:type="character" w:customStyle="1" w:styleId="152">
    <w:name w:val="style441"/>
    <w:uiPriority w:val="0"/>
    <w:rPr>
      <w:rFonts w:hint="default" w:ascii="Times New Roman" w:hAnsi="Times New Roman" w:cs="Times New Roman"/>
      <w:sz w:val="18"/>
      <w:szCs w:val="18"/>
    </w:rPr>
  </w:style>
  <w:style w:type="character" w:customStyle="1" w:styleId="153">
    <w:name w:val="正文l Char"/>
    <w:link w:val="154"/>
    <w:uiPriority w:val="0"/>
    <w:rPr>
      <w:rFonts w:eastAsia="Times New Roman"/>
      <w:sz w:val="24"/>
    </w:rPr>
  </w:style>
  <w:style w:type="paragraph" w:customStyle="1" w:styleId="154">
    <w:name w:val="正文l"/>
    <w:basedOn w:val="1"/>
    <w:link w:val="153"/>
    <w:qFormat/>
    <w:uiPriority w:val="0"/>
    <w:pPr>
      <w:autoSpaceDE w:val="0"/>
      <w:autoSpaceDN w:val="0"/>
      <w:adjustRightInd w:val="0"/>
      <w:spacing w:line="360" w:lineRule="auto"/>
      <w:ind w:firstLine="200" w:firstLineChars="200"/>
    </w:pPr>
    <w:rPr>
      <w:rFonts w:eastAsia="Times New Roman"/>
      <w:kern w:val="0"/>
      <w:sz w:val="24"/>
      <w:szCs w:val="20"/>
    </w:rPr>
  </w:style>
  <w:style w:type="character" w:customStyle="1" w:styleId="155">
    <w:name w:val=" Char Char16"/>
    <w:uiPriority w:val="0"/>
    <w:rPr>
      <w:rFonts w:ascii="Arial" w:hAnsi="Arial" w:eastAsia="宋体" w:cs="Arial"/>
      <w:b/>
      <w:kern w:val="44"/>
      <w:sz w:val="36"/>
      <w:szCs w:val="44"/>
      <w:lang w:val="en-US" w:eastAsia="zh-CN" w:bidi="ar-SA"/>
    </w:rPr>
  </w:style>
  <w:style w:type="character" w:customStyle="1" w:styleId="156">
    <w:name w:val="【表中文字】 Char"/>
    <w:link w:val="157"/>
    <w:uiPriority w:val="0"/>
    <w:rPr>
      <w:kern w:val="2"/>
      <w:sz w:val="21"/>
      <w:szCs w:val="24"/>
    </w:rPr>
  </w:style>
  <w:style w:type="paragraph" w:customStyle="1" w:styleId="157">
    <w:name w:val="【表中文字】"/>
    <w:basedOn w:val="1"/>
    <w:link w:val="156"/>
    <w:qFormat/>
    <w:uiPriority w:val="0"/>
    <w:pPr>
      <w:jc w:val="center"/>
    </w:pPr>
  </w:style>
  <w:style w:type="character" w:customStyle="1" w:styleId="158">
    <w:name w:val="标准样式 Char"/>
    <w:link w:val="159"/>
    <w:uiPriority w:val="0"/>
    <w:rPr>
      <w:rFonts w:ascii="宋体" w:eastAsia="Times New Roman"/>
      <w:sz w:val="28"/>
      <w:szCs w:val="24"/>
    </w:rPr>
  </w:style>
  <w:style w:type="paragraph" w:customStyle="1" w:styleId="159">
    <w:name w:val="标准样式"/>
    <w:link w:val="158"/>
    <w:uiPriority w:val="0"/>
    <w:pPr>
      <w:widowControl w:val="0"/>
      <w:spacing w:line="600" w:lineRule="exact"/>
      <w:ind w:firstLine="567"/>
      <w:jc w:val="both"/>
    </w:pPr>
    <w:rPr>
      <w:rFonts w:ascii="宋体" w:hAnsi="Times New Roman" w:eastAsia="Times New Roman" w:cs="Times New Roman"/>
      <w:sz w:val="28"/>
      <w:szCs w:val="24"/>
      <w:lang w:val="en-US" w:eastAsia="zh-CN" w:bidi="ar-SA"/>
    </w:rPr>
  </w:style>
  <w:style w:type="character" w:customStyle="1" w:styleId="160">
    <w:name w:val="文本_zxj Char"/>
    <w:uiPriority w:val="0"/>
    <w:rPr>
      <w:rFonts w:eastAsia="宋体" w:cs="宋体"/>
      <w:kern w:val="2"/>
      <w:sz w:val="28"/>
      <w:szCs w:val="24"/>
      <w:lang w:val="en-US" w:eastAsia="zh-CN" w:bidi="ar-SA"/>
    </w:rPr>
  </w:style>
  <w:style w:type="character" w:customStyle="1" w:styleId="161">
    <w:name w:val="样式 四号 黑色 Char"/>
    <w:uiPriority w:val="0"/>
    <w:rPr>
      <w:rFonts w:eastAsia="宋体" w:cs="宋体"/>
      <w:color w:val="000000"/>
      <w:kern w:val="2"/>
      <w:sz w:val="28"/>
      <w:szCs w:val="24"/>
      <w:lang w:val="en-US" w:eastAsia="zh-CN" w:bidi="ar-SA"/>
    </w:rPr>
  </w:style>
  <w:style w:type="character" w:customStyle="1" w:styleId="162">
    <w:name w:val="样式 样式 四号 黑色 + 首行缩进:  2 字符 Char"/>
    <w:uiPriority w:val="0"/>
    <w:rPr>
      <w:rFonts w:eastAsia="宋体" w:cs="宋体"/>
      <w:color w:val="000000"/>
      <w:kern w:val="2"/>
      <w:sz w:val="28"/>
      <w:szCs w:val="24"/>
      <w:lang w:val="en-US" w:eastAsia="zh-CN" w:bidi="ar-SA"/>
    </w:rPr>
  </w:style>
  <w:style w:type="character" w:customStyle="1" w:styleId="163">
    <w:name w:val="报告书正文 Char"/>
    <w:link w:val="164"/>
    <w:qFormat/>
    <w:uiPriority w:val="0"/>
    <w:rPr>
      <w:rFonts w:ascii="宋体" w:hAnsi="宋体"/>
      <w:bCs/>
      <w:kern w:val="2"/>
      <w:sz w:val="24"/>
      <w:szCs w:val="24"/>
    </w:rPr>
  </w:style>
  <w:style w:type="paragraph" w:customStyle="1" w:styleId="164">
    <w:name w:val="报告书正文"/>
    <w:basedOn w:val="1"/>
    <w:link w:val="163"/>
    <w:qFormat/>
    <w:uiPriority w:val="0"/>
    <w:pPr>
      <w:spacing w:line="500" w:lineRule="exact"/>
    </w:pPr>
    <w:rPr>
      <w:rFonts w:ascii="宋体" w:hAnsi="宋体"/>
      <w:bCs/>
      <w:sz w:val="24"/>
    </w:rPr>
  </w:style>
  <w:style w:type="character" w:customStyle="1" w:styleId="165">
    <w:name w:val="文章正文样式 Char"/>
    <w:link w:val="166"/>
    <w:uiPriority w:val="0"/>
    <w:rPr>
      <w:rFonts w:ascii="宋体" w:hAnsi="宋体"/>
      <w:kern w:val="2"/>
      <w:sz w:val="24"/>
      <w:szCs w:val="24"/>
    </w:rPr>
  </w:style>
  <w:style w:type="paragraph" w:customStyle="1" w:styleId="166">
    <w:name w:val="文章正文样式"/>
    <w:basedOn w:val="1"/>
    <w:link w:val="165"/>
    <w:uiPriority w:val="0"/>
    <w:pPr>
      <w:spacing w:line="520" w:lineRule="exact"/>
      <w:ind w:firstLine="480" w:firstLineChars="200"/>
      <w:jc w:val="left"/>
    </w:pPr>
    <w:rPr>
      <w:rFonts w:ascii="宋体" w:hAnsi="宋体"/>
      <w:sz w:val="24"/>
    </w:rPr>
  </w:style>
  <w:style w:type="character" w:customStyle="1" w:styleId="167">
    <w:name w:val="newstopic-h1"/>
    <w:uiPriority w:val="0"/>
    <w:rPr>
      <w:rFonts w:hint="default"/>
      <w:b/>
      <w:bCs/>
      <w:color w:val="333333"/>
      <w:spacing w:val="0"/>
      <w:sz w:val="21"/>
      <w:szCs w:val="21"/>
    </w:rPr>
  </w:style>
  <w:style w:type="character" w:customStyle="1" w:styleId="168">
    <w:name w:val="font01"/>
    <w:uiPriority w:val="0"/>
    <w:rPr>
      <w:rFonts w:hint="eastAsia" w:ascii="宋体" w:hAnsi="宋体" w:eastAsia="宋体" w:cs="宋体"/>
      <w:color w:val="000000"/>
      <w:sz w:val="20"/>
      <w:szCs w:val="20"/>
      <w:u w:val="none"/>
    </w:rPr>
  </w:style>
  <w:style w:type="character" w:customStyle="1" w:styleId="169">
    <w:name w:val="Char Char6"/>
    <w:uiPriority w:val="0"/>
    <w:rPr>
      <w:rFonts w:ascii="楷体_GB2312" w:hAnsi="Arial" w:eastAsia="楷体_GB2312"/>
      <w:b/>
      <w:kern w:val="2"/>
      <w:sz w:val="32"/>
      <w:szCs w:val="30"/>
      <w:lang w:val="en-US" w:eastAsia="zh-CN" w:bidi="ar-SA"/>
    </w:rPr>
  </w:style>
  <w:style w:type="character" w:customStyle="1" w:styleId="170">
    <w:name w:val="样式9 Char"/>
    <w:link w:val="171"/>
    <w:uiPriority w:val="0"/>
    <w:rPr>
      <w:b/>
      <w:bCs/>
      <w:color w:val="000000"/>
      <w:spacing w:val="20"/>
      <w:kern w:val="2"/>
      <w:sz w:val="24"/>
      <w:szCs w:val="24"/>
    </w:rPr>
  </w:style>
  <w:style w:type="paragraph" w:customStyle="1" w:styleId="171">
    <w:name w:val="样式9"/>
    <w:basedOn w:val="1"/>
    <w:link w:val="170"/>
    <w:uiPriority w:val="0"/>
    <w:pPr>
      <w:spacing w:beforeLines="50" w:line="360" w:lineRule="auto"/>
      <w:jc w:val="center"/>
    </w:pPr>
    <w:rPr>
      <w:b/>
      <w:bCs/>
      <w:color w:val="000000"/>
      <w:spacing w:val="20"/>
      <w:sz w:val="24"/>
    </w:rPr>
  </w:style>
  <w:style w:type="character" w:customStyle="1" w:styleId="172">
    <w:name w:val="样式1 Char1"/>
    <w:link w:val="173"/>
    <w:uiPriority w:val="0"/>
    <w:rPr>
      <w:rFonts w:ascii="楷体" w:eastAsia="楷体"/>
      <w:b/>
      <w:sz w:val="36"/>
    </w:rPr>
  </w:style>
  <w:style w:type="paragraph" w:customStyle="1" w:styleId="173">
    <w:name w:val="样式1"/>
    <w:basedOn w:val="1"/>
    <w:link w:val="172"/>
    <w:uiPriority w:val="0"/>
    <w:pPr>
      <w:adjustRightInd w:val="0"/>
      <w:spacing w:line="360" w:lineRule="auto"/>
      <w:jc w:val="left"/>
      <w:textAlignment w:val="baseline"/>
    </w:pPr>
    <w:rPr>
      <w:rFonts w:ascii="楷体" w:eastAsia="楷体"/>
      <w:b/>
      <w:kern w:val="0"/>
      <w:sz w:val="36"/>
      <w:szCs w:val="20"/>
    </w:rPr>
  </w:style>
  <w:style w:type="character" w:customStyle="1" w:styleId="174">
    <w:name w:val="表格内容1 Char"/>
    <w:link w:val="175"/>
    <w:uiPriority w:val="0"/>
    <w:rPr>
      <w:rFonts w:ascii="宋体" w:hAnsi="宋体"/>
      <w:color w:val="000000"/>
      <w:szCs w:val="21"/>
    </w:rPr>
  </w:style>
  <w:style w:type="paragraph" w:customStyle="1" w:styleId="175">
    <w:name w:val="表格内容1"/>
    <w:basedOn w:val="1"/>
    <w:link w:val="174"/>
    <w:uiPriority w:val="0"/>
    <w:pPr>
      <w:adjustRightInd w:val="0"/>
      <w:snapToGrid w:val="0"/>
      <w:spacing w:before="15" w:beforeLines="15" w:after="15" w:afterLines="15" w:line="240" w:lineRule="exact"/>
      <w:jc w:val="center"/>
    </w:pPr>
    <w:rPr>
      <w:rFonts w:ascii="宋体" w:hAnsi="宋体"/>
      <w:color w:val="000000"/>
      <w:kern w:val="0"/>
      <w:sz w:val="20"/>
      <w:szCs w:val="21"/>
    </w:rPr>
  </w:style>
  <w:style w:type="character" w:customStyle="1" w:styleId="176">
    <w:name w:val="图件标题 Char"/>
    <w:link w:val="177"/>
    <w:uiPriority w:val="0"/>
    <w:rPr>
      <w:rFonts w:ascii="Calibri" w:hAnsi="Calibri"/>
      <w:b/>
      <w:kern w:val="2"/>
      <w:szCs w:val="24"/>
    </w:rPr>
  </w:style>
  <w:style w:type="paragraph" w:customStyle="1" w:styleId="177">
    <w:name w:val="图件标题"/>
    <w:basedOn w:val="1"/>
    <w:link w:val="176"/>
    <w:qFormat/>
    <w:uiPriority w:val="0"/>
    <w:pPr>
      <w:jc w:val="center"/>
    </w:pPr>
    <w:rPr>
      <w:rFonts w:ascii="Calibri" w:hAnsi="Calibri"/>
      <w:b/>
      <w:sz w:val="20"/>
    </w:rPr>
  </w:style>
  <w:style w:type="character" w:customStyle="1" w:styleId="178">
    <w:name w:val="报告正文 Char"/>
    <w:link w:val="179"/>
    <w:uiPriority w:val="0"/>
    <w:rPr>
      <w:rFonts w:ascii="宋体" w:hAnsi="宋体" w:cs="宋体"/>
      <w:kern w:val="2"/>
      <w:sz w:val="24"/>
    </w:rPr>
  </w:style>
  <w:style w:type="paragraph" w:customStyle="1" w:styleId="179">
    <w:name w:val="报告正文"/>
    <w:basedOn w:val="1"/>
    <w:link w:val="178"/>
    <w:qFormat/>
    <w:uiPriority w:val="0"/>
    <w:pPr>
      <w:spacing w:line="360" w:lineRule="auto"/>
    </w:pPr>
    <w:rPr>
      <w:rFonts w:ascii="宋体" w:hAnsi="宋体" w:cs="宋体"/>
      <w:sz w:val="24"/>
      <w:szCs w:val="20"/>
    </w:rPr>
  </w:style>
  <w:style w:type="character" w:customStyle="1" w:styleId="180">
    <w:name w:val="我的样式1 Char"/>
    <w:link w:val="181"/>
    <w:uiPriority w:val="0"/>
    <w:rPr>
      <w:rFonts w:ascii="宋体" w:hAnsi="宋体"/>
      <w:bCs/>
      <w:kern w:val="2"/>
      <w:sz w:val="24"/>
      <w:szCs w:val="24"/>
    </w:rPr>
  </w:style>
  <w:style w:type="paragraph" w:customStyle="1" w:styleId="181">
    <w:name w:val="我的样式1"/>
    <w:basedOn w:val="1"/>
    <w:link w:val="180"/>
    <w:uiPriority w:val="0"/>
    <w:pPr>
      <w:framePr w:hSpace="180" w:wrap="around" w:vAnchor="page" w:hAnchor="margin" w:xAlign="center" w:y="1753"/>
      <w:spacing w:line="360" w:lineRule="auto"/>
      <w:ind w:firstLine="200" w:firstLineChars="200"/>
      <w:jc w:val="left"/>
    </w:pPr>
    <w:rPr>
      <w:rFonts w:ascii="宋体" w:hAnsi="宋体"/>
      <w:bCs/>
      <w:sz w:val="24"/>
    </w:rPr>
  </w:style>
  <w:style w:type="character" w:customStyle="1" w:styleId="182">
    <w:name w:val="尾注文本 字符1"/>
    <w:semiHidden/>
    <w:uiPriority w:val="99"/>
    <w:rPr>
      <w:kern w:val="2"/>
      <w:sz w:val="21"/>
      <w:szCs w:val="22"/>
    </w:rPr>
  </w:style>
  <w:style w:type="character" w:customStyle="1" w:styleId="183">
    <w:name w:val="样式17 Char"/>
    <w:link w:val="184"/>
    <w:uiPriority w:val="0"/>
    <w:rPr>
      <w:spacing w:val="20"/>
      <w:kern w:val="2"/>
      <w:sz w:val="24"/>
    </w:rPr>
  </w:style>
  <w:style w:type="paragraph" w:customStyle="1" w:styleId="184">
    <w:name w:val="样式17"/>
    <w:basedOn w:val="1"/>
    <w:link w:val="183"/>
    <w:uiPriority w:val="0"/>
    <w:pPr>
      <w:spacing w:line="400" w:lineRule="exact"/>
      <w:ind w:firstLine="200" w:firstLineChars="200"/>
    </w:pPr>
    <w:rPr>
      <w:spacing w:val="20"/>
      <w:sz w:val="24"/>
      <w:szCs w:val="20"/>
    </w:rPr>
  </w:style>
  <w:style w:type="character" w:customStyle="1" w:styleId="185">
    <w:name w:val="ca-51"/>
    <w:uiPriority w:val="0"/>
  </w:style>
  <w:style w:type="character" w:customStyle="1" w:styleId="186">
    <w:name w:val="bodytxt"/>
    <w:uiPriority w:val="0"/>
  </w:style>
  <w:style w:type="character" w:customStyle="1" w:styleId="187">
    <w:name w:val="列表 Char Char"/>
    <w:uiPriority w:val="0"/>
    <w:rPr>
      <w:rFonts w:eastAsia="宋体"/>
      <w:sz w:val="24"/>
      <w:szCs w:val="24"/>
      <w:lang w:val="en-US" w:eastAsia="zh-CN" w:bidi="ar-SA"/>
    </w:rPr>
  </w:style>
  <w:style w:type="character" w:customStyle="1" w:styleId="188">
    <w:name w:val="infofont1"/>
    <w:uiPriority w:val="0"/>
    <w:rPr>
      <w:rFonts w:hint="default" w:ascii="_x000B__x000C_" w:hAnsi="_x000B__x000C_" w:eastAsia="華康中楷體"/>
      <w:color w:val="000000"/>
      <w:sz w:val="22"/>
      <w:szCs w:val="22"/>
      <w:u w:val="none"/>
      <w:lang w:val="en-US" w:eastAsia="en-US" w:bidi="ar-SA"/>
    </w:rPr>
  </w:style>
  <w:style w:type="character" w:customStyle="1" w:styleId="189">
    <w:name w:val="t3"/>
    <w:uiPriority w:val="0"/>
  </w:style>
  <w:style w:type="character" w:customStyle="1" w:styleId="190">
    <w:name w:val="正文首行缩进 2 字符"/>
    <w:uiPriority w:val="0"/>
    <w:rPr>
      <w:rFonts w:ascii="宋体"/>
      <w:kern w:val="2"/>
      <w:sz w:val="24"/>
      <w:szCs w:val="28"/>
    </w:rPr>
  </w:style>
  <w:style w:type="character" w:customStyle="1" w:styleId="191">
    <w:name w:val="正文文本 3 字符1"/>
    <w:semiHidden/>
    <w:uiPriority w:val="99"/>
    <w:rPr>
      <w:kern w:val="2"/>
      <w:sz w:val="16"/>
      <w:szCs w:val="16"/>
    </w:rPr>
  </w:style>
  <w:style w:type="character" w:customStyle="1" w:styleId="192">
    <w:name w:val="环评正文 Char"/>
    <w:link w:val="193"/>
    <w:uiPriority w:val="0"/>
    <w:rPr>
      <w:rFonts w:ascii="宋体" w:hAnsi="宋体" w:cs="宋体"/>
      <w:kern w:val="2"/>
      <w:sz w:val="24"/>
    </w:rPr>
  </w:style>
  <w:style w:type="paragraph" w:customStyle="1" w:styleId="193">
    <w:name w:val="环评正文"/>
    <w:basedOn w:val="1"/>
    <w:link w:val="192"/>
    <w:uiPriority w:val="0"/>
    <w:pPr>
      <w:spacing w:line="360" w:lineRule="auto"/>
      <w:ind w:firstLine="480" w:firstLineChars="200"/>
    </w:pPr>
    <w:rPr>
      <w:rFonts w:ascii="宋体" w:hAnsi="宋体" w:cs="宋体"/>
      <w:sz w:val="24"/>
      <w:szCs w:val="20"/>
    </w:rPr>
  </w:style>
  <w:style w:type="character" w:customStyle="1" w:styleId="194">
    <w:name w:val="正文00000 Char"/>
    <w:link w:val="195"/>
    <w:uiPriority w:val="0"/>
    <w:rPr>
      <w:rFonts w:ascii="宋体" w:hAnsi="宋体" w:cs="Arial"/>
      <w:bCs/>
      <w:sz w:val="24"/>
      <w:szCs w:val="24"/>
    </w:rPr>
  </w:style>
  <w:style w:type="paragraph" w:customStyle="1" w:styleId="195">
    <w:name w:val="正文00000"/>
    <w:basedOn w:val="67"/>
    <w:next w:val="1"/>
    <w:link w:val="194"/>
    <w:uiPriority w:val="0"/>
    <w:pPr>
      <w:snapToGrid/>
      <w:spacing w:line="360" w:lineRule="auto"/>
      <w:ind w:firstLine="480" w:firstLineChars="200"/>
      <w:jc w:val="both"/>
      <w:textAlignment w:val="baseline"/>
    </w:pPr>
    <w:rPr>
      <w:rFonts w:ascii="宋体" w:hAnsi="宋体" w:eastAsia="宋体" w:cs="Arial"/>
      <w:kern w:val="0"/>
      <w:sz w:val="24"/>
      <w:szCs w:val="24"/>
    </w:rPr>
  </w:style>
  <w:style w:type="character" w:customStyle="1" w:styleId="196">
    <w:name w:val="1正文段落 Char"/>
    <w:link w:val="197"/>
    <w:uiPriority w:val="0"/>
    <w:rPr>
      <w:sz w:val="24"/>
      <w:szCs w:val="24"/>
    </w:rPr>
  </w:style>
  <w:style w:type="paragraph" w:customStyle="1" w:styleId="197">
    <w:name w:val="1正文段落"/>
    <w:basedOn w:val="1"/>
    <w:link w:val="196"/>
    <w:uiPriority w:val="0"/>
    <w:pPr>
      <w:spacing w:line="360" w:lineRule="auto"/>
      <w:ind w:firstLine="480" w:firstLineChars="200"/>
      <w:jc w:val="left"/>
    </w:pPr>
    <w:rPr>
      <w:kern w:val="0"/>
      <w:sz w:val="24"/>
    </w:rPr>
  </w:style>
  <w:style w:type="character" w:customStyle="1" w:styleId="198">
    <w:name w:val="正文000 Char"/>
    <w:link w:val="199"/>
    <w:uiPriority w:val="0"/>
    <w:rPr>
      <w:sz w:val="24"/>
    </w:rPr>
  </w:style>
  <w:style w:type="paragraph" w:customStyle="1" w:styleId="199">
    <w:name w:val="正文000"/>
    <w:basedOn w:val="1"/>
    <w:link w:val="198"/>
    <w:uiPriority w:val="0"/>
    <w:pPr>
      <w:adjustRightInd w:val="0"/>
      <w:spacing w:line="360" w:lineRule="auto"/>
      <w:ind w:firstLine="480" w:firstLineChars="200"/>
      <w:textAlignment w:val="center"/>
    </w:pPr>
    <w:rPr>
      <w:kern w:val="0"/>
      <w:sz w:val="24"/>
      <w:szCs w:val="20"/>
    </w:rPr>
  </w:style>
  <w:style w:type="character" w:customStyle="1" w:styleId="200">
    <w:name w:val="headline-content2"/>
    <w:uiPriority w:val="0"/>
  </w:style>
  <w:style w:type="character" w:customStyle="1" w:styleId="201">
    <w:name w:val="even Char1"/>
    <w:semiHidden/>
    <w:uiPriority w:val="0"/>
    <w:rPr>
      <w:rFonts w:ascii="宋体" w:eastAsia="宋体"/>
      <w:sz w:val="18"/>
      <w:szCs w:val="18"/>
      <w:lang w:val="en-US" w:eastAsia="zh-CN" w:bidi="ar-SA"/>
    </w:rPr>
  </w:style>
  <w:style w:type="character" w:customStyle="1" w:styleId="202">
    <w:name w:val="正文 Char"/>
    <w:link w:val="203"/>
    <w:uiPriority w:val="0"/>
    <w:rPr>
      <w:color w:val="000000"/>
      <w:kern w:val="2"/>
      <w:sz w:val="28"/>
    </w:rPr>
  </w:style>
  <w:style w:type="paragraph" w:customStyle="1" w:styleId="203">
    <w:name w:val="正文1"/>
    <w:basedOn w:val="1"/>
    <w:link w:val="202"/>
    <w:uiPriority w:val="0"/>
    <w:pPr>
      <w:autoSpaceDE w:val="0"/>
      <w:autoSpaceDN w:val="0"/>
      <w:spacing w:after="160" w:line="440" w:lineRule="exact"/>
      <w:ind w:left="556"/>
      <w:textAlignment w:val="bottom"/>
    </w:pPr>
    <w:rPr>
      <w:color w:val="000000"/>
      <w:sz w:val="28"/>
      <w:szCs w:val="20"/>
    </w:rPr>
  </w:style>
  <w:style w:type="character" w:customStyle="1" w:styleId="204">
    <w:name w:val="正文(首行缩进)宋旭峰 Char Char"/>
    <w:link w:val="205"/>
    <w:uiPriority w:val="0"/>
    <w:rPr>
      <w:rFonts w:ascii="宋体" w:hAnsi="宋体" w:cs="Arial"/>
      <w:sz w:val="24"/>
      <w:szCs w:val="24"/>
    </w:rPr>
  </w:style>
  <w:style w:type="paragraph" w:customStyle="1" w:styleId="205">
    <w:name w:val="正文(首行缩进)宋旭峰"/>
    <w:basedOn w:val="18"/>
    <w:link w:val="204"/>
    <w:uiPriority w:val="0"/>
    <w:pPr>
      <w:adjustRightInd w:val="0"/>
      <w:snapToGrid w:val="0"/>
      <w:spacing w:before="120" w:beforeLines="50" w:after="120" w:afterLines="50" w:line="360" w:lineRule="auto"/>
      <w:ind w:firstLine="480"/>
      <w:contextualSpacing/>
    </w:pPr>
    <w:rPr>
      <w:rFonts w:ascii="宋体" w:hAnsi="宋体" w:eastAsia="宋体" w:cs="Arial"/>
      <w:color w:val="auto"/>
      <w:sz w:val="24"/>
    </w:rPr>
  </w:style>
  <w:style w:type="character" w:customStyle="1" w:styleId="206">
    <w:name w:val="style11"/>
    <w:uiPriority w:val="0"/>
    <w:rPr>
      <w:color w:val="03399B"/>
    </w:rPr>
  </w:style>
  <w:style w:type="character" w:customStyle="1" w:styleId="207">
    <w:name w:val="黑点 Char"/>
    <w:link w:val="208"/>
    <w:uiPriority w:val="0"/>
    <w:rPr>
      <w:rFonts w:ascii="宋体" w:hAnsi="宋体"/>
      <w:color w:val="000000"/>
      <w:sz w:val="24"/>
    </w:rPr>
  </w:style>
  <w:style w:type="paragraph" w:customStyle="1" w:styleId="208">
    <w:name w:val="黑点"/>
    <w:basedOn w:val="1"/>
    <w:link w:val="207"/>
    <w:uiPriority w:val="0"/>
    <w:pPr>
      <w:tabs>
        <w:tab w:val="left" w:pos="600"/>
        <w:tab w:val="left" w:pos="2100"/>
      </w:tabs>
      <w:adjustRightInd w:val="0"/>
      <w:spacing w:line="360" w:lineRule="auto"/>
      <w:ind w:left="2100" w:hanging="425"/>
      <w:jc w:val="left"/>
      <w:textAlignment w:val="baseline"/>
    </w:pPr>
    <w:rPr>
      <w:rFonts w:ascii="宋体" w:hAnsi="宋体"/>
      <w:color w:val="000000"/>
      <w:kern w:val="0"/>
      <w:sz w:val="24"/>
      <w:szCs w:val="20"/>
    </w:rPr>
  </w:style>
  <w:style w:type="character" w:customStyle="1" w:styleId="209">
    <w:name w:val="样式 标题 3REP3REP31REP32REP33REP34REP35REP36REP37REP38REP... Char"/>
    <w:link w:val="210"/>
    <w:uiPriority w:val="0"/>
    <w:rPr>
      <w:bCs/>
      <w:color w:val="000000"/>
      <w:sz w:val="24"/>
      <w:szCs w:val="24"/>
      <w:lang w:val="en-GB"/>
    </w:rPr>
  </w:style>
  <w:style w:type="paragraph" w:customStyle="1" w:styleId="210">
    <w:name w:val="样式 标题 3REP3REP31REP32REP33REP34REP35REP36REP37REP38REP..."/>
    <w:basedOn w:val="5"/>
    <w:link w:val="209"/>
    <w:uiPriority w:val="0"/>
    <w:pPr>
      <w:keepNext w:val="0"/>
      <w:keepLines w:val="0"/>
      <w:tabs>
        <w:tab w:val="left" w:pos="720"/>
        <w:tab w:val="left" w:pos="2190"/>
      </w:tabs>
      <w:topLinePunct/>
      <w:snapToGrid w:val="0"/>
      <w:spacing w:before="120" w:beforeLines="50" w:after="120" w:afterLines="50" w:line="360" w:lineRule="auto"/>
      <w:ind w:left="567" w:right="240" w:rightChars="100" w:hanging="567"/>
    </w:pPr>
    <w:rPr>
      <w:b w:val="0"/>
      <w:color w:val="000000"/>
      <w:kern w:val="0"/>
      <w:sz w:val="24"/>
      <w:szCs w:val="24"/>
      <w:lang w:val="en-GB"/>
    </w:rPr>
  </w:style>
  <w:style w:type="character" w:customStyle="1" w:styleId="211">
    <w:name w:val="样式 标题 2 + 段前: 0.5 行2 Char"/>
    <w:link w:val="212"/>
    <w:uiPriority w:val="0"/>
    <w:rPr>
      <w:kern w:val="2"/>
      <w:sz w:val="24"/>
    </w:rPr>
  </w:style>
  <w:style w:type="paragraph" w:customStyle="1" w:styleId="212">
    <w:name w:val="样式 标题 2 + 段前: 0.5 行2"/>
    <w:basedOn w:val="4"/>
    <w:link w:val="211"/>
    <w:uiPriority w:val="0"/>
    <w:pPr>
      <w:keepNext w:val="0"/>
      <w:keepLines w:val="0"/>
      <w:numPr>
        <w:ilvl w:val="1"/>
        <w:numId w:val="3"/>
      </w:numPr>
      <w:tabs>
        <w:tab w:val="left" w:pos="737"/>
      </w:tabs>
      <w:snapToGrid w:val="0"/>
      <w:spacing w:before="50" w:beforeLines="50" w:after="0" w:line="360" w:lineRule="auto"/>
      <w:jc w:val="left"/>
    </w:pPr>
    <w:rPr>
      <w:rFonts w:ascii="Times New Roman" w:hAnsi="Times New Roman"/>
      <w:b w:val="0"/>
      <w:bCs w:val="0"/>
      <w:sz w:val="24"/>
      <w:szCs w:val="20"/>
    </w:rPr>
  </w:style>
  <w:style w:type="character" w:customStyle="1" w:styleId="213">
    <w:name w:val=" Char Char3"/>
    <w:semiHidden/>
    <w:uiPriority w:val="0"/>
    <w:rPr>
      <w:rFonts w:eastAsia="宋体"/>
      <w:kern w:val="2"/>
      <w:sz w:val="18"/>
      <w:szCs w:val="18"/>
      <w:lang w:val="en-US" w:eastAsia="zh-CN" w:bidi="ar-SA"/>
    </w:rPr>
  </w:style>
  <w:style w:type="character" w:customStyle="1" w:styleId="214">
    <w:name w:val="1标题3级 Char"/>
    <w:link w:val="215"/>
    <w:qFormat/>
    <w:uiPriority w:val="0"/>
    <w:rPr>
      <w:rFonts w:eastAsia="黑体"/>
      <w:b/>
      <w:kern w:val="2"/>
      <w:sz w:val="24"/>
      <w:szCs w:val="24"/>
    </w:rPr>
  </w:style>
  <w:style w:type="paragraph" w:customStyle="1" w:styleId="215">
    <w:name w:val="1标题3级"/>
    <w:basedOn w:val="1"/>
    <w:link w:val="214"/>
    <w:uiPriority w:val="0"/>
    <w:pPr>
      <w:keepNext/>
      <w:snapToGrid w:val="0"/>
      <w:spacing w:line="420" w:lineRule="auto"/>
      <w:outlineLvl w:val="2"/>
    </w:pPr>
    <w:rPr>
      <w:rFonts w:eastAsia="黑体"/>
      <w:b/>
      <w:sz w:val="24"/>
    </w:rPr>
  </w:style>
  <w:style w:type="character" w:customStyle="1" w:styleId="216">
    <w:name w:val="文本正文 Char"/>
    <w:uiPriority w:val="0"/>
    <w:rPr>
      <w:rFonts w:eastAsia="宋体"/>
      <w:kern w:val="2"/>
      <w:sz w:val="24"/>
      <w:szCs w:val="24"/>
      <w:lang w:val="en-US" w:eastAsia="zh-CN" w:bidi="ar-SA"/>
    </w:rPr>
  </w:style>
  <w:style w:type="character" w:customStyle="1" w:styleId="217">
    <w:name w:val="hb4 Char"/>
    <w:link w:val="218"/>
    <w:uiPriority w:val="0"/>
    <w:rPr>
      <w:rFonts w:ascii="宋体" w:hAnsi="Arial" w:cs="宋体"/>
      <w:b/>
      <w:sz w:val="24"/>
      <w:szCs w:val="24"/>
    </w:rPr>
  </w:style>
  <w:style w:type="paragraph" w:customStyle="1" w:styleId="218">
    <w:name w:val="hb4"/>
    <w:basedOn w:val="6"/>
    <w:link w:val="217"/>
    <w:uiPriority w:val="0"/>
    <w:pPr>
      <w:tabs>
        <w:tab w:val="clear" w:pos="960"/>
        <w:tab w:val="clear" w:pos="2269"/>
      </w:tabs>
      <w:spacing w:before="120" w:beforeLines="50" w:after="120" w:afterLines="50" w:line="529" w:lineRule="exact"/>
      <w:ind w:left="0" w:firstLine="480" w:firstLineChars="200"/>
      <w:jc w:val="both"/>
    </w:pPr>
    <w:rPr>
      <w:rFonts w:ascii="宋体" w:hAnsi="Arial" w:eastAsia="宋体" w:cs="宋体"/>
      <w:b/>
      <w:bCs w:val="0"/>
      <w:color w:val="auto"/>
      <w:sz w:val="24"/>
      <w:szCs w:val="24"/>
    </w:rPr>
  </w:style>
  <w:style w:type="character" w:customStyle="1" w:styleId="219">
    <w:name w:val="表格正文 Char1"/>
    <w:link w:val="220"/>
    <w:uiPriority w:val="0"/>
    <w:rPr>
      <w:kern w:val="2"/>
      <w:sz w:val="24"/>
    </w:rPr>
  </w:style>
  <w:style w:type="paragraph" w:customStyle="1" w:styleId="220">
    <w:name w:val="表格正文"/>
    <w:basedOn w:val="1"/>
    <w:link w:val="219"/>
    <w:qFormat/>
    <w:uiPriority w:val="0"/>
    <w:rPr>
      <w:sz w:val="24"/>
      <w:szCs w:val="20"/>
    </w:rPr>
  </w:style>
  <w:style w:type="character" w:customStyle="1" w:styleId="221">
    <w:name w:val="title"/>
    <w:uiPriority w:val="0"/>
  </w:style>
  <w:style w:type="character" w:customStyle="1" w:styleId="222">
    <w:name w:val="样式 正文文本 + (中文) 黑体 红色 Char Char Char Char"/>
    <w:link w:val="223"/>
    <w:uiPriority w:val="0"/>
    <w:rPr>
      <w:rFonts w:eastAsia="黑体"/>
      <w:color w:val="FF0000"/>
      <w:sz w:val="24"/>
      <w:szCs w:val="24"/>
    </w:rPr>
  </w:style>
  <w:style w:type="paragraph" w:customStyle="1" w:styleId="223">
    <w:name w:val="样式 正文文本 + (中文) 黑体 红色 Char Char Char"/>
    <w:basedOn w:val="1"/>
    <w:link w:val="222"/>
    <w:uiPriority w:val="0"/>
    <w:pPr>
      <w:adjustRightInd w:val="0"/>
      <w:snapToGrid w:val="0"/>
      <w:spacing w:before="60" w:after="60" w:line="264" w:lineRule="auto"/>
      <w:ind w:firstLine="200" w:firstLineChars="200"/>
      <w:textAlignment w:val="baseline"/>
    </w:pPr>
    <w:rPr>
      <w:rFonts w:eastAsia="黑体"/>
      <w:color w:val="FF0000"/>
      <w:kern w:val="0"/>
      <w:sz w:val="24"/>
    </w:rPr>
  </w:style>
  <w:style w:type="character" w:customStyle="1" w:styleId="224">
    <w:name w:val="样式 标题 3 + 黑色 Char Char Char Char"/>
    <w:uiPriority w:val="0"/>
    <w:rPr>
      <w:rFonts w:eastAsia="宋体"/>
      <w:color w:val="000000"/>
      <w:kern w:val="2"/>
      <w:sz w:val="24"/>
      <w:lang w:val="en-US" w:eastAsia="zh-CN" w:bidi="ar-SA"/>
    </w:rPr>
  </w:style>
  <w:style w:type="character" w:customStyle="1" w:styleId="225">
    <w:name w:val="f91"/>
    <w:qFormat/>
    <w:uiPriority w:val="0"/>
    <w:rPr>
      <w:sz w:val="18"/>
      <w:szCs w:val="18"/>
      <w:u w:val="none"/>
    </w:rPr>
  </w:style>
  <w:style w:type="character" w:customStyle="1" w:styleId="226">
    <w:name w:val="正文首行缩进 Char Char"/>
    <w:uiPriority w:val="0"/>
    <w:rPr>
      <w:rFonts w:eastAsia="宋体"/>
      <w:kern w:val="2"/>
      <w:sz w:val="21"/>
      <w:szCs w:val="24"/>
      <w:lang w:val="en-US" w:eastAsia="zh-CN" w:bidi="ar-SA"/>
    </w:rPr>
  </w:style>
  <w:style w:type="character" w:customStyle="1" w:styleId="227">
    <w:name w:val="列表 Char Char Char"/>
    <w:uiPriority w:val="0"/>
    <w:rPr>
      <w:rFonts w:eastAsia="宋体"/>
      <w:sz w:val="21"/>
      <w:szCs w:val="21"/>
      <w:lang w:val="en-US" w:eastAsia="zh-CN" w:bidi="ar-SA"/>
    </w:rPr>
  </w:style>
  <w:style w:type="character" w:customStyle="1" w:styleId="228">
    <w:name w:val="样式 标题 2节标题标题21.1H2h2第一层条4.1二级标题标题 lxb2二级标题 Char表标题单位... Char"/>
    <w:uiPriority w:val="0"/>
    <w:rPr>
      <w:rFonts w:eastAsia="宋体" w:cs="Arial"/>
      <w:b/>
      <w:kern w:val="32"/>
      <w:sz w:val="28"/>
      <w:szCs w:val="28"/>
      <w:lang w:val="en-US" w:eastAsia="zh-CN" w:bidi="ar-SA"/>
    </w:rPr>
  </w:style>
  <w:style w:type="character" w:customStyle="1" w:styleId="229">
    <w:name w:val="正文(首行缩进) Char1"/>
    <w:link w:val="230"/>
    <w:uiPriority w:val="0"/>
    <w:rPr>
      <w:color w:val="0000FF"/>
      <w:kern w:val="2"/>
      <w:sz w:val="21"/>
      <w:szCs w:val="21"/>
    </w:rPr>
  </w:style>
  <w:style w:type="paragraph" w:customStyle="1" w:styleId="230">
    <w:name w:val="正文(首行缩进)"/>
    <w:basedOn w:val="1"/>
    <w:link w:val="229"/>
    <w:uiPriority w:val="0"/>
    <w:pPr>
      <w:adjustRightInd w:val="0"/>
      <w:snapToGrid w:val="0"/>
      <w:ind w:firstLine="120"/>
      <w:jc w:val="center"/>
    </w:pPr>
    <w:rPr>
      <w:color w:val="0000FF"/>
      <w:szCs w:val="21"/>
    </w:rPr>
  </w:style>
  <w:style w:type="character" w:customStyle="1" w:styleId="231">
    <w:name w:val="表、图名 Char"/>
    <w:link w:val="232"/>
    <w:uiPriority w:val="0"/>
    <w:rPr>
      <w:rFonts w:ascii="黑体" w:eastAsia="黑体"/>
      <w:sz w:val="24"/>
      <w:szCs w:val="24"/>
    </w:rPr>
  </w:style>
  <w:style w:type="paragraph" w:customStyle="1" w:styleId="232">
    <w:name w:val="表、图名"/>
    <w:basedOn w:val="1"/>
    <w:link w:val="231"/>
    <w:uiPriority w:val="0"/>
    <w:pPr>
      <w:adjustRightInd w:val="0"/>
      <w:snapToGrid w:val="0"/>
      <w:spacing w:line="360" w:lineRule="auto"/>
      <w:ind w:left="-6"/>
      <w:jc w:val="center"/>
    </w:pPr>
    <w:rPr>
      <w:rFonts w:ascii="黑体" w:eastAsia="黑体"/>
      <w:kern w:val="0"/>
      <w:sz w:val="24"/>
    </w:rPr>
  </w:style>
  <w:style w:type="character" w:customStyle="1" w:styleId="233">
    <w:name w:val="表格内正文 Char1"/>
    <w:link w:val="234"/>
    <w:uiPriority w:val="0"/>
    <w:rPr>
      <w:rFonts w:ascii="宋体" w:hAnsi="宋体"/>
      <w:spacing w:val="4"/>
      <w:kern w:val="18"/>
      <w:sz w:val="24"/>
      <w:szCs w:val="24"/>
    </w:rPr>
  </w:style>
  <w:style w:type="paragraph" w:customStyle="1" w:styleId="234">
    <w:name w:val="表格内正文"/>
    <w:basedOn w:val="1"/>
    <w:link w:val="233"/>
    <w:uiPriority w:val="0"/>
    <w:pPr>
      <w:spacing w:line="360" w:lineRule="auto"/>
      <w:ind w:firstLine="493"/>
    </w:pPr>
    <w:rPr>
      <w:rFonts w:ascii="宋体" w:hAnsi="宋体"/>
      <w:spacing w:val="4"/>
      <w:kern w:val="18"/>
      <w:sz w:val="24"/>
    </w:rPr>
  </w:style>
  <w:style w:type="character" w:customStyle="1" w:styleId="235">
    <w:name w:val="content"/>
    <w:uiPriority w:val="0"/>
  </w:style>
  <w:style w:type="character" w:customStyle="1" w:styleId="236">
    <w:name w:val="新正文 Char"/>
    <w:link w:val="237"/>
    <w:uiPriority w:val="0"/>
    <w:rPr>
      <w:rFonts w:ascii="仿宋_GB2312" w:eastAsia="仿宋_GB2312"/>
      <w:bCs/>
      <w:sz w:val="28"/>
    </w:rPr>
  </w:style>
  <w:style w:type="paragraph" w:customStyle="1" w:styleId="237">
    <w:name w:val="新正文"/>
    <w:basedOn w:val="1"/>
    <w:link w:val="236"/>
    <w:qFormat/>
    <w:uiPriority w:val="0"/>
    <w:pPr>
      <w:spacing w:line="480" w:lineRule="exact"/>
      <w:ind w:firstLine="482"/>
    </w:pPr>
    <w:rPr>
      <w:rFonts w:ascii="仿宋_GB2312" w:eastAsia="仿宋_GB2312"/>
      <w:bCs/>
      <w:kern w:val="0"/>
      <w:sz w:val="28"/>
      <w:szCs w:val="20"/>
    </w:rPr>
  </w:style>
  <w:style w:type="character" w:customStyle="1" w:styleId="238">
    <w:name w:val="表格正文 Char Char"/>
    <w:uiPriority w:val="0"/>
    <w:rPr>
      <w:rFonts w:eastAsia="宋体"/>
      <w:kern w:val="2"/>
      <w:sz w:val="24"/>
      <w:szCs w:val="24"/>
      <w:lang w:val="en-US" w:eastAsia="zh-CN" w:bidi="ar-SA"/>
    </w:rPr>
  </w:style>
  <w:style w:type="character" w:customStyle="1" w:styleId="239">
    <w:name w:val="表内l Char"/>
    <w:link w:val="240"/>
    <w:uiPriority w:val="0"/>
    <w:rPr>
      <w:bCs/>
      <w:szCs w:val="21"/>
    </w:rPr>
  </w:style>
  <w:style w:type="paragraph" w:customStyle="1" w:styleId="240">
    <w:name w:val="表内l"/>
    <w:basedOn w:val="1"/>
    <w:link w:val="239"/>
    <w:qFormat/>
    <w:uiPriority w:val="0"/>
    <w:pPr>
      <w:jc w:val="center"/>
    </w:pPr>
    <w:rPr>
      <w:bCs/>
      <w:kern w:val="0"/>
      <w:sz w:val="20"/>
      <w:szCs w:val="21"/>
    </w:rPr>
  </w:style>
  <w:style w:type="character" w:customStyle="1" w:styleId="241">
    <w:name w:val="副标题 字符1"/>
    <w:uiPriority w:val="11"/>
    <w:rPr>
      <w:rFonts w:ascii="等线 Light" w:hAnsi="等线 Light" w:cs="Times New Roman"/>
      <w:b/>
      <w:bCs/>
      <w:kern w:val="28"/>
      <w:sz w:val="32"/>
      <w:szCs w:val="32"/>
    </w:rPr>
  </w:style>
  <w:style w:type="character" w:customStyle="1" w:styleId="242">
    <w:name w:val="普 Char"/>
    <w:uiPriority w:val="0"/>
    <w:rPr>
      <w:rFonts w:ascii="宋体" w:hAnsi="Courier New" w:eastAsia="宋体"/>
      <w:kern w:val="2"/>
      <w:sz w:val="26"/>
      <w:lang w:val="en-US" w:eastAsia="zh-CN" w:bidi="ar-SA"/>
    </w:rPr>
  </w:style>
  <w:style w:type="character" w:customStyle="1" w:styleId="243">
    <w:name w:val="fontstyle"/>
    <w:uiPriority w:val="0"/>
  </w:style>
  <w:style w:type="character" w:customStyle="1" w:styleId="244">
    <w:name w:val="表文字 Char1"/>
    <w:uiPriority w:val="0"/>
    <w:rPr>
      <w:rFonts w:eastAsia="宋体"/>
      <w:kern w:val="2"/>
      <w:sz w:val="21"/>
      <w:szCs w:val="21"/>
      <w:lang w:val="en-US" w:eastAsia="zh-CN" w:bidi="ar-SA"/>
    </w:rPr>
  </w:style>
  <w:style w:type="character" w:customStyle="1" w:styleId="245">
    <w:name w:val="3级标题 Char"/>
    <w:link w:val="246"/>
    <w:uiPriority w:val="0"/>
    <w:rPr>
      <w:b/>
      <w:kern w:val="2"/>
      <w:sz w:val="24"/>
      <w:szCs w:val="24"/>
    </w:rPr>
  </w:style>
  <w:style w:type="paragraph" w:customStyle="1" w:styleId="246">
    <w:name w:val="3级标题"/>
    <w:basedOn w:val="1"/>
    <w:link w:val="245"/>
    <w:uiPriority w:val="0"/>
    <w:pPr>
      <w:spacing w:before="300" w:line="460" w:lineRule="exact"/>
      <w:outlineLvl w:val="2"/>
    </w:pPr>
    <w:rPr>
      <w:b/>
      <w:sz w:val="24"/>
    </w:rPr>
  </w:style>
  <w:style w:type="character" w:customStyle="1" w:styleId="247">
    <w:name w:val="article"/>
    <w:uiPriority w:val="0"/>
  </w:style>
  <w:style w:type="character" w:customStyle="1" w:styleId="248">
    <w:name w:val="正文文本 2 字符1"/>
    <w:semiHidden/>
    <w:uiPriority w:val="99"/>
    <w:rPr>
      <w:kern w:val="2"/>
      <w:sz w:val="21"/>
      <w:szCs w:val="22"/>
    </w:rPr>
  </w:style>
  <w:style w:type="character" w:customStyle="1" w:styleId="249">
    <w:name w:val="12 12"/>
    <w:uiPriority w:val="0"/>
  </w:style>
  <w:style w:type="character" w:customStyle="1" w:styleId="250">
    <w:name w:val="表格正文 Char"/>
    <w:uiPriority w:val="0"/>
    <w:rPr>
      <w:rFonts w:eastAsia="宋体"/>
      <w:kern w:val="2"/>
      <w:sz w:val="24"/>
      <w:szCs w:val="24"/>
      <w:lang w:val="en-US" w:eastAsia="zh-CN" w:bidi="ar-SA"/>
    </w:rPr>
  </w:style>
  <w:style w:type="character" w:customStyle="1" w:styleId="251">
    <w:name w:val="正文四号 Char"/>
    <w:link w:val="252"/>
    <w:uiPriority w:val="0"/>
    <w:rPr>
      <w:rFonts w:ascii="Calibri" w:hAnsi="Calibri" w:cs="宋体"/>
      <w:sz w:val="28"/>
      <w:szCs w:val="28"/>
      <w:lang w:eastAsia="en-US" w:bidi="en-US"/>
    </w:rPr>
  </w:style>
  <w:style w:type="paragraph" w:customStyle="1" w:styleId="252">
    <w:name w:val="正文四号"/>
    <w:basedOn w:val="1"/>
    <w:link w:val="251"/>
    <w:uiPriority w:val="0"/>
    <w:pPr>
      <w:widowControl/>
      <w:spacing w:after="200" w:line="360" w:lineRule="auto"/>
      <w:ind w:firstLine="200" w:firstLineChars="200"/>
      <w:jc w:val="left"/>
    </w:pPr>
    <w:rPr>
      <w:rFonts w:ascii="Calibri" w:hAnsi="Calibri" w:cs="宋体"/>
      <w:kern w:val="0"/>
      <w:sz w:val="28"/>
      <w:szCs w:val="28"/>
      <w:lang w:eastAsia="en-US" w:bidi="en-US"/>
    </w:rPr>
  </w:style>
  <w:style w:type="character" w:customStyle="1" w:styleId="253">
    <w:name w:val=" Char Char Char"/>
    <w:uiPriority w:val="0"/>
    <w:rPr>
      <w:rFonts w:eastAsia="方正宋三简体" w:cs="Courier New"/>
      <w:kern w:val="2"/>
      <w:sz w:val="24"/>
      <w:szCs w:val="24"/>
      <w:lang w:val="en-US" w:eastAsia="zh-CN" w:bidi="ar-SA"/>
    </w:rPr>
  </w:style>
  <w:style w:type="character" w:customStyle="1" w:styleId="254">
    <w:name w:val="表号 Char"/>
    <w:link w:val="255"/>
    <w:locked/>
    <w:uiPriority w:val="0"/>
    <w:rPr>
      <w:rFonts w:ascii="宋体" w:hAnsi="宋体"/>
      <w:sz w:val="24"/>
      <w:szCs w:val="24"/>
    </w:rPr>
  </w:style>
  <w:style w:type="paragraph" w:customStyle="1" w:styleId="255">
    <w:name w:val="表号"/>
    <w:link w:val="254"/>
    <w:uiPriority w:val="0"/>
    <w:pPr>
      <w:adjustRightInd w:val="0"/>
      <w:snapToGrid w:val="0"/>
      <w:spacing w:line="240" w:lineRule="atLeast"/>
      <w:jc w:val="both"/>
      <w:outlineLvl w:val="4"/>
    </w:pPr>
    <w:rPr>
      <w:rFonts w:ascii="宋体" w:hAnsi="宋体" w:eastAsia="宋体" w:cs="Times New Roman"/>
      <w:sz w:val="24"/>
      <w:szCs w:val="24"/>
      <w:lang w:val="en-US" w:eastAsia="zh-CN" w:bidi="ar-SA"/>
    </w:rPr>
  </w:style>
  <w:style w:type="character" w:customStyle="1" w:styleId="256">
    <w:name w:val="表格标题 Char1"/>
    <w:uiPriority w:val="0"/>
    <w:rPr>
      <w:rFonts w:eastAsia="宋体"/>
      <w:kern w:val="2"/>
      <w:sz w:val="21"/>
      <w:szCs w:val="24"/>
      <w:lang w:val="en-US" w:eastAsia="zh-CN" w:bidi="ar-SA"/>
    </w:rPr>
  </w:style>
  <w:style w:type="character" w:customStyle="1" w:styleId="257">
    <w:name w:val=" Char Char1"/>
    <w:uiPriority w:val="0"/>
    <w:rPr>
      <w:rFonts w:eastAsia="宋体"/>
      <w:kern w:val="2"/>
      <w:sz w:val="21"/>
      <w:szCs w:val="24"/>
      <w:lang w:val="en-US" w:eastAsia="zh-CN" w:bidi="ar-SA"/>
    </w:rPr>
  </w:style>
  <w:style w:type="character" w:customStyle="1" w:styleId="258">
    <w:name w:val="p4"/>
    <w:uiPriority w:val="0"/>
  </w:style>
  <w:style w:type="character" w:customStyle="1" w:styleId="259">
    <w:name w:val="style201"/>
    <w:uiPriority w:val="0"/>
    <w:rPr>
      <w:color w:val="000000"/>
      <w:sz w:val="24"/>
      <w:szCs w:val="24"/>
    </w:rPr>
  </w:style>
  <w:style w:type="character" w:customStyle="1" w:styleId="260">
    <w:name w:val="bt Char Char"/>
    <w:uiPriority w:val="0"/>
    <w:rPr>
      <w:rFonts w:eastAsia="宋体"/>
      <w:kern w:val="2"/>
      <w:sz w:val="21"/>
      <w:szCs w:val="24"/>
      <w:lang w:val="en-US" w:eastAsia="zh-CN" w:bidi="ar-SA"/>
    </w:rPr>
  </w:style>
  <w:style w:type="character" w:customStyle="1" w:styleId="261">
    <w:name w:val="stit16_g1"/>
    <w:uiPriority w:val="0"/>
    <w:rPr>
      <w:rFonts w:hint="eastAsia" w:ascii="Gulim" w:hAnsi="Gulim" w:eastAsia="Gulim"/>
      <w:color w:val="1425D0"/>
      <w:sz w:val="16"/>
      <w:szCs w:val="16"/>
    </w:rPr>
  </w:style>
  <w:style w:type="character" w:customStyle="1" w:styleId="262">
    <w:name w:val=" Char Char5"/>
    <w:uiPriority w:val="0"/>
    <w:rPr>
      <w:b/>
      <w:bCs/>
      <w:kern w:val="44"/>
      <w:sz w:val="44"/>
      <w:szCs w:val="44"/>
    </w:rPr>
  </w:style>
  <w:style w:type="character" w:customStyle="1" w:styleId="263">
    <w:name w:val="info"/>
    <w:uiPriority w:val="0"/>
  </w:style>
  <w:style w:type="character" w:customStyle="1" w:styleId="264">
    <w:name w:val="样式 标题 3小标题小节标题标题3H3h33rd level第二层条标题4 + Arial Char"/>
    <w:link w:val="265"/>
    <w:uiPriority w:val="0"/>
    <w:rPr>
      <w:b/>
      <w:bCs/>
      <w:color w:val="000000"/>
      <w:kern w:val="32"/>
      <w:sz w:val="30"/>
    </w:rPr>
  </w:style>
  <w:style w:type="paragraph" w:customStyle="1" w:styleId="265">
    <w:name w:val="样式 标题 3小标题小节标题标题3H3h33rd level第二层条标题4 + Arial"/>
    <w:basedOn w:val="5"/>
    <w:link w:val="264"/>
    <w:uiPriority w:val="0"/>
    <w:pPr>
      <w:tabs>
        <w:tab w:val="left" w:pos="1050"/>
      </w:tabs>
      <w:topLinePunct/>
      <w:snapToGrid w:val="0"/>
      <w:spacing w:before="120" w:beforeLines="50" w:after="120" w:afterLines="50" w:line="360" w:lineRule="auto"/>
      <w:ind w:left="851" w:hanging="851"/>
      <w:textAlignment w:val="baseline"/>
    </w:pPr>
    <w:rPr>
      <w:color w:val="000000"/>
      <w:kern w:val="32"/>
      <w:sz w:val="30"/>
      <w:szCs w:val="20"/>
    </w:rPr>
  </w:style>
  <w:style w:type="character" w:customStyle="1" w:styleId="266">
    <w:name w:val="纯文本 Char Char Char"/>
    <w:uiPriority w:val="0"/>
    <w:rPr>
      <w:rFonts w:ascii="宋体" w:hAnsi="Courier New" w:eastAsia="宋体"/>
      <w:kern w:val="2"/>
      <w:sz w:val="21"/>
      <w:lang w:val="en-US" w:eastAsia="zh-CN" w:bidi="ar-SA"/>
    </w:rPr>
  </w:style>
  <w:style w:type="character" w:customStyle="1" w:styleId="267">
    <w:name w:val="edri-A title Char1 Char"/>
    <w:uiPriority w:val="0"/>
    <w:rPr>
      <w:rFonts w:eastAsia="宋体" w:cs="CommercialPi BT"/>
      <w:bCs/>
      <w:sz w:val="24"/>
      <w:szCs w:val="24"/>
      <w:lang w:val="en-US" w:eastAsia="zh-CN" w:bidi="ar-SA"/>
    </w:rPr>
  </w:style>
  <w:style w:type="character" w:customStyle="1" w:styleId="268">
    <w:name w:val="apple-style-span"/>
    <w:uiPriority w:val="0"/>
  </w:style>
  <w:style w:type="character" w:customStyle="1" w:styleId="269">
    <w:name w:val="read"/>
    <w:uiPriority w:val="0"/>
  </w:style>
  <w:style w:type="character" w:customStyle="1" w:styleId="270">
    <w:name w:val="unnamed31"/>
    <w:uiPriority w:val="0"/>
    <w:rPr>
      <w:sz w:val="18"/>
      <w:szCs w:val="18"/>
    </w:rPr>
  </w:style>
  <w:style w:type="character" w:customStyle="1" w:styleId="271">
    <w:name w:val="正文首行缩进 Char Char Char Char Char Char Char"/>
    <w:uiPriority w:val="0"/>
    <w:rPr>
      <w:rFonts w:eastAsia="宋体"/>
      <w:kern w:val="2"/>
      <w:sz w:val="21"/>
      <w:szCs w:val="24"/>
      <w:lang w:val="en-US" w:eastAsia="zh-CN" w:bidi="ar-SA"/>
    </w:rPr>
  </w:style>
  <w:style w:type="character" w:customStyle="1" w:styleId="272">
    <w:name w:val="正文(首行缩进) Char"/>
    <w:uiPriority w:val="0"/>
    <w:rPr>
      <w:rFonts w:eastAsia="宋体"/>
      <w:snapToGrid w:val="0"/>
      <w:color w:val="000000"/>
      <w:sz w:val="24"/>
      <w:szCs w:val="24"/>
      <w:lang w:val="en-US" w:eastAsia="zh-CN" w:bidi="ar-SA"/>
    </w:rPr>
  </w:style>
  <w:style w:type="character" w:customStyle="1" w:styleId="273">
    <w:name w:val="表文字 Char"/>
    <w:link w:val="274"/>
    <w:uiPriority w:val="0"/>
    <w:rPr>
      <w:sz w:val="21"/>
      <w:szCs w:val="21"/>
    </w:rPr>
  </w:style>
  <w:style w:type="paragraph" w:customStyle="1" w:styleId="274">
    <w:name w:val="表文字"/>
    <w:link w:val="273"/>
    <w:uiPriority w:val="0"/>
    <w:pPr>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character" w:customStyle="1" w:styleId="275">
    <w:name w:val="hb3 Char1"/>
    <w:link w:val="276"/>
    <w:uiPriority w:val="0"/>
    <w:rPr>
      <w:rFonts w:ascii="宋体" w:hAnsi="宋体" w:eastAsia="黑体" w:cs="宋体"/>
      <w:sz w:val="24"/>
      <w:szCs w:val="24"/>
    </w:rPr>
  </w:style>
  <w:style w:type="paragraph" w:customStyle="1" w:styleId="276">
    <w:name w:val="hb3"/>
    <w:basedOn w:val="5"/>
    <w:link w:val="275"/>
    <w:uiPriority w:val="0"/>
    <w:pPr>
      <w:topLinePunct/>
      <w:snapToGrid w:val="0"/>
      <w:spacing w:before="360" w:beforeLines="50" w:after="180" w:afterLines="50" w:line="360" w:lineRule="auto"/>
      <w:ind w:firstLine="480" w:firstLineChars="200"/>
      <w:textAlignment w:val="baseline"/>
    </w:pPr>
    <w:rPr>
      <w:rFonts w:ascii="宋体" w:hAnsi="宋体" w:eastAsia="黑体" w:cs="宋体"/>
      <w:b w:val="0"/>
      <w:bCs w:val="0"/>
      <w:kern w:val="0"/>
      <w:sz w:val="24"/>
      <w:szCs w:val="24"/>
    </w:rPr>
  </w:style>
  <w:style w:type="character" w:customStyle="1" w:styleId="277">
    <w:name w:val="K目录1 Char Char"/>
    <w:uiPriority w:val="0"/>
    <w:rPr>
      <w:rFonts w:eastAsia="黑体"/>
      <w:kern w:val="2"/>
      <w:sz w:val="28"/>
      <w:szCs w:val="28"/>
      <w:lang w:val="en-US" w:eastAsia="zh-CN" w:bidi="ar-SA"/>
    </w:rPr>
  </w:style>
  <w:style w:type="character" w:customStyle="1" w:styleId="278">
    <w:name w:val="正文000000000 Char"/>
    <w:link w:val="279"/>
    <w:uiPriority w:val="0"/>
    <w:rPr>
      <w:rFonts w:ascii="宋体" w:hAnsi="宋体"/>
      <w:kern w:val="2"/>
      <w:sz w:val="24"/>
      <w:szCs w:val="24"/>
    </w:rPr>
  </w:style>
  <w:style w:type="paragraph" w:customStyle="1" w:styleId="279">
    <w:name w:val="正文000000000"/>
    <w:basedOn w:val="1"/>
    <w:next w:val="1"/>
    <w:link w:val="278"/>
    <w:uiPriority w:val="0"/>
    <w:pPr>
      <w:spacing w:line="360" w:lineRule="auto"/>
      <w:ind w:firstLine="480" w:firstLineChars="200"/>
    </w:pPr>
    <w:rPr>
      <w:rFonts w:ascii="宋体" w:hAnsi="宋体"/>
      <w:sz w:val="24"/>
    </w:rPr>
  </w:style>
  <w:style w:type="character" w:customStyle="1" w:styleId="280">
    <w:name w:val="unnamed1"/>
    <w:uiPriority w:val="0"/>
  </w:style>
  <w:style w:type="character" w:customStyle="1" w:styleId="281">
    <w:name w:val="标题 1 Char Char Char Char Char Char Char Char"/>
    <w:uiPriority w:val="0"/>
    <w:rPr>
      <w:rFonts w:ascii="宋体" w:hAnsi="宋体" w:eastAsia="宋体" w:cs="宋体"/>
      <w:kern w:val="44"/>
      <w:sz w:val="28"/>
      <w:szCs w:val="24"/>
      <w:lang w:val="en-US" w:eastAsia="zh-CN" w:bidi="ar-SA"/>
    </w:rPr>
  </w:style>
  <w:style w:type="character" w:customStyle="1" w:styleId="282">
    <w:name w:val="nw1"/>
    <w:uiPriority w:val="0"/>
    <w:rPr>
      <w:sz w:val="21"/>
      <w:szCs w:val="21"/>
    </w:rPr>
  </w:style>
  <w:style w:type="character" w:customStyle="1" w:styleId="283">
    <w:name w:val="TOm"/>
    <w:uiPriority w:val="0"/>
    <w:rPr>
      <w:rFonts w:ascii="Arial" w:hAnsi="Arial" w:eastAsia="MS Mincho"/>
      <w:spacing w:val="0"/>
      <w:position w:val="0"/>
      <w:sz w:val="20"/>
    </w:rPr>
  </w:style>
  <w:style w:type="character" w:customStyle="1" w:styleId="284">
    <w:name w:val="content151"/>
    <w:uiPriority w:val="0"/>
    <w:rPr>
      <w:sz w:val="24"/>
      <w:szCs w:val="24"/>
      <w:u w:val="none"/>
    </w:rPr>
  </w:style>
  <w:style w:type="character" w:customStyle="1" w:styleId="285">
    <w:name w:val="copy2"/>
    <w:uiPriority w:val="0"/>
    <w:rPr>
      <w:rFonts w:hint="eastAsia" w:ascii="宋体" w:hAnsi="宋体" w:eastAsia="宋体"/>
      <w:spacing w:val="24"/>
      <w:sz w:val="15"/>
      <w:szCs w:val="15"/>
    </w:rPr>
  </w:style>
  <w:style w:type="character" w:customStyle="1" w:styleId="286">
    <w:name w:val="unnamed2"/>
    <w:uiPriority w:val="0"/>
  </w:style>
  <w:style w:type="character" w:customStyle="1" w:styleId="287">
    <w:name w:val="样式3 Char"/>
    <w:link w:val="288"/>
    <w:uiPriority w:val="0"/>
    <w:rPr>
      <w:b/>
      <w:kern w:val="2"/>
      <w:sz w:val="28"/>
      <w:szCs w:val="24"/>
    </w:rPr>
  </w:style>
  <w:style w:type="paragraph" w:customStyle="1" w:styleId="288">
    <w:name w:val="样式3"/>
    <w:basedOn w:val="1"/>
    <w:link w:val="287"/>
    <w:uiPriority w:val="0"/>
    <w:rPr>
      <w:b/>
      <w:sz w:val="28"/>
    </w:rPr>
  </w:style>
  <w:style w:type="character" w:customStyle="1" w:styleId="289">
    <w:name w:val="表格标题 Char"/>
    <w:link w:val="290"/>
    <w:uiPriority w:val="0"/>
    <w:rPr>
      <w:rFonts w:ascii="TimesNewRoman" w:hAnsi="TimesNewRoman"/>
      <w:b/>
      <w:sz w:val="24"/>
    </w:rPr>
  </w:style>
  <w:style w:type="paragraph" w:customStyle="1" w:styleId="290">
    <w:name w:val="表格标题"/>
    <w:basedOn w:val="19"/>
    <w:link w:val="289"/>
    <w:qFormat/>
    <w:uiPriority w:val="0"/>
    <w:pPr>
      <w:jc w:val="center"/>
    </w:pPr>
    <w:rPr>
      <w:rFonts w:ascii="TimesNewRoman" w:hAnsi="TimesNewRoman"/>
      <w:b/>
    </w:rPr>
  </w:style>
  <w:style w:type="character" w:customStyle="1" w:styleId="291">
    <w:name w:val="正文文本首行缩进 字符1"/>
    <w:semiHidden/>
    <w:uiPriority w:val="99"/>
  </w:style>
  <w:style w:type="character" w:customStyle="1" w:styleId="292">
    <w:name w:val="表头 Char"/>
    <w:link w:val="293"/>
    <w:qFormat/>
    <w:uiPriority w:val="0"/>
    <w:rPr>
      <w:rFonts w:eastAsia="黑体"/>
      <w:color w:val="000000"/>
      <w:sz w:val="24"/>
      <w:szCs w:val="24"/>
    </w:rPr>
  </w:style>
  <w:style w:type="paragraph" w:customStyle="1" w:styleId="293">
    <w:name w:val="表头"/>
    <w:basedOn w:val="1"/>
    <w:link w:val="292"/>
    <w:qFormat/>
    <w:uiPriority w:val="0"/>
    <w:pPr>
      <w:adjustRightInd w:val="0"/>
      <w:snapToGrid w:val="0"/>
      <w:jc w:val="center"/>
    </w:pPr>
    <w:rPr>
      <w:rFonts w:eastAsia="黑体"/>
      <w:color w:val="000000"/>
      <w:kern w:val="0"/>
      <w:sz w:val="24"/>
    </w:rPr>
  </w:style>
  <w:style w:type="character" w:customStyle="1" w:styleId="294">
    <w:name w:val="表头 Char1"/>
    <w:uiPriority w:val="0"/>
    <w:rPr>
      <w:rFonts w:ascii="仿宋_GB2312" w:eastAsia="仿宋_GB2312"/>
      <w:sz w:val="24"/>
    </w:rPr>
  </w:style>
  <w:style w:type="character" w:styleId="295">
    <w:name w:val="Placeholder Text"/>
    <w:unhideWhenUsed/>
    <w:uiPriority w:val="99"/>
    <w:rPr>
      <w:color w:val="808080"/>
    </w:rPr>
  </w:style>
  <w:style w:type="character" w:customStyle="1" w:styleId="296">
    <w:name w:val="正文内容 Char"/>
    <w:link w:val="297"/>
    <w:uiPriority w:val="0"/>
    <w:rPr>
      <w:sz w:val="24"/>
      <w:szCs w:val="24"/>
    </w:rPr>
  </w:style>
  <w:style w:type="paragraph" w:customStyle="1" w:styleId="297">
    <w:name w:val="正文内容"/>
    <w:basedOn w:val="1"/>
    <w:link w:val="296"/>
    <w:uiPriority w:val="0"/>
    <w:pPr>
      <w:spacing w:line="500" w:lineRule="exact"/>
      <w:ind w:firstLine="200" w:firstLineChars="200"/>
    </w:pPr>
    <w:rPr>
      <w:kern w:val="0"/>
      <w:sz w:val="24"/>
    </w:rPr>
  </w:style>
  <w:style w:type="character" w:customStyle="1" w:styleId="298">
    <w:name w:val="标题 字符1"/>
    <w:uiPriority w:val="10"/>
    <w:rPr>
      <w:rFonts w:ascii="等线 Light" w:hAnsi="等线 Light" w:cs="Times New Roman"/>
      <w:b/>
      <w:bCs/>
      <w:kern w:val="2"/>
      <w:sz w:val="32"/>
      <w:szCs w:val="32"/>
    </w:rPr>
  </w:style>
  <w:style w:type="character" w:customStyle="1" w:styleId="299">
    <w:name w:val="正文首行缩进 Char"/>
    <w:uiPriority w:val="0"/>
    <w:rPr>
      <w:rFonts w:eastAsia="宋体"/>
      <w:kern w:val="2"/>
      <w:sz w:val="21"/>
      <w:szCs w:val="24"/>
      <w:lang w:val="en-US" w:eastAsia="zh-CN" w:bidi="ar-SA"/>
    </w:rPr>
  </w:style>
  <w:style w:type="character" w:customStyle="1" w:styleId="300">
    <w:name w:val="正文首行缩进 字符"/>
    <w:uiPriority w:val="0"/>
    <w:rPr>
      <w:rFonts w:ascii="Times New Roman" w:hAnsi="Times New Roman" w:eastAsia="宋体" w:cs="Times New Roman"/>
      <w:spacing w:val="-6"/>
      <w:sz w:val="30"/>
      <w:szCs w:val="20"/>
    </w:rPr>
  </w:style>
  <w:style w:type="character" w:customStyle="1" w:styleId="301">
    <w:name w:val="文本 Char"/>
    <w:link w:val="302"/>
    <w:qFormat/>
    <w:uiPriority w:val="0"/>
    <w:rPr>
      <w:kern w:val="2"/>
      <w:sz w:val="24"/>
      <w:szCs w:val="24"/>
    </w:rPr>
  </w:style>
  <w:style w:type="paragraph" w:customStyle="1" w:styleId="302">
    <w:name w:val="文本"/>
    <w:basedOn w:val="1"/>
    <w:next w:val="44"/>
    <w:link w:val="301"/>
    <w:uiPriority w:val="0"/>
    <w:pPr>
      <w:spacing w:line="360" w:lineRule="auto"/>
      <w:ind w:firstLine="495"/>
    </w:pPr>
    <w:rPr>
      <w:sz w:val="24"/>
    </w:rPr>
  </w:style>
  <w:style w:type="character" w:customStyle="1" w:styleId="303">
    <w:name w:val="style21"/>
    <w:qFormat/>
    <w:uiPriority w:val="0"/>
    <w:rPr>
      <w:b/>
      <w:bCs/>
      <w:sz w:val="21"/>
      <w:szCs w:val="21"/>
    </w:rPr>
  </w:style>
  <w:style w:type="character" w:customStyle="1" w:styleId="304">
    <w:name w:val="txt1"/>
    <w:uiPriority w:val="0"/>
    <w:rPr>
      <w:rFonts w:hint="default" w:ascii="ˎ̥" w:hAnsi="ˎ̥"/>
      <w:color w:val="5E5E5E"/>
      <w:sz w:val="18"/>
      <w:szCs w:val="18"/>
    </w:rPr>
  </w:style>
  <w:style w:type="character" w:customStyle="1" w:styleId="305">
    <w:name w:val="grame"/>
    <w:uiPriority w:val="0"/>
  </w:style>
  <w:style w:type="character" w:customStyle="1" w:styleId="306">
    <w:name w:val="HTML 预设格式 字符1"/>
    <w:semiHidden/>
    <w:uiPriority w:val="99"/>
    <w:rPr>
      <w:rFonts w:ascii="Courier New" w:hAnsi="Courier New" w:eastAsia="宋体" w:cs="Courier New"/>
      <w:sz w:val="20"/>
      <w:szCs w:val="20"/>
    </w:rPr>
  </w:style>
  <w:style w:type="character" w:customStyle="1" w:styleId="307">
    <w:name w:val="highlight1"/>
    <w:uiPriority w:val="0"/>
    <w:rPr>
      <w:sz w:val="21"/>
      <w:szCs w:val="21"/>
    </w:rPr>
  </w:style>
  <w:style w:type="character" w:customStyle="1" w:styleId="308">
    <w:name w:val="_Style 307"/>
    <w:unhideWhenUsed/>
    <w:uiPriority w:val="99"/>
    <w:rPr>
      <w:color w:val="605E5C"/>
      <w:shd w:val="clear" w:color="auto" w:fill="E1DFDD"/>
    </w:rPr>
  </w:style>
  <w:style w:type="character" w:customStyle="1" w:styleId="309">
    <w:name w:val="表格内容 Char"/>
    <w:link w:val="310"/>
    <w:qFormat/>
    <w:uiPriority w:val="0"/>
    <w:rPr>
      <w:rFonts w:hAnsi="宋体"/>
      <w:snapToGrid/>
      <w:color w:val="000000"/>
      <w:kern w:val="2"/>
      <w:sz w:val="21"/>
      <w:szCs w:val="21"/>
    </w:rPr>
  </w:style>
  <w:style w:type="paragraph" w:customStyle="1" w:styleId="310">
    <w:name w:val="表格内容"/>
    <w:basedOn w:val="290"/>
    <w:next w:val="1"/>
    <w:link w:val="309"/>
    <w:qFormat/>
    <w:uiPriority w:val="0"/>
    <w:pPr>
      <w:jc w:val="center"/>
    </w:pPr>
    <w:rPr>
      <w:rFonts w:hAnsi="宋体"/>
      <w:snapToGrid w:val="0"/>
      <w:color w:val="000000"/>
      <w:szCs w:val="21"/>
    </w:rPr>
  </w:style>
  <w:style w:type="character" w:customStyle="1" w:styleId="311">
    <w:name w:val="报告表正文 Char"/>
    <w:link w:val="312"/>
    <w:uiPriority w:val="99"/>
    <w:rPr>
      <w:sz w:val="24"/>
    </w:rPr>
  </w:style>
  <w:style w:type="paragraph" w:customStyle="1" w:styleId="312">
    <w:name w:val="报告表正文"/>
    <w:basedOn w:val="1"/>
    <w:link w:val="311"/>
    <w:qFormat/>
    <w:uiPriority w:val="0"/>
    <w:pPr>
      <w:adjustRightInd w:val="0"/>
      <w:spacing w:line="312" w:lineRule="auto"/>
      <w:ind w:left="113" w:right="113" w:firstLine="482"/>
      <w:jc w:val="left"/>
      <w:textAlignment w:val="baseline"/>
    </w:pPr>
    <w:rPr>
      <w:kern w:val="0"/>
      <w:sz w:val="24"/>
      <w:szCs w:val="20"/>
    </w:rPr>
  </w:style>
  <w:style w:type="character" w:customStyle="1" w:styleId="313">
    <w:name w:val="页眉 字符1"/>
    <w:semiHidden/>
    <w:uiPriority w:val="99"/>
    <w:rPr>
      <w:rFonts w:ascii="Times New Roman" w:hAnsi="Times New Roman" w:eastAsia="宋体" w:cs="Times New Roman"/>
      <w:sz w:val="18"/>
      <w:szCs w:val="18"/>
    </w:rPr>
  </w:style>
  <w:style w:type="character" w:customStyle="1" w:styleId="314">
    <w:name w:val="无间隔 字符"/>
    <w:link w:val="315"/>
    <w:uiPriority w:val="1"/>
    <w:rPr>
      <w:kern w:val="2"/>
      <w:sz w:val="21"/>
      <w:szCs w:val="22"/>
    </w:rPr>
  </w:style>
  <w:style w:type="paragraph" w:styleId="315">
    <w:name w:val="No Spacing"/>
    <w:link w:val="314"/>
    <w:qFormat/>
    <w:uiPriority w:val="1"/>
    <w:pPr>
      <w:widowControl w:val="0"/>
    </w:pPr>
    <w:rPr>
      <w:rFonts w:ascii="Times New Roman" w:hAnsi="Times New Roman" w:eastAsia="宋体" w:cs="Times New Roman"/>
      <w:kern w:val="2"/>
      <w:sz w:val="21"/>
      <w:szCs w:val="22"/>
      <w:lang w:val="en-US" w:eastAsia="zh-CN" w:bidi="ar-SA"/>
    </w:rPr>
  </w:style>
  <w:style w:type="character" w:customStyle="1" w:styleId="316">
    <w:name w:val="真·表头 Char"/>
    <w:link w:val="317"/>
    <w:qFormat/>
    <w:uiPriority w:val="0"/>
    <w:rPr>
      <w:rFonts w:eastAsia="黑体"/>
      <w:kern w:val="2"/>
      <w:sz w:val="24"/>
      <w:szCs w:val="30"/>
    </w:rPr>
  </w:style>
  <w:style w:type="paragraph" w:customStyle="1" w:styleId="317">
    <w:name w:val="真·表头"/>
    <w:basedOn w:val="1"/>
    <w:link w:val="316"/>
    <w:qFormat/>
    <w:uiPriority w:val="0"/>
    <w:pPr>
      <w:adjustRightInd w:val="0"/>
      <w:snapToGrid w:val="0"/>
      <w:spacing w:beforeLines="50" w:line="360" w:lineRule="auto"/>
      <w:jc w:val="center"/>
    </w:pPr>
    <w:rPr>
      <w:rFonts w:eastAsia="黑体"/>
      <w:sz w:val="24"/>
      <w:szCs w:val="30"/>
    </w:rPr>
  </w:style>
  <w:style w:type="character" w:customStyle="1" w:styleId="318">
    <w:name w:val="B小标题 Char"/>
    <w:link w:val="319"/>
    <w:uiPriority w:val="0"/>
    <w:rPr>
      <w:rFonts w:eastAsia="黑体"/>
      <w:kern w:val="2"/>
      <w:sz w:val="24"/>
      <w:szCs w:val="36"/>
    </w:rPr>
  </w:style>
  <w:style w:type="paragraph" w:customStyle="1" w:styleId="319">
    <w:name w:val="B小标题"/>
    <w:basedOn w:val="1"/>
    <w:next w:val="320"/>
    <w:link w:val="318"/>
    <w:qFormat/>
    <w:uiPriority w:val="0"/>
    <w:pPr>
      <w:widowControl/>
      <w:numPr>
        <w:ilvl w:val="0"/>
        <w:numId w:val="4"/>
      </w:numPr>
      <w:adjustRightInd w:val="0"/>
      <w:snapToGrid w:val="0"/>
      <w:spacing w:line="360" w:lineRule="auto"/>
    </w:pPr>
    <w:rPr>
      <w:rFonts w:eastAsia="黑体"/>
      <w:sz w:val="24"/>
      <w:szCs w:val="36"/>
    </w:rPr>
  </w:style>
  <w:style w:type="paragraph" w:customStyle="1" w:styleId="320">
    <w:name w:val="B正文"/>
    <w:basedOn w:val="1"/>
    <w:link w:val="321"/>
    <w:qFormat/>
    <w:uiPriority w:val="0"/>
    <w:pPr>
      <w:adjustRightInd w:val="0"/>
      <w:snapToGrid w:val="0"/>
      <w:spacing w:line="360" w:lineRule="auto"/>
      <w:ind w:firstLine="480" w:firstLineChars="200"/>
    </w:pPr>
    <w:rPr>
      <w:sz w:val="24"/>
    </w:rPr>
  </w:style>
  <w:style w:type="character" w:customStyle="1" w:styleId="321">
    <w:name w:val="B正文 Char"/>
    <w:link w:val="320"/>
    <w:qFormat/>
    <w:uiPriority w:val="0"/>
    <w:rPr>
      <w:kern w:val="2"/>
      <w:sz w:val="24"/>
      <w:szCs w:val="24"/>
    </w:rPr>
  </w:style>
  <w:style w:type="character" w:customStyle="1" w:styleId="322">
    <w:name w:val="表格内容 Char Char Char Char Char"/>
    <w:qFormat/>
    <w:uiPriority w:val="0"/>
    <w:rPr>
      <w:rFonts w:cs="宋体"/>
      <w:bCs/>
      <w:kern w:val="2"/>
    </w:rPr>
  </w:style>
  <w:style w:type="character" w:customStyle="1" w:styleId="323">
    <w:name w:val="批注框文本 字符1"/>
    <w:semiHidden/>
    <w:uiPriority w:val="99"/>
    <w:rPr>
      <w:rFonts w:ascii="Times New Roman" w:hAnsi="Times New Roman" w:eastAsia="宋体" w:cs="Times New Roman"/>
      <w:sz w:val="18"/>
      <w:szCs w:val="18"/>
    </w:rPr>
  </w:style>
  <w:style w:type="character" w:customStyle="1" w:styleId="324">
    <w:name w:val="样式8 字符"/>
    <w:link w:val="325"/>
    <w:uiPriority w:val="0"/>
    <w:rPr>
      <w:b/>
      <w:bCs/>
      <w:kern w:val="32"/>
      <w:sz w:val="28"/>
      <w:szCs w:val="28"/>
    </w:rPr>
  </w:style>
  <w:style w:type="paragraph" w:customStyle="1" w:styleId="325">
    <w:name w:val="样式8"/>
    <w:basedOn w:val="4"/>
    <w:link w:val="324"/>
    <w:qFormat/>
    <w:uiPriority w:val="0"/>
    <w:pPr>
      <w:tabs>
        <w:tab w:val="left" w:pos="737"/>
      </w:tabs>
      <w:adjustRightInd w:val="0"/>
      <w:snapToGrid w:val="0"/>
      <w:spacing w:before="120" w:beforeLines="50" w:after="0" w:line="360" w:lineRule="auto"/>
      <w:ind w:left="1560" w:hanging="567"/>
      <w:jc w:val="left"/>
      <w:textAlignment w:val="baseline"/>
      <w:outlineLvl w:val="2"/>
    </w:pPr>
    <w:rPr>
      <w:rFonts w:ascii="Times New Roman" w:hAnsi="Times New Roman"/>
      <w:kern w:val="32"/>
      <w:sz w:val="28"/>
      <w:szCs w:val="28"/>
    </w:rPr>
  </w:style>
  <w:style w:type="character" w:customStyle="1" w:styleId="326">
    <w:name w:val="标题 4 Char"/>
    <w:uiPriority w:val="0"/>
    <w:rPr>
      <w:rFonts w:ascii="Times New Roman" w:hAnsi="Times New Roman" w:eastAsia="黑体"/>
      <w:bCs/>
      <w:color w:val="0000FF"/>
      <w:sz w:val="28"/>
      <w:szCs w:val="28"/>
    </w:rPr>
  </w:style>
  <w:style w:type="character" w:customStyle="1" w:styleId="327">
    <w:name w:val="无间隔 Char"/>
    <w:link w:val="328"/>
    <w:qFormat/>
    <w:uiPriority w:val="1"/>
    <w:rPr>
      <w:rFonts w:eastAsia="黑体"/>
      <w:bCs/>
      <w:kern w:val="44"/>
      <w:sz w:val="24"/>
      <w:szCs w:val="44"/>
    </w:rPr>
  </w:style>
  <w:style w:type="paragraph" w:customStyle="1" w:styleId="328">
    <w:name w:val="无间隔1"/>
    <w:next w:val="1"/>
    <w:link w:val="327"/>
    <w:qFormat/>
    <w:uiPriority w:val="1"/>
    <w:pPr>
      <w:jc w:val="center"/>
    </w:pPr>
    <w:rPr>
      <w:rFonts w:ascii="Times New Roman" w:hAnsi="Times New Roman" w:eastAsia="黑体" w:cs="Times New Roman"/>
      <w:bCs/>
      <w:kern w:val="44"/>
      <w:sz w:val="24"/>
      <w:szCs w:val="44"/>
      <w:lang w:val="en-US" w:eastAsia="zh-CN" w:bidi="ar-SA"/>
    </w:rPr>
  </w:style>
  <w:style w:type="character" w:customStyle="1" w:styleId="329">
    <w:name w:val="表格内 Char"/>
    <w:link w:val="330"/>
    <w:qFormat/>
    <w:uiPriority w:val="0"/>
    <w:rPr>
      <w:szCs w:val="24"/>
    </w:rPr>
  </w:style>
  <w:style w:type="paragraph" w:customStyle="1" w:styleId="330">
    <w:name w:val="表格内"/>
    <w:basedOn w:val="1"/>
    <w:next w:val="1"/>
    <w:link w:val="329"/>
    <w:qFormat/>
    <w:uiPriority w:val="0"/>
    <w:pPr>
      <w:adjustRightInd w:val="0"/>
      <w:snapToGrid w:val="0"/>
      <w:jc w:val="center"/>
    </w:pPr>
    <w:rPr>
      <w:kern w:val="0"/>
      <w:sz w:val="20"/>
    </w:rPr>
  </w:style>
  <w:style w:type="character" w:customStyle="1" w:styleId="331">
    <w:name w:val="纯文本 字符1"/>
    <w:semiHidden/>
    <w:uiPriority w:val="99"/>
    <w:rPr>
      <w:rFonts w:ascii="等线" w:hAnsi="Courier New" w:cs="Courier New"/>
      <w:sz w:val="30"/>
      <w:szCs w:val="20"/>
    </w:rPr>
  </w:style>
  <w:style w:type="character" w:customStyle="1" w:styleId="332">
    <w:name w:val="样式 正文文本 + 红色 Char Char Char Char"/>
    <w:link w:val="333"/>
    <w:uiPriority w:val="0"/>
    <w:rPr>
      <w:rFonts w:eastAsia="仿宋_GB2312"/>
      <w:snapToGrid/>
      <w:color w:val="FF0000"/>
      <w:sz w:val="24"/>
      <w:szCs w:val="24"/>
    </w:rPr>
  </w:style>
  <w:style w:type="paragraph" w:customStyle="1" w:styleId="333">
    <w:name w:val="样式 正文文本 + 红色 Char Char Char"/>
    <w:basedOn w:val="1"/>
    <w:link w:val="332"/>
    <w:uiPriority w:val="0"/>
    <w:pPr>
      <w:adjustRightInd w:val="0"/>
      <w:snapToGrid w:val="0"/>
      <w:spacing w:before="60" w:after="60" w:line="264" w:lineRule="auto"/>
      <w:ind w:firstLine="200" w:firstLineChars="200"/>
      <w:textAlignment w:val="baseline"/>
    </w:pPr>
    <w:rPr>
      <w:rFonts w:eastAsia="仿宋_GB2312"/>
      <w:snapToGrid w:val="0"/>
      <w:color w:val="FF0000"/>
      <w:kern w:val="0"/>
      <w:sz w:val="24"/>
    </w:rPr>
  </w:style>
  <w:style w:type="character" w:customStyle="1" w:styleId="334">
    <w:name w:val="font31"/>
    <w:uiPriority w:val="0"/>
    <w:rPr>
      <w:rFonts w:hint="eastAsia" w:ascii="宋体" w:hAnsi="宋体" w:eastAsia="宋体" w:cs="宋体"/>
      <w:color w:val="003366"/>
      <w:sz w:val="20"/>
      <w:szCs w:val="20"/>
      <w:u w:val="none"/>
    </w:rPr>
  </w:style>
  <w:style w:type="character" w:customStyle="1" w:styleId="335">
    <w:name w:val="题注1 Char Char"/>
    <w:uiPriority w:val="0"/>
    <w:rPr>
      <w:rFonts w:eastAsia="宋体"/>
      <w:kern w:val="2"/>
      <w:sz w:val="28"/>
      <w:lang w:val="en-US" w:eastAsia="zh-CN" w:bidi="ar-SA"/>
    </w:rPr>
  </w:style>
  <w:style w:type="character" w:customStyle="1" w:styleId="336">
    <w:name w:val="我的样式 Char"/>
    <w:link w:val="337"/>
    <w:uiPriority w:val="0"/>
    <w:rPr>
      <w:sz w:val="28"/>
      <w:szCs w:val="24"/>
    </w:rPr>
  </w:style>
  <w:style w:type="paragraph" w:customStyle="1" w:styleId="337">
    <w:name w:val="我的样式"/>
    <w:basedOn w:val="1"/>
    <w:link w:val="336"/>
    <w:uiPriority w:val="0"/>
    <w:pPr>
      <w:adjustRightInd w:val="0"/>
      <w:snapToGrid w:val="0"/>
      <w:spacing w:line="360" w:lineRule="auto"/>
      <w:ind w:firstLine="200" w:firstLineChars="200"/>
      <w:jc w:val="left"/>
      <w:textAlignment w:val="baseline"/>
    </w:pPr>
    <w:rPr>
      <w:kern w:val="0"/>
      <w:sz w:val="28"/>
    </w:rPr>
  </w:style>
  <w:style w:type="character" w:customStyle="1" w:styleId="338">
    <w:name w:val="ln1"/>
    <w:uiPriority w:val="0"/>
    <w:rPr>
      <w:rFonts w:hint="default" w:ascii="_x000B__x000C_" w:hAnsi="_x000B__x000C_"/>
      <w:color w:val="000000"/>
      <w:sz w:val="28"/>
      <w:szCs w:val="28"/>
      <w:u w:val="none"/>
    </w:rPr>
  </w:style>
  <w:style w:type="character" w:customStyle="1" w:styleId="339">
    <w:name w:val="style1"/>
    <w:uiPriority w:val="0"/>
    <w:rPr>
      <w:rFonts w:hint="default" w:ascii="Arial" w:hAnsi="Arial" w:cs="Arial"/>
      <w:sz w:val="18"/>
      <w:szCs w:val="18"/>
    </w:rPr>
  </w:style>
  <w:style w:type="character" w:customStyle="1" w:styleId="340">
    <w:name w:val="14p1"/>
    <w:uiPriority w:val="0"/>
    <w:rPr>
      <w:sz w:val="21"/>
      <w:szCs w:val="21"/>
    </w:rPr>
  </w:style>
  <w:style w:type="character" w:customStyle="1" w:styleId="341">
    <w:name w:val="样式41"/>
    <w:uiPriority w:val="0"/>
    <w:rPr>
      <w:color w:val="313D42"/>
    </w:rPr>
  </w:style>
  <w:style w:type="character" w:customStyle="1" w:styleId="342">
    <w:name w:val="f_heading1"/>
    <w:uiPriority w:val="0"/>
  </w:style>
  <w:style w:type="character" w:customStyle="1" w:styleId="343">
    <w:name w:val="font11"/>
    <w:uiPriority w:val="0"/>
    <w:rPr>
      <w:rFonts w:hint="default" w:ascii="Times New Roman" w:hAnsi="Times New Roman" w:cs="Times New Roman"/>
      <w:color w:val="000000"/>
      <w:sz w:val="21"/>
      <w:szCs w:val="21"/>
      <w:u w:val="none"/>
    </w:rPr>
  </w:style>
  <w:style w:type="character" w:customStyle="1" w:styleId="344">
    <w:name w:val="表格文字 Char"/>
    <w:link w:val="345"/>
    <w:uiPriority w:val="0"/>
    <w:rPr>
      <w:rFonts w:eastAsia="仿宋_GB2312"/>
      <w:sz w:val="24"/>
    </w:rPr>
  </w:style>
  <w:style w:type="paragraph" w:customStyle="1" w:styleId="345">
    <w:name w:val="表格文字"/>
    <w:basedOn w:val="1"/>
    <w:link w:val="344"/>
    <w:qFormat/>
    <w:uiPriority w:val="0"/>
    <w:pPr>
      <w:autoSpaceDE w:val="0"/>
      <w:autoSpaceDN w:val="0"/>
      <w:adjustRightInd w:val="0"/>
      <w:spacing w:before="60" w:after="60"/>
      <w:jc w:val="center"/>
      <w:textAlignment w:val="bottom"/>
    </w:pPr>
    <w:rPr>
      <w:rFonts w:eastAsia="仿宋_GB2312"/>
      <w:kern w:val="0"/>
      <w:sz w:val="24"/>
      <w:szCs w:val="20"/>
    </w:rPr>
  </w:style>
  <w:style w:type="character" w:customStyle="1" w:styleId="346">
    <w:name w:val="texd1"/>
    <w:uiPriority w:val="0"/>
    <w:rPr>
      <w:rFonts w:hint="default" w:ascii="_x000B__x000C_" w:hAnsi="_x000B__x000C_"/>
      <w:sz w:val="20"/>
      <w:szCs w:val="20"/>
    </w:rPr>
  </w:style>
  <w:style w:type="character" w:customStyle="1" w:styleId="347">
    <w:name w:val="zi1"/>
    <w:uiPriority w:val="0"/>
    <w:rPr>
      <w:color w:val="000000"/>
      <w:sz w:val="18"/>
      <w:szCs w:val="18"/>
    </w:rPr>
  </w:style>
  <w:style w:type="character" w:customStyle="1" w:styleId="348">
    <w:name w:val="style191"/>
    <w:uiPriority w:val="0"/>
    <w:rPr>
      <w:sz w:val="16"/>
      <w:szCs w:val="16"/>
    </w:rPr>
  </w:style>
  <w:style w:type="character" w:customStyle="1" w:styleId="349">
    <w:name w:val="tit2"/>
    <w:uiPriority w:val="0"/>
    <w:rPr>
      <w:rFonts w:hint="default" w:ascii="_x001A_" w:hAnsi="_x001A_"/>
      <w:b/>
      <w:bCs/>
      <w:sz w:val="48"/>
      <w:szCs w:val="48"/>
    </w:rPr>
  </w:style>
  <w:style w:type="character" w:customStyle="1" w:styleId="350">
    <w:name w:val="真·表头 字符"/>
    <w:uiPriority w:val="0"/>
    <w:rPr>
      <w:rFonts w:ascii="Times New Roman" w:hAnsi="Times New Roman" w:eastAsia="宋体" w:cs="Times New Roman"/>
      <w:b/>
      <w:kern w:val="2"/>
      <w:sz w:val="21"/>
      <w:szCs w:val="30"/>
    </w:rPr>
  </w:style>
  <w:style w:type="character" w:customStyle="1" w:styleId="351">
    <w:name w:val="题注 Char Char1 Char Char Char Char C"/>
    <w:uiPriority w:val="0"/>
    <w:rPr>
      <w:rFonts w:ascii="Arial" w:hAnsi="Arial" w:eastAsia="宋体" w:cs="Arial"/>
      <w:kern w:val="2"/>
      <w:sz w:val="24"/>
      <w:szCs w:val="24"/>
      <w:lang w:val="en-US" w:eastAsia="zh-CN" w:bidi="ar-SA"/>
    </w:rPr>
  </w:style>
  <w:style w:type="character" w:customStyle="1" w:styleId="352">
    <w:name w:val="ttitle1"/>
    <w:uiPriority w:val="0"/>
    <w:rPr>
      <w:spacing w:val="120"/>
      <w:sz w:val="21"/>
      <w:szCs w:val="21"/>
    </w:rPr>
  </w:style>
  <w:style w:type="character" w:customStyle="1" w:styleId="353">
    <w:name w:val="正文01 Char"/>
    <w:link w:val="354"/>
    <w:locked/>
    <w:uiPriority w:val="0"/>
    <w:rPr>
      <w:rFonts w:ascii="Arial" w:hAnsi="Arial"/>
      <w:kern w:val="2"/>
      <w:sz w:val="24"/>
      <w:szCs w:val="24"/>
    </w:rPr>
  </w:style>
  <w:style w:type="paragraph" w:customStyle="1" w:styleId="354">
    <w:name w:val="正文01"/>
    <w:basedOn w:val="1"/>
    <w:link w:val="353"/>
    <w:uiPriority w:val="0"/>
    <w:pPr>
      <w:spacing w:before="60" w:line="460" w:lineRule="exact"/>
      <w:ind w:firstLine="200" w:firstLineChars="200"/>
    </w:pPr>
    <w:rPr>
      <w:rFonts w:ascii="Arial" w:hAnsi="Arial"/>
      <w:sz w:val="24"/>
    </w:rPr>
  </w:style>
  <w:style w:type="character" w:customStyle="1" w:styleId="355">
    <w:name w:val="style41"/>
    <w:uiPriority w:val="0"/>
    <w:rPr>
      <w:b/>
      <w:bCs/>
      <w:color w:val="CC0000"/>
    </w:rPr>
  </w:style>
  <w:style w:type="character" w:customStyle="1" w:styleId="356">
    <w:name w:val="table"/>
    <w:uiPriority w:val="0"/>
  </w:style>
  <w:style w:type="character" w:customStyle="1" w:styleId="357">
    <w:name w:val="样式2 Char"/>
    <w:link w:val="358"/>
    <w:locked/>
    <w:uiPriority w:val="0"/>
  </w:style>
  <w:style w:type="paragraph" w:customStyle="1" w:styleId="358">
    <w:name w:val="样式2"/>
    <w:basedOn w:val="1"/>
    <w:link w:val="357"/>
    <w:qFormat/>
    <w:uiPriority w:val="0"/>
    <w:rPr>
      <w:kern w:val="0"/>
      <w:sz w:val="20"/>
      <w:szCs w:val="20"/>
    </w:rPr>
  </w:style>
  <w:style w:type="character" w:customStyle="1" w:styleId="359">
    <w:name w:val="headline-content"/>
    <w:uiPriority w:val="0"/>
    <w:rPr>
      <w:sz w:val="24"/>
      <w:szCs w:val="24"/>
    </w:rPr>
  </w:style>
  <w:style w:type="character" w:customStyle="1" w:styleId="360">
    <w:name w:val="apple-converted-space"/>
    <w:qFormat/>
    <w:uiPriority w:val="0"/>
  </w:style>
  <w:style w:type="character" w:customStyle="1" w:styleId="361">
    <w:name w:val="样式 宋体 四号 加粗"/>
    <w:uiPriority w:val="0"/>
    <w:rPr>
      <w:rFonts w:ascii="宋体" w:hAnsi="宋体"/>
      <w:b/>
      <w:bCs/>
      <w:sz w:val="28"/>
    </w:rPr>
  </w:style>
  <w:style w:type="character" w:customStyle="1" w:styleId="362">
    <w:name w:val="p101"/>
    <w:uiPriority w:val="0"/>
    <w:rPr>
      <w:rFonts w:hint="default" w:ascii="Verdana" w:hAnsi="Verdana"/>
      <w:sz w:val="21"/>
      <w:szCs w:val="21"/>
      <w:u w:val="none"/>
    </w:rPr>
  </w:style>
  <w:style w:type="character" w:customStyle="1" w:styleId="363">
    <w:name w:val="unnamed11"/>
    <w:uiPriority w:val="0"/>
    <w:rPr>
      <w:spacing w:val="340"/>
      <w:sz w:val="30"/>
      <w:szCs w:val="30"/>
    </w:rPr>
  </w:style>
  <w:style w:type="character" w:customStyle="1" w:styleId="364">
    <w:name w:val="fcc正文 Char"/>
    <w:link w:val="365"/>
    <w:uiPriority w:val="0"/>
    <w:rPr>
      <w:rFonts w:ascii="Calibri" w:hAnsi="Calibri"/>
      <w:kern w:val="2"/>
      <w:sz w:val="24"/>
    </w:rPr>
  </w:style>
  <w:style w:type="paragraph" w:customStyle="1" w:styleId="365">
    <w:name w:val="fcc正文"/>
    <w:basedOn w:val="1"/>
    <w:link w:val="364"/>
    <w:uiPriority w:val="0"/>
    <w:pPr>
      <w:spacing w:line="360" w:lineRule="auto"/>
      <w:ind w:firstLine="200" w:firstLineChars="200"/>
    </w:pPr>
    <w:rPr>
      <w:rFonts w:ascii="Calibri" w:hAnsi="Calibri"/>
      <w:sz w:val="24"/>
      <w:szCs w:val="20"/>
    </w:rPr>
  </w:style>
  <w:style w:type="character" w:customStyle="1" w:styleId="366">
    <w:name w:val="style71"/>
    <w:uiPriority w:val="0"/>
    <w:rPr>
      <w:rFonts w:hint="eastAsia" w:ascii="MingLiU" w:hAnsi="MingLiU" w:eastAsia="MingLiU"/>
    </w:rPr>
  </w:style>
  <w:style w:type="character" w:customStyle="1" w:styleId="367">
    <w:name w:val="段落文字 Char"/>
    <w:uiPriority w:val="0"/>
    <w:rPr>
      <w:rFonts w:ascii="宋体" w:hAnsi="宋体" w:eastAsia="宋体"/>
      <w:kern w:val="2"/>
      <w:sz w:val="24"/>
      <w:szCs w:val="24"/>
      <w:lang w:val="en-US" w:eastAsia="zh-CN" w:bidi="ar-SA"/>
    </w:rPr>
  </w:style>
  <w:style w:type="character" w:customStyle="1" w:styleId="368">
    <w:name w:val="真·标题 Char"/>
    <w:link w:val="369"/>
    <w:qFormat/>
    <w:uiPriority w:val="0"/>
    <w:rPr>
      <w:rFonts w:eastAsia="黑体"/>
      <w:kern w:val="2"/>
      <w:sz w:val="24"/>
      <w:szCs w:val="22"/>
    </w:rPr>
  </w:style>
  <w:style w:type="paragraph" w:customStyle="1" w:styleId="369">
    <w:name w:val="真·标题"/>
    <w:link w:val="368"/>
    <w:qFormat/>
    <w:uiPriority w:val="0"/>
    <w:pPr>
      <w:adjustRightInd w:val="0"/>
      <w:snapToGrid w:val="0"/>
      <w:spacing w:line="360" w:lineRule="auto"/>
      <w:ind w:firstLine="200" w:firstLineChars="200"/>
      <w:jc w:val="both"/>
    </w:pPr>
    <w:rPr>
      <w:rFonts w:ascii="Times New Roman" w:hAnsi="Times New Roman" w:eastAsia="黑体" w:cs="Times New Roman"/>
      <w:kern w:val="2"/>
      <w:sz w:val="24"/>
      <w:szCs w:val="22"/>
      <w:lang w:val="en-US" w:eastAsia="zh-CN" w:bidi="ar-SA"/>
    </w:rPr>
  </w:style>
  <w:style w:type="character" w:customStyle="1" w:styleId="370">
    <w:name w:val="style31"/>
    <w:uiPriority w:val="0"/>
    <w:rPr>
      <w:b/>
      <w:bCs/>
      <w:color w:val="009999"/>
    </w:rPr>
  </w:style>
  <w:style w:type="character" w:customStyle="1" w:styleId="371">
    <w:name w:val="结束语 字符1"/>
    <w:semiHidden/>
    <w:uiPriority w:val="99"/>
    <w:rPr>
      <w:kern w:val="2"/>
      <w:sz w:val="21"/>
      <w:szCs w:val="22"/>
    </w:rPr>
  </w:style>
  <w:style w:type="character" w:customStyle="1" w:styleId="372">
    <w:name w:val="表格内文字 Char"/>
    <w:link w:val="373"/>
    <w:uiPriority w:val="0"/>
    <w:rPr>
      <w:rFonts w:eastAsia="仿宋_GB2312"/>
      <w:kern w:val="2"/>
      <w:sz w:val="24"/>
      <w:szCs w:val="24"/>
    </w:rPr>
  </w:style>
  <w:style w:type="paragraph" w:customStyle="1" w:styleId="373">
    <w:name w:val="表格内文字"/>
    <w:basedOn w:val="1"/>
    <w:link w:val="372"/>
    <w:uiPriority w:val="0"/>
    <w:pPr>
      <w:tabs>
        <w:tab w:val="left" w:pos="0"/>
      </w:tabs>
      <w:adjustRightInd w:val="0"/>
      <w:snapToGrid w:val="0"/>
      <w:jc w:val="center"/>
    </w:pPr>
    <w:rPr>
      <w:rFonts w:eastAsia="仿宋_GB2312"/>
      <w:sz w:val="24"/>
    </w:rPr>
  </w:style>
  <w:style w:type="character" w:customStyle="1" w:styleId="374">
    <w:name w:val="德胜正文 Char"/>
    <w:link w:val="375"/>
    <w:uiPriority w:val="0"/>
    <w:rPr>
      <w:color w:val="0000FF"/>
      <w:sz w:val="24"/>
    </w:rPr>
  </w:style>
  <w:style w:type="paragraph" w:customStyle="1" w:styleId="375">
    <w:name w:val="德胜正文"/>
    <w:basedOn w:val="1"/>
    <w:link w:val="374"/>
    <w:uiPriority w:val="0"/>
    <w:pPr>
      <w:adjustRightInd w:val="0"/>
      <w:snapToGrid w:val="0"/>
      <w:spacing w:line="360" w:lineRule="auto"/>
      <w:ind w:firstLine="200" w:firstLineChars="200"/>
    </w:pPr>
    <w:rPr>
      <w:color w:val="0000FF"/>
      <w:kern w:val="0"/>
      <w:sz w:val="24"/>
      <w:szCs w:val="20"/>
    </w:rPr>
  </w:style>
  <w:style w:type="character" w:customStyle="1" w:styleId="376">
    <w:name w:val="图表标题 Char"/>
    <w:uiPriority w:val="0"/>
    <w:rPr>
      <w:rFonts w:ascii="黑体" w:eastAsia="黑体"/>
      <w:kern w:val="2"/>
      <w:sz w:val="21"/>
      <w:szCs w:val="21"/>
      <w:lang w:val="en-US" w:eastAsia="zh-CN" w:bidi="ar-SA"/>
    </w:rPr>
  </w:style>
  <w:style w:type="character" w:customStyle="1" w:styleId="377">
    <w:name w:val="哈喽 Char"/>
    <w:link w:val="378"/>
    <w:uiPriority w:val="0"/>
    <w:rPr>
      <w:rFonts w:ascii="宋体" w:hAnsi="宋体"/>
      <w:kern w:val="28"/>
      <w:sz w:val="28"/>
      <w:szCs w:val="28"/>
    </w:rPr>
  </w:style>
  <w:style w:type="paragraph" w:customStyle="1" w:styleId="378">
    <w:name w:val="哈喽"/>
    <w:basedOn w:val="1"/>
    <w:link w:val="377"/>
    <w:uiPriority w:val="0"/>
    <w:pPr>
      <w:spacing w:line="360" w:lineRule="auto"/>
      <w:ind w:firstLine="200" w:firstLineChars="200"/>
      <w:jc w:val="left"/>
    </w:pPr>
    <w:rPr>
      <w:rFonts w:ascii="宋体" w:hAnsi="宋体"/>
      <w:kern w:val="28"/>
      <w:sz w:val="28"/>
      <w:szCs w:val="28"/>
    </w:rPr>
  </w:style>
  <w:style w:type="character" w:customStyle="1" w:styleId="379">
    <w:name w:val="text_edit editable-title"/>
    <w:uiPriority w:val="0"/>
  </w:style>
  <w:style w:type="character" w:customStyle="1" w:styleId="380">
    <w:name w:val="style131"/>
    <w:uiPriority w:val="0"/>
    <w:rPr>
      <w:rFonts w:hint="eastAsia" w:ascii="宋体" w:hAnsi="宋体" w:eastAsia="宋体"/>
      <w:sz w:val="24"/>
      <w:szCs w:val="24"/>
    </w:rPr>
  </w:style>
  <w:style w:type="character" w:customStyle="1" w:styleId="381">
    <w:name w:val="样式 四号"/>
    <w:uiPriority w:val="0"/>
    <w:rPr>
      <w:rFonts w:ascii="Arial" w:hAnsi="Arial" w:cs="Verdana"/>
      <w:b/>
      <w:sz w:val="28"/>
      <w:szCs w:val="24"/>
      <w:lang w:val="en-US" w:eastAsia="en-US" w:bidi="ar-SA"/>
    </w:rPr>
  </w:style>
  <w:style w:type="character" w:customStyle="1" w:styleId="382">
    <w:name w:val="正文段落（缩进） Char"/>
    <w:link w:val="383"/>
    <w:semiHidden/>
    <w:uiPriority w:val="0"/>
    <w:rPr>
      <w:rFonts w:ascii="宋体"/>
      <w:sz w:val="24"/>
      <w:szCs w:val="24"/>
    </w:rPr>
  </w:style>
  <w:style w:type="paragraph" w:customStyle="1" w:styleId="383">
    <w:name w:val="正文段落（缩进）"/>
    <w:basedOn w:val="1"/>
    <w:next w:val="1"/>
    <w:link w:val="382"/>
    <w:semiHidden/>
    <w:uiPriority w:val="0"/>
    <w:pPr>
      <w:adjustRightInd w:val="0"/>
      <w:snapToGrid w:val="0"/>
      <w:spacing w:line="360" w:lineRule="auto"/>
      <w:ind w:firstLine="200" w:firstLineChars="200"/>
      <w:jc w:val="left"/>
    </w:pPr>
    <w:rPr>
      <w:rFonts w:ascii="宋体"/>
      <w:kern w:val="0"/>
      <w:sz w:val="24"/>
    </w:rPr>
  </w:style>
  <w:style w:type="character" w:customStyle="1" w:styleId="384">
    <w:name w:val="报告 Char Char"/>
    <w:uiPriority w:val="0"/>
    <w:rPr>
      <w:rFonts w:ascii="TimesNewRoman" w:hAnsi="TimesNewRoman"/>
      <w:sz w:val="24"/>
    </w:rPr>
  </w:style>
  <w:style w:type="character" w:customStyle="1" w:styleId="385">
    <w:name w:val="p15"/>
    <w:uiPriority w:val="0"/>
  </w:style>
  <w:style w:type="character" w:customStyle="1" w:styleId="386">
    <w:name w:val="标准文本 首行缩进: 2 字符 行距: 单倍 Char"/>
    <w:link w:val="387"/>
    <w:uiPriority w:val="0"/>
    <w:rPr>
      <w:rFonts w:cs="宋体"/>
      <w:kern w:val="2"/>
      <w:sz w:val="24"/>
      <w:szCs w:val="24"/>
    </w:rPr>
  </w:style>
  <w:style w:type="paragraph" w:customStyle="1" w:styleId="387">
    <w:name w:val="标准文本 首行缩进: 2 字符 行距: 单倍"/>
    <w:basedOn w:val="1"/>
    <w:link w:val="386"/>
    <w:uiPriority w:val="0"/>
    <w:pPr>
      <w:adjustRightInd w:val="0"/>
      <w:snapToGrid w:val="0"/>
      <w:ind w:firstLine="480" w:firstLineChars="200"/>
      <w:textAlignment w:val="baseline"/>
    </w:pPr>
    <w:rPr>
      <w:rFonts w:cs="宋体"/>
      <w:sz w:val="24"/>
    </w:rPr>
  </w:style>
  <w:style w:type="character" w:customStyle="1" w:styleId="388">
    <w:name w:val="样式 报告 + 加粗 下划线"/>
    <w:uiPriority w:val="0"/>
    <w:rPr>
      <w:b/>
      <w:u w:val="single"/>
    </w:rPr>
  </w:style>
  <w:style w:type="character" w:customStyle="1" w:styleId="389">
    <w:name w:val="报告表格 Char Char"/>
    <w:uiPriority w:val="0"/>
    <w:rPr>
      <w:rFonts w:ascii="Times New Roman" w:hAnsi="Times New Roman" w:eastAsia="宋体" w:cs="Times New Roman"/>
      <w:kern w:val="0"/>
      <w:sz w:val="24"/>
      <w:szCs w:val="20"/>
    </w:rPr>
  </w:style>
  <w:style w:type="character" w:customStyle="1" w:styleId="390">
    <w:name w:val="样式 小四"/>
    <w:qFormat/>
    <w:uiPriority w:val="0"/>
    <w:rPr>
      <w:sz w:val="24"/>
    </w:rPr>
  </w:style>
  <w:style w:type="character" w:customStyle="1" w:styleId="391">
    <w:name w:val="正文（行首缩进2字） Char"/>
    <w:link w:val="392"/>
    <w:uiPriority w:val="0"/>
    <w:rPr>
      <w:kern w:val="2"/>
      <w:sz w:val="24"/>
      <w:szCs w:val="24"/>
    </w:rPr>
  </w:style>
  <w:style w:type="paragraph" w:customStyle="1" w:styleId="392">
    <w:name w:val="正文（行首缩进2字）"/>
    <w:basedOn w:val="1"/>
    <w:link w:val="391"/>
    <w:uiPriority w:val="0"/>
    <w:pPr>
      <w:spacing w:line="360" w:lineRule="auto"/>
      <w:ind w:firstLine="200" w:firstLineChars="200"/>
    </w:pPr>
    <w:rPr>
      <w:sz w:val="24"/>
    </w:rPr>
  </w:style>
  <w:style w:type="character" w:customStyle="1" w:styleId="393">
    <w:name w:val="h31"/>
    <w:uiPriority w:val="0"/>
    <w:rPr>
      <w:sz w:val="21"/>
      <w:szCs w:val="21"/>
    </w:rPr>
  </w:style>
  <w:style w:type="character" w:customStyle="1" w:styleId="394">
    <w:name w:val="font61"/>
    <w:qFormat/>
    <w:uiPriority w:val="0"/>
    <w:rPr>
      <w:rFonts w:hint="eastAsia" w:ascii="宋体" w:hAnsi="宋体" w:eastAsia="宋体" w:cs="宋体"/>
      <w:color w:val="003366"/>
      <w:sz w:val="20"/>
      <w:szCs w:val="20"/>
      <w:u w:val="none"/>
    </w:rPr>
  </w:style>
  <w:style w:type="character" w:customStyle="1" w:styleId="395">
    <w:name w:val="word16b1"/>
    <w:uiPriority w:val="0"/>
    <w:rPr>
      <w:rFonts w:hint="default" w:ascii="Arial" w:hAnsi="Arial" w:cs="Arial"/>
      <w:b/>
      <w:bCs/>
      <w:spacing w:val="15"/>
      <w:sz w:val="24"/>
      <w:szCs w:val="24"/>
    </w:rPr>
  </w:style>
  <w:style w:type="character" w:customStyle="1" w:styleId="396">
    <w:name w:val="正文样式 Char"/>
    <w:uiPriority w:val="0"/>
    <w:rPr>
      <w:rFonts w:ascii="宋体" w:hAnsi="宋体" w:eastAsia="宋体"/>
      <w:kern w:val="2"/>
      <w:sz w:val="24"/>
      <w:szCs w:val="24"/>
      <w:lang w:val="en-US" w:eastAsia="zh-CN" w:bidi="ar-SA"/>
    </w:rPr>
  </w:style>
  <w:style w:type="character" w:customStyle="1" w:styleId="397">
    <w:name w:val="正文—标准条文 Char"/>
    <w:link w:val="398"/>
    <w:uiPriority w:val="0"/>
    <w:rPr>
      <w:rFonts w:ascii="宋体" w:hAnsi="宋体"/>
      <w:kern w:val="2"/>
      <w:sz w:val="21"/>
    </w:rPr>
  </w:style>
  <w:style w:type="paragraph" w:customStyle="1" w:styleId="398">
    <w:name w:val="正文—标准条文"/>
    <w:basedOn w:val="1"/>
    <w:link w:val="397"/>
    <w:uiPriority w:val="0"/>
    <w:pPr>
      <w:ind w:firstLine="200" w:firstLineChars="200"/>
      <w:jc w:val="left"/>
      <w:outlineLvl w:val="6"/>
    </w:pPr>
    <w:rPr>
      <w:rFonts w:ascii="宋体" w:hAnsi="宋体"/>
      <w:szCs w:val="20"/>
    </w:rPr>
  </w:style>
  <w:style w:type="character" w:customStyle="1" w:styleId="399">
    <w:name w:val="纯文本 Char"/>
    <w:qFormat/>
    <w:uiPriority w:val="0"/>
    <w:rPr>
      <w:rFonts w:ascii="宋体" w:hAnsi="Courier New" w:eastAsia="宋体" w:cs="Courier New"/>
      <w:szCs w:val="21"/>
    </w:rPr>
  </w:style>
  <w:style w:type="character" w:customStyle="1" w:styleId="400">
    <w:name w:val="表格文字2 Char"/>
    <w:link w:val="401"/>
    <w:uiPriority w:val="0"/>
    <w:rPr>
      <w:szCs w:val="21"/>
    </w:rPr>
  </w:style>
  <w:style w:type="paragraph" w:customStyle="1" w:styleId="401">
    <w:name w:val="表格文字2"/>
    <w:basedOn w:val="1"/>
    <w:link w:val="400"/>
    <w:uiPriority w:val="0"/>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402">
    <w:name w:val="排版正文 Char"/>
    <w:link w:val="403"/>
    <w:uiPriority w:val="0"/>
    <w:rPr>
      <w:color w:val="000000"/>
      <w:kern w:val="2"/>
      <w:sz w:val="26"/>
      <w:szCs w:val="24"/>
    </w:rPr>
  </w:style>
  <w:style w:type="paragraph" w:customStyle="1" w:styleId="403">
    <w:name w:val="排版正文"/>
    <w:basedOn w:val="1"/>
    <w:link w:val="402"/>
    <w:uiPriority w:val="0"/>
    <w:pPr>
      <w:adjustRightInd w:val="0"/>
      <w:snapToGrid w:val="0"/>
      <w:spacing w:line="480" w:lineRule="exact"/>
      <w:ind w:firstLine="520" w:firstLineChars="200"/>
    </w:pPr>
    <w:rPr>
      <w:color w:val="000000"/>
      <w:sz w:val="26"/>
    </w:rPr>
  </w:style>
  <w:style w:type="character" w:customStyle="1" w:styleId="404">
    <w:name w:val="表题 Char"/>
    <w:link w:val="405"/>
    <w:uiPriority w:val="0"/>
    <w:rPr>
      <w:bCs/>
      <w:kern w:val="44"/>
      <w:sz w:val="24"/>
    </w:rPr>
  </w:style>
  <w:style w:type="paragraph" w:customStyle="1" w:styleId="405">
    <w:name w:val="表题"/>
    <w:basedOn w:val="24"/>
    <w:next w:val="406"/>
    <w:link w:val="404"/>
    <w:uiPriority w:val="0"/>
    <w:pPr>
      <w:widowControl w:val="0"/>
      <w:adjustRightInd w:val="0"/>
      <w:snapToGrid/>
      <w:spacing w:before="0" w:after="0" w:line="240" w:lineRule="auto"/>
      <w:ind w:right="0"/>
      <w:jc w:val="center"/>
    </w:pPr>
    <w:rPr>
      <w:bCs/>
      <w:kern w:val="44"/>
      <w:sz w:val="24"/>
    </w:rPr>
  </w:style>
  <w:style w:type="paragraph" w:customStyle="1" w:styleId="406">
    <w:name w:val="表文"/>
    <w:basedOn w:val="1"/>
    <w:uiPriority w:val="0"/>
    <w:pPr>
      <w:adjustRightInd w:val="0"/>
      <w:snapToGrid w:val="0"/>
      <w:spacing w:line="160" w:lineRule="atLeast"/>
      <w:jc w:val="center"/>
    </w:pPr>
    <w:rPr>
      <w:kern w:val="0"/>
      <w:sz w:val="28"/>
      <w:szCs w:val="20"/>
    </w:rPr>
  </w:style>
  <w:style w:type="character" w:customStyle="1" w:styleId="407">
    <w:name w:val="text1"/>
    <w:uiPriority w:val="0"/>
    <w:rPr>
      <w:sz w:val="21"/>
      <w:szCs w:val="21"/>
    </w:rPr>
  </w:style>
  <w:style w:type="character" w:customStyle="1" w:styleId="408">
    <w:name w:val="1-正文样式 Char"/>
    <w:link w:val="409"/>
    <w:uiPriority w:val="0"/>
    <w:rPr>
      <w:kern w:val="2"/>
      <w:sz w:val="24"/>
      <w:szCs w:val="24"/>
    </w:rPr>
  </w:style>
  <w:style w:type="paragraph" w:customStyle="1" w:styleId="409">
    <w:name w:val="1-正文样式"/>
    <w:basedOn w:val="1"/>
    <w:link w:val="408"/>
    <w:uiPriority w:val="0"/>
    <w:pPr>
      <w:spacing w:after="50" w:afterLines="50" w:line="360" w:lineRule="auto"/>
      <w:ind w:firstLine="200" w:firstLineChars="200"/>
    </w:pPr>
    <w:rPr>
      <w:sz w:val="24"/>
    </w:rPr>
  </w:style>
  <w:style w:type="character" w:customStyle="1" w:styleId="410">
    <w:name w:val="contentwordstext1"/>
    <w:qFormat/>
    <w:uiPriority w:val="0"/>
    <w:rPr>
      <w:rFonts w:hint="default" w:ascii="ˎ̥" w:hAnsi="ˎ̥"/>
      <w:sz w:val="21"/>
      <w:szCs w:val="21"/>
    </w:rPr>
  </w:style>
  <w:style w:type="paragraph" w:customStyle="1" w:styleId="411">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412">
    <w:name w:val="列表1"/>
    <w:uiPriority w:val="0"/>
    <w:pPr>
      <w:adjustRightInd w:val="0"/>
      <w:snapToGrid w:val="0"/>
      <w:jc w:val="both"/>
    </w:pPr>
    <w:rPr>
      <w:rFonts w:ascii="Times New Roman" w:hAnsi="宋体" w:eastAsia="宋体" w:cs="Times New Roman"/>
      <w:kern w:val="2"/>
      <w:sz w:val="21"/>
      <w:szCs w:val="21"/>
      <w:lang w:val="en-US" w:eastAsia="zh-CN" w:bidi="ar-SA"/>
    </w:rPr>
  </w:style>
  <w:style w:type="paragraph" w:customStyle="1" w:styleId="413">
    <w:name w:val=" Char Char3 Char Char"/>
    <w:basedOn w:val="1"/>
    <w:uiPriority w:val="0"/>
    <w:pPr>
      <w:spacing w:line="360" w:lineRule="auto"/>
      <w:ind w:firstLine="200" w:firstLineChars="200"/>
    </w:pPr>
    <w:rPr>
      <w:kern w:val="0"/>
      <w:sz w:val="20"/>
      <w:szCs w:val="20"/>
    </w:rPr>
  </w:style>
  <w:style w:type="paragraph" w:customStyle="1" w:styleId="414">
    <w:name w:val="正文-使用"/>
    <w:basedOn w:val="1"/>
    <w:uiPriority w:val="0"/>
    <w:pPr>
      <w:spacing w:line="360" w:lineRule="auto"/>
      <w:ind w:firstLine="482"/>
    </w:pPr>
    <w:rPr>
      <w:kern w:val="0"/>
      <w:sz w:val="24"/>
      <w:szCs w:val="20"/>
    </w:rPr>
  </w:style>
  <w:style w:type="paragraph" w:customStyle="1" w:styleId="415">
    <w:name w:val="样式 样式1 + 首行缩进:  0.04 厘米"/>
    <w:basedOn w:val="173"/>
    <w:uiPriority w:val="0"/>
    <w:pPr>
      <w:adjustRightInd/>
      <w:spacing w:before="60" w:after="60" w:line="280" w:lineRule="exact"/>
      <w:ind w:firstLine="20"/>
      <w:jc w:val="both"/>
      <w:textAlignment w:val="auto"/>
    </w:pPr>
    <w:rPr>
      <w:rFonts w:ascii="Calibri" w:hAnsi="Calibri" w:eastAsia="宋体" w:cs="Garamond"/>
      <w:b w:val="0"/>
      <w:kern w:val="2"/>
      <w:sz w:val="24"/>
      <w:szCs w:val="24"/>
    </w:rPr>
  </w:style>
  <w:style w:type="paragraph" w:customStyle="1" w:styleId="416">
    <w:name w:val="Char Char Char Char2"/>
    <w:basedOn w:val="1"/>
    <w:uiPriority w:val="0"/>
    <w:rPr>
      <w:kern w:val="0"/>
      <w:sz w:val="20"/>
      <w:szCs w:val="20"/>
    </w:rPr>
  </w:style>
  <w:style w:type="paragraph" w:customStyle="1" w:styleId="417">
    <w:name w:val="2"/>
    <w:basedOn w:val="1"/>
    <w:next w:val="34"/>
    <w:uiPriority w:val="0"/>
    <w:pPr>
      <w:spacing w:line="360" w:lineRule="auto"/>
      <w:ind w:firstLine="600"/>
    </w:pPr>
    <w:rPr>
      <w:rFonts w:ascii="楷体" w:eastAsia="楷体"/>
      <w:kern w:val="0"/>
      <w:sz w:val="28"/>
      <w:szCs w:val="20"/>
    </w:rPr>
  </w:style>
  <w:style w:type="paragraph" w:customStyle="1" w:styleId="418">
    <w:name w:val="附录一级条标题"/>
    <w:basedOn w:val="1"/>
    <w:next w:val="419"/>
    <w:uiPriority w:val="0"/>
    <w:pPr>
      <w:widowControl/>
      <w:tabs>
        <w:tab w:val="left" w:pos="828"/>
      </w:tabs>
      <w:wordWrap w:val="0"/>
      <w:overflowPunct w:val="0"/>
      <w:autoSpaceDE w:val="0"/>
      <w:autoSpaceDN w:val="0"/>
      <w:ind w:left="828" w:hanging="240"/>
      <w:textAlignment w:val="baseline"/>
      <w:outlineLvl w:val="2"/>
    </w:pPr>
    <w:rPr>
      <w:rFonts w:ascii="黑体" w:eastAsia="黑体"/>
      <w:kern w:val="21"/>
      <w:sz w:val="20"/>
      <w:szCs w:val="20"/>
    </w:rPr>
  </w:style>
  <w:style w:type="paragraph" w:customStyle="1" w:styleId="419">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20">
    <w:name w:val="Char Char Char Char Char Char Char Char Char Char Char Char Char Char Char Char Char Char Char Char Char Char"/>
    <w:basedOn w:val="1"/>
    <w:uiPriority w:val="0"/>
    <w:rPr>
      <w:rFonts w:ascii="宋体" w:hAnsi="宋体" w:eastAsia="仿宋_GB2312" w:cs="Courier New"/>
      <w:kern w:val="0"/>
      <w:sz w:val="32"/>
      <w:szCs w:val="32"/>
    </w:rPr>
  </w:style>
  <w:style w:type="paragraph" w:customStyle="1" w:styleId="421">
    <w:name w:val="表biao"/>
    <w:basedOn w:val="1"/>
    <w:uiPriority w:val="0"/>
    <w:pPr>
      <w:wordWrap w:val="0"/>
      <w:adjustRightInd w:val="0"/>
      <w:snapToGrid w:val="0"/>
      <w:spacing w:line="0" w:lineRule="atLeast"/>
      <w:ind w:right="-62"/>
      <w:jc w:val="center"/>
    </w:pPr>
    <w:rPr>
      <w:rFonts w:cs="Garamond"/>
      <w:kern w:val="0"/>
      <w:sz w:val="20"/>
      <w:szCs w:val="20"/>
    </w:rPr>
  </w:style>
  <w:style w:type="paragraph" w:customStyle="1" w:styleId="422">
    <w:name w:val="正文-蓝色"/>
    <w:basedOn w:val="1"/>
    <w:next w:val="1"/>
    <w:uiPriority w:val="0"/>
    <w:pPr>
      <w:spacing w:line="360" w:lineRule="auto"/>
      <w:ind w:firstLine="200" w:firstLineChars="200"/>
    </w:pPr>
    <w:rPr>
      <w:color w:val="0000FF"/>
      <w:kern w:val="0"/>
      <w:sz w:val="24"/>
      <w:szCs w:val="21"/>
    </w:rPr>
  </w:style>
  <w:style w:type="paragraph" w:customStyle="1" w:styleId="423">
    <w:name w:val="ZZY——正文标题3"/>
    <w:basedOn w:val="1"/>
    <w:uiPriority w:val="0"/>
    <w:pPr>
      <w:adjustRightInd w:val="0"/>
      <w:snapToGrid w:val="0"/>
      <w:spacing w:line="360" w:lineRule="auto"/>
    </w:pPr>
    <w:rPr>
      <w:rFonts w:cs="Garamond"/>
      <w:b/>
      <w:bCs/>
      <w:kern w:val="0"/>
      <w:sz w:val="26"/>
      <w:szCs w:val="20"/>
    </w:rPr>
  </w:style>
  <w:style w:type="paragraph" w:customStyle="1" w:styleId="424">
    <w:name w:val="样式 (符号) 宋体 13 磅 行距: 1.5 倍行距"/>
    <w:basedOn w:val="1"/>
    <w:uiPriority w:val="0"/>
    <w:pPr>
      <w:spacing w:line="360" w:lineRule="auto"/>
      <w:ind w:firstLine="520" w:firstLineChars="200"/>
    </w:pPr>
    <w:rPr>
      <w:rFonts w:hAnsi="宋体" w:eastAsia="黑体" w:cs="宋体"/>
      <w:b/>
      <w:kern w:val="0"/>
      <w:sz w:val="26"/>
      <w:szCs w:val="20"/>
    </w:rPr>
  </w:style>
  <w:style w:type="paragraph" w:customStyle="1" w:styleId="425">
    <w:name w:val="样式 样式 样式 宋体 小四 黑色 行距: 固定值 24 磅 + 首行缩进:  2 字符 + Times New Roman ..."/>
    <w:basedOn w:val="1"/>
    <w:uiPriority w:val="0"/>
    <w:pPr>
      <w:spacing w:line="440" w:lineRule="exact"/>
      <w:ind w:firstLine="565" w:firstLineChars="200"/>
    </w:pPr>
    <w:rPr>
      <w:color w:val="000000"/>
      <w:spacing w:val="20"/>
      <w:kern w:val="0"/>
      <w:sz w:val="24"/>
      <w:szCs w:val="20"/>
    </w:rPr>
  </w:style>
  <w:style w:type="paragraph" w:customStyle="1" w:styleId="426">
    <w:name w:val=" Char4"/>
    <w:basedOn w:val="1"/>
    <w:uiPriority w:val="0"/>
    <w:pPr>
      <w:spacing w:line="360" w:lineRule="auto"/>
      <w:ind w:firstLine="200" w:firstLineChars="200"/>
    </w:pPr>
    <w:rPr>
      <w:rFonts w:ascii="宋体" w:hAnsi="宋体" w:cs="宋体"/>
      <w:kern w:val="0"/>
      <w:sz w:val="24"/>
      <w:szCs w:val="20"/>
    </w:rPr>
  </w:style>
  <w:style w:type="paragraph" w:customStyle="1" w:styleId="427">
    <w:name w:val="Char Char Char Char Char Char Char Char Char Char"/>
    <w:basedOn w:val="1"/>
    <w:uiPriority w:val="0"/>
    <w:pPr>
      <w:spacing w:before="300" w:after="300" w:line="560" w:lineRule="exact"/>
    </w:pPr>
    <w:rPr>
      <w:rFonts w:eastAsia="黑体"/>
      <w:kern w:val="0"/>
      <w:sz w:val="36"/>
      <w:szCs w:val="36"/>
    </w:rPr>
  </w:style>
  <w:style w:type="paragraph" w:customStyle="1" w:styleId="428">
    <w:name w:val="样式 样式 环评正文 + (西文) 仿宋_GB2312 (中文) 宋体 10.5 磅 首行缩进:  2 字符 + 首行缩进:  ..."/>
    <w:basedOn w:val="1"/>
    <w:uiPriority w:val="0"/>
    <w:pPr>
      <w:spacing w:line="400" w:lineRule="exact"/>
      <w:ind w:firstLine="200" w:firstLineChars="200"/>
    </w:pPr>
    <w:rPr>
      <w:rFonts w:ascii="仿宋_GB2312" w:hAnsi="仿宋_GB2312"/>
      <w:kern w:val="0"/>
      <w:sz w:val="24"/>
      <w:szCs w:val="20"/>
    </w:rPr>
  </w:style>
  <w:style w:type="paragraph" w:customStyle="1" w:styleId="429">
    <w:name w:val="Char4 Char Char Char"/>
    <w:basedOn w:val="1"/>
    <w:semiHidden/>
    <w:uiPriority w:val="0"/>
    <w:pPr>
      <w:adjustRightInd w:val="0"/>
      <w:snapToGrid w:val="0"/>
      <w:spacing w:line="360" w:lineRule="auto"/>
      <w:ind w:firstLine="200" w:firstLineChars="200"/>
    </w:pPr>
    <w:rPr>
      <w:rFonts w:ascii="宋体" w:hAnsi="宋体" w:cs="宋体"/>
      <w:kern w:val="0"/>
      <w:sz w:val="24"/>
      <w:szCs w:val="26"/>
    </w:rPr>
  </w:style>
  <w:style w:type="paragraph" w:customStyle="1" w:styleId="430">
    <w:name w:val="样式 宋体 小四 首行缩进:  0.69 厘米1"/>
    <w:basedOn w:val="1"/>
    <w:uiPriority w:val="0"/>
    <w:pPr>
      <w:adjustRightInd w:val="0"/>
      <w:snapToGrid w:val="0"/>
      <w:spacing w:line="360" w:lineRule="auto"/>
      <w:ind w:firstLine="260" w:firstLineChars="100"/>
    </w:pPr>
    <w:rPr>
      <w:rFonts w:cs="Garamond"/>
      <w:color w:val="FF0000"/>
      <w:kern w:val="0"/>
      <w:sz w:val="26"/>
      <w:szCs w:val="20"/>
    </w:rPr>
  </w:style>
  <w:style w:type="paragraph" w:customStyle="1" w:styleId="431">
    <w:name w:val="wtext"/>
    <w:basedOn w:val="1"/>
    <w:uiPriority w:val="0"/>
    <w:pPr>
      <w:widowControl/>
      <w:spacing w:before="30" w:after="30" w:line="312" w:lineRule="auto"/>
      <w:ind w:left="30" w:right="30"/>
      <w:jc w:val="left"/>
    </w:pPr>
    <w:rPr>
      <w:rFonts w:ascii="Arial Unicode MS" w:hAnsi="Arial Unicode MS" w:eastAsia="Arial Unicode MS" w:cs="Arial Unicode MS"/>
      <w:kern w:val="0"/>
      <w:sz w:val="24"/>
      <w:szCs w:val="20"/>
    </w:rPr>
  </w:style>
  <w:style w:type="paragraph" w:customStyle="1" w:styleId="432">
    <w:name w:val="news2"/>
    <w:basedOn w:val="1"/>
    <w:uiPriority w:val="0"/>
    <w:pPr>
      <w:widowControl/>
      <w:spacing w:before="100" w:beforeAutospacing="1" w:after="100" w:afterAutospacing="1" w:line="336" w:lineRule="auto"/>
      <w:jc w:val="left"/>
    </w:pPr>
    <w:rPr>
      <w:rFonts w:ascii="Arial Unicode MS" w:hAnsi="Arial Unicode MS" w:eastAsia="Arial Unicode MS" w:cs="Arial Unicode MS"/>
      <w:color w:val="000000"/>
      <w:kern w:val="0"/>
      <w:sz w:val="20"/>
      <w:szCs w:val="21"/>
    </w:rPr>
  </w:style>
  <w:style w:type="paragraph" w:customStyle="1" w:styleId="433">
    <w:name w:val="ZZY——标题1"/>
    <w:basedOn w:val="1"/>
    <w:uiPriority w:val="0"/>
    <w:pPr>
      <w:adjustRightInd w:val="0"/>
      <w:snapToGrid w:val="0"/>
      <w:spacing w:before="156" w:beforeLines="50" w:after="312" w:afterLines="100" w:line="360" w:lineRule="auto"/>
      <w:jc w:val="center"/>
    </w:pPr>
    <w:rPr>
      <w:rFonts w:eastAsia="黑体" w:cs="Garamond"/>
      <w:b/>
      <w:snapToGrid w:val="0"/>
      <w:kern w:val="0"/>
      <w:sz w:val="36"/>
      <w:szCs w:val="20"/>
      <w:shd w:val="clear" w:color="auto" w:fill="FFFFFF"/>
    </w:rPr>
  </w:style>
  <w:style w:type="paragraph" w:customStyle="1" w:styleId="434">
    <w:name w:val="表格标题-7"/>
    <w:basedOn w:val="1"/>
    <w:next w:val="1"/>
    <w:qFormat/>
    <w:uiPriority w:val="0"/>
    <w:pPr>
      <w:adjustRightInd w:val="0"/>
      <w:snapToGrid w:val="0"/>
      <w:spacing w:before="100" w:beforeAutospacing="1" w:after="100" w:afterAutospacing="1" w:line="360" w:lineRule="auto"/>
      <w:ind w:firstLine="1040" w:firstLineChars="200"/>
      <w:jc w:val="center"/>
    </w:pPr>
    <w:rPr>
      <w:b/>
      <w:bCs/>
      <w:kern w:val="0"/>
      <w:sz w:val="24"/>
      <w:szCs w:val="21"/>
    </w:rPr>
  </w:style>
  <w:style w:type="paragraph" w:customStyle="1" w:styleId="435">
    <w:name w:val="三级标题"/>
    <w:basedOn w:val="1"/>
    <w:uiPriority w:val="0"/>
    <w:pPr>
      <w:spacing w:line="520" w:lineRule="exact"/>
    </w:pPr>
    <w:rPr>
      <w:rFonts w:ascii="楷体_GB2312" w:eastAsia="楷体_GB2312"/>
      <w:kern w:val="0"/>
      <w:sz w:val="28"/>
      <w:szCs w:val="20"/>
    </w:rPr>
  </w:style>
  <w:style w:type="paragraph" w:customStyle="1" w:styleId="436">
    <w:name w:val="空一行"/>
    <w:basedOn w:val="1"/>
    <w:uiPriority w:val="0"/>
    <w:pPr>
      <w:spacing w:line="360" w:lineRule="auto"/>
      <w:ind w:firstLine="482" w:firstLineChars="200"/>
      <w:jc w:val="left"/>
    </w:pPr>
    <w:rPr>
      <w:rFonts w:ascii="宋体" w:hAnsi="Courier New" w:cs="Courier New"/>
      <w:kern w:val="0"/>
      <w:sz w:val="24"/>
      <w:szCs w:val="21"/>
    </w:rPr>
  </w:style>
  <w:style w:type="paragraph" w:customStyle="1" w:styleId="437">
    <w:name w:val="君邦正文"/>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438">
    <w:name w:val="一太郎８/９"/>
    <w:uiPriority w:val="0"/>
    <w:pPr>
      <w:widowControl w:val="0"/>
      <w:wordWrap w:val="0"/>
      <w:autoSpaceDE w:val="0"/>
      <w:autoSpaceDN w:val="0"/>
      <w:adjustRightInd w:val="0"/>
      <w:spacing w:line="394" w:lineRule="atLeast"/>
      <w:jc w:val="both"/>
    </w:pPr>
    <w:rPr>
      <w:rFonts w:ascii="MS Mincho" w:hAnsi="Century" w:eastAsia="MS Mincho" w:cs="Times New Roman"/>
      <w:lang w:val="en-US" w:eastAsia="ja-JP" w:bidi="ar-SA"/>
    </w:rPr>
  </w:style>
  <w:style w:type="paragraph" w:customStyle="1" w:styleId="439">
    <w:name w:val="点项目"/>
    <w:uiPriority w:val="0"/>
    <w:pPr>
      <w:widowControl w:val="0"/>
      <w:numPr>
        <w:ilvl w:val="0"/>
        <w:numId w:val="1"/>
      </w:numPr>
      <w:tabs>
        <w:tab w:val="left" w:pos="360"/>
        <w:tab w:val="left" w:pos="1134"/>
      </w:tabs>
      <w:overflowPunct w:val="0"/>
      <w:topLinePunct/>
      <w:autoSpaceDE w:val="0"/>
      <w:adjustRightInd w:val="0"/>
      <w:snapToGrid w:val="0"/>
      <w:spacing w:before="60" w:afterLines="50" w:line="288" w:lineRule="auto"/>
      <w:jc w:val="both"/>
    </w:pPr>
    <w:rPr>
      <w:rFonts w:ascii="Times New Roman" w:hAnsi="Times New Roman" w:eastAsia="宋体" w:cs="Times New Roman"/>
      <w:b/>
      <w:bCs/>
      <w:spacing w:val="16"/>
      <w:kern w:val="2"/>
      <w:sz w:val="24"/>
      <w:lang w:val="en-US" w:eastAsia="zh-CN" w:bidi="ar-SA"/>
    </w:rPr>
  </w:style>
  <w:style w:type="paragraph" w:customStyle="1" w:styleId="440">
    <w:name w:val="样式 宋体 小四 首行缩进:  0.69 厘米"/>
    <w:basedOn w:val="1"/>
    <w:uiPriority w:val="0"/>
    <w:pPr>
      <w:adjustRightInd w:val="0"/>
      <w:snapToGrid w:val="0"/>
      <w:spacing w:line="360" w:lineRule="auto"/>
    </w:pPr>
    <w:rPr>
      <w:rFonts w:cs="Garamond"/>
      <w:snapToGrid w:val="0"/>
      <w:color w:val="000000"/>
      <w:kern w:val="0"/>
      <w:sz w:val="20"/>
      <w:szCs w:val="20"/>
    </w:rPr>
  </w:style>
  <w:style w:type="paragraph" w:customStyle="1" w:styleId="441">
    <w:name w:val="样式 (中文) 仿宋_GB2312 四号 首行缩进:  1.01 厘米 行距: 固定值 22 磅"/>
    <w:basedOn w:val="1"/>
    <w:uiPriority w:val="0"/>
    <w:pPr>
      <w:spacing w:line="440" w:lineRule="exact"/>
      <w:ind w:firstLine="200" w:firstLineChars="200"/>
    </w:pPr>
    <w:rPr>
      <w:rFonts w:eastAsia="仿宋_GB2312" w:cs="宋体"/>
      <w:kern w:val="0"/>
      <w:sz w:val="28"/>
      <w:szCs w:val="20"/>
    </w:rPr>
  </w:style>
  <w:style w:type="paragraph" w:customStyle="1" w:styleId="442">
    <w:name w:val="样式 标题 21节标题 + 小四 左侧:  0.01 厘米 首行缩进:  2 字符"/>
    <w:basedOn w:val="4"/>
    <w:uiPriority w:val="0"/>
    <w:pPr>
      <w:numPr>
        <w:ilvl w:val="1"/>
        <w:numId w:val="0"/>
      </w:numPr>
      <w:tabs>
        <w:tab w:val="left" w:pos="0"/>
      </w:tabs>
      <w:spacing w:before="120" w:beforeLines="50" w:after="0" w:line="360" w:lineRule="auto"/>
    </w:pPr>
    <w:rPr>
      <w:rFonts w:ascii="宋体" w:hAnsi="宋体" w:cs="Garamond"/>
      <w:b w:val="0"/>
      <w:w w:val="90"/>
      <w:sz w:val="28"/>
      <w:szCs w:val="28"/>
    </w:rPr>
  </w:style>
  <w:style w:type="paragraph" w:customStyle="1" w:styleId="443">
    <w:name w:val="Char21"/>
    <w:basedOn w:val="1"/>
    <w:uiPriority w:val="0"/>
    <w:pPr>
      <w:ind w:firstLine="200" w:firstLineChars="200"/>
    </w:pPr>
    <w:rPr>
      <w:kern w:val="0"/>
      <w:sz w:val="24"/>
      <w:szCs w:val="20"/>
    </w:rPr>
  </w:style>
  <w:style w:type="paragraph" w:customStyle="1" w:styleId="444">
    <w:name w:val="yz"/>
    <w:basedOn w:val="24"/>
    <w:uiPriority w:val="0"/>
    <w:pPr>
      <w:widowControl w:val="0"/>
      <w:tabs>
        <w:tab w:val="left" w:pos="900"/>
      </w:tabs>
      <w:adjustRightInd w:val="0"/>
      <w:snapToGrid/>
      <w:spacing w:before="0" w:after="0" w:line="240" w:lineRule="auto"/>
      <w:ind w:right="0" w:firstLine="200" w:firstLineChars="200"/>
      <w:textAlignment w:val="baseline"/>
    </w:pPr>
    <w:rPr>
      <w:rFonts w:hint="eastAsia" w:ascii="宋体" w:hAnsi="宋体"/>
      <w:kern w:val="2"/>
      <w:sz w:val="24"/>
    </w:rPr>
  </w:style>
  <w:style w:type="paragraph" w:customStyle="1" w:styleId="445">
    <w:name w:val="ZZY——正文标题2"/>
    <w:basedOn w:val="1"/>
    <w:uiPriority w:val="0"/>
    <w:pPr>
      <w:adjustRightInd w:val="0"/>
      <w:snapToGrid w:val="0"/>
      <w:spacing w:line="360" w:lineRule="auto"/>
    </w:pPr>
    <w:rPr>
      <w:rFonts w:cs="Garamond"/>
      <w:b/>
      <w:bCs/>
      <w:kern w:val="0"/>
      <w:sz w:val="26"/>
      <w:szCs w:val="20"/>
    </w:rPr>
  </w:style>
  <w:style w:type="paragraph" w:customStyle="1" w:styleId="446">
    <w:name w:val="Char1 Char Char Char"/>
    <w:basedOn w:val="1"/>
    <w:uiPriority w:val="0"/>
    <w:pPr>
      <w:widowControl/>
      <w:adjustRightInd w:val="0"/>
      <w:spacing w:after="160" w:line="240" w:lineRule="exact"/>
      <w:jc w:val="left"/>
      <w:textAlignment w:val="baseline"/>
    </w:pPr>
    <w:rPr>
      <w:rFonts w:ascii="Arial" w:hAnsi="Arial" w:eastAsia="Times New Roman" w:cs="Verdana"/>
      <w:b/>
      <w:kern w:val="0"/>
      <w:sz w:val="24"/>
      <w:szCs w:val="20"/>
      <w:lang w:eastAsia="en-US"/>
    </w:rPr>
  </w:style>
  <w:style w:type="paragraph" w:customStyle="1" w:styleId="447">
    <w:name w:val="标题1（每章标题）"/>
    <w:basedOn w:val="1"/>
    <w:next w:val="6"/>
    <w:uiPriority w:val="0"/>
    <w:pPr>
      <w:adjustRightInd w:val="0"/>
      <w:snapToGrid w:val="0"/>
      <w:spacing w:line="360" w:lineRule="auto"/>
      <w:ind w:firstLine="200" w:firstLineChars="200"/>
      <w:jc w:val="center"/>
    </w:pPr>
    <w:rPr>
      <w:rFonts w:hAnsi="宋体" w:eastAsia="黑体"/>
      <w:b/>
      <w:kern w:val="0"/>
      <w:sz w:val="44"/>
      <w:szCs w:val="26"/>
    </w:rPr>
  </w:style>
  <w:style w:type="paragraph" w:customStyle="1" w:styleId="448">
    <w:name w:val="样式 样式 标题1（每章标题） + 图案: 清除 (白色) + 首行缩进:  0 字符"/>
    <w:basedOn w:val="449"/>
    <w:uiPriority w:val="0"/>
    <w:pPr>
      <w:ind w:firstLine="0" w:firstLineChars="0"/>
    </w:pPr>
  </w:style>
  <w:style w:type="paragraph" w:customStyle="1" w:styleId="449">
    <w:name w:val="样式 标题1（每章标题） + 图案: 清除 (白色)"/>
    <w:basedOn w:val="447"/>
    <w:uiPriority w:val="0"/>
    <w:pPr>
      <w:ind w:firstLine="199" w:firstLineChars="45"/>
    </w:pPr>
    <w:rPr>
      <w:rFonts w:cs="宋体"/>
      <w:bCs/>
      <w:szCs w:val="20"/>
      <w:shd w:val="clear" w:color="auto" w:fill="FFFFFF"/>
    </w:rPr>
  </w:style>
  <w:style w:type="paragraph" w:customStyle="1" w:styleId="450">
    <w:name w:val="正文（zha）"/>
    <w:basedOn w:val="1"/>
    <w:uiPriority w:val="0"/>
    <w:pPr>
      <w:adjustRightInd w:val="0"/>
      <w:snapToGrid w:val="0"/>
      <w:spacing w:line="360" w:lineRule="auto"/>
      <w:ind w:firstLine="200" w:firstLineChars="200"/>
      <w:jc w:val="left"/>
    </w:pPr>
    <w:rPr>
      <w:kern w:val="0"/>
      <w:sz w:val="26"/>
      <w:szCs w:val="26"/>
    </w:rPr>
  </w:style>
  <w:style w:type="paragraph" w:customStyle="1" w:styleId="451">
    <w:name w:val="样式 正文（zha） + 首行缩进:  2 字符"/>
    <w:basedOn w:val="450"/>
    <w:uiPriority w:val="0"/>
    <w:pPr>
      <w:topLinePunct/>
      <w:spacing w:line="480" w:lineRule="atLeast"/>
      <w:ind w:firstLine="240" w:firstLineChars="100"/>
    </w:pPr>
    <w:rPr>
      <w:rFonts w:ascii="宋体" w:hAnsi="宋体" w:cs="宋体"/>
      <w:sz w:val="24"/>
      <w:szCs w:val="24"/>
    </w:rPr>
  </w:style>
  <w:style w:type="paragraph" w:customStyle="1" w:styleId="452">
    <w:name w:val="图框"/>
    <w:basedOn w:val="1"/>
    <w:next w:val="1"/>
    <w:uiPriority w:val="0"/>
    <w:pPr>
      <w:spacing w:line="320" w:lineRule="exact"/>
      <w:jc w:val="center"/>
    </w:pPr>
    <w:rPr>
      <w:kern w:val="0"/>
      <w:sz w:val="20"/>
      <w:szCs w:val="21"/>
    </w:rPr>
  </w:style>
  <w:style w:type="paragraph" w:customStyle="1" w:styleId="453">
    <w:name w:val=" Char1 Char Char Char Char Char Char Char Char1 Char Char Char"/>
    <w:basedOn w:val="1"/>
    <w:uiPriority w:val="0"/>
    <w:pPr>
      <w:snapToGrid w:val="0"/>
      <w:spacing w:line="360" w:lineRule="auto"/>
      <w:ind w:firstLine="200" w:firstLineChars="200"/>
    </w:pPr>
    <w:rPr>
      <w:kern w:val="0"/>
      <w:sz w:val="20"/>
      <w:szCs w:val="20"/>
    </w:rPr>
  </w:style>
  <w:style w:type="paragraph" w:customStyle="1" w:styleId="454">
    <w:name w:val="正文文本 22"/>
    <w:basedOn w:val="1"/>
    <w:uiPriority w:val="0"/>
    <w:pPr>
      <w:adjustRightInd w:val="0"/>
      <w:spacing w:after="120" w:line="360" w:lineRule="auto"/>
      <w:jc w:val="left"/>
      <w:textAlignment w:val="baseline"/>
    </w:pPr>
    <w:rPr>
      <w:rFonts w:ascii="宋体" w:hAnsi="宋体"/>
      <w:kern w:val="0"/>
      <w:sz w:val="24"/>
      <w:szCs w:val="20"/>
    </w:rPr>
  </w:style>
  <w:style w:type="paragraph" w:customStyle="1" w:styleId="455">
    <w:name w:val="_Style 4"/>
    <w:basedOn w:val="1"/>
    <w:next w:val="1"/>
    <w:qFormat/>
    <w:uiPriority w:val="0"/>
    <w:pPr>
      <w:jc w:val="center"/>
    </w:pPr>
    <w:rPr>
      <w:iCs/>
      <w:color w:val="000000"/>
      <w:kern w:val="0"/>
      <w:sz w:val="20"/>
      <w:szCs w:val="21"/>
    </w:rPr>
  </w:style>
  <w:style w:type="paragraph" w:customStyle="1" w:styleId="456">
    <w:name w:val="Frame picture"/>
    <w:basedOn w:val="1"/>
    <w:uiPriority w:val="0"/>
    <w:pPr>
      <w:framePr w:w="9072" w:h="6804" w:hRule="exact" w:hSpace="142" w:wrap="notBeside" w:vAnchor="page" w:hAnchor="page" w:xAlign="center" w:y="1010" w:anchorLock="1"/>
      <w:widowControl/>
      <w:spacing w:after="60"/>
      <w:jc w:val="left"/>
    </w:pPr>
    <w:rPr>
      <w:kern w:val="0"/>
      <w:sz w:val="22"/>
      <w:szCs w:val="20"/>
      <w:lang w:val="sv-SE" w:eastAsia="en-US"/>
    </w:rPr>
  </w:style>
  <w:style w:type="paragraph" w:customStyle="1" w:styleId="457">
    <w:name w:val="样式 样式 四号 黑色 + 首行缩进:  2 字符1"/>
    <w:basedOn w:val="458"/>
    <w:uiPriority w:val="0"/>
    <w:pPr>
      <w:spacing w:line="360" w:lineRule="auto"/>
      <w:ind w:firstLine="560"/>
    </w:pPr>
  </w:style>
  <w:style w:type="paragraph" w:customStyle="1" w:styleId="458">
    <w:name w:val="样式 四号 黑色"/>
    <w:basedOn w:val="1"/>
    <w:uiPriority w:val="0"/>
    <w:pPr>
      <w:ind w:firstLine="480" w:firstLineChars="200"/>
    </w:pPr>
    <w:rPr>
      <w:color w:val="000000"/>
      <w:kern w:val="0"/>
      <w:sz w:val="28"/>
      <w:szCs w:val="20"/>
    </w:rPr>
  </w:style>
  <w:style w:type="paragraph" w:customStyle="1" w:styleId="459">
    <w:name w:val="Char Char Char1 Char Char Char Char Char Char Char Char Char Char Char Char Char Char Char Char"/>
    <w:basedOn w:val="1"/>
    <w:uiPriority w:val="0"/>
    <w:rPr>
      <w:kern w:val="0"/>
      <w:sz w:val="24"/>
      <w:szCs w:val="20"/>
    </w:rPr>
  </w:style>
  <w:style w:type="paragraph" w:customStyle="1" w:styleId="460">
    <w:name w:val="样式2新"/>
    <w:basedOn w:val="4"/>
    <w:next w:val="1"/>
    <w:uiPriority w:val="0"/>
    <w:pPr>
      <w:numPr>
        <w:ilvl w:val="1"/>
        <w:numId w:val="0"/>
      </w:numPr>
      <w:tabs>
        <w:tab w:val="left" w:pos="0"/>
      </w:tabs>
      <w:adjustRightInd w:val="0"/>
      <w:snapToGrid w:val="0"/>
      <w:spacing w:beforeLines="50" w:line="240" w:lineRule="auto"/>
    </w:pPr>
    <w:rPr>
      <w:rFonts w:ascii="Times New Roman" w:hAnsi="Times New Roman"/>
      <w:b w:val="0"/>
      <w:bCs w:val="0"/>
      <w:szCs w:val="20"/>
    </w:rPr>
  </w:style>
  <w:style w:type="paragraph" w:customStyle="1" w:styleId="461">
    <w:name w:val="Char3"/>
    <w:basedOn w:val="1"/>
    <w:uiPriority w:val="0"/>
    <w:rPr>
      <w:kern w:val="0"/>
      <w:sz w:val="20"/>
      <w:szCs w:val="20"/>
    </w:rPr>
  </w:style>
  <w:style w:type="paragraph" w:customStyle="1" w:styleId="462">
    <w:name w:val="Char Char Char3 Char Char Char Char Char Char Char Char Char Char"/>
    <w:basedOn w:val="1"/>
    <w:uiPriority w:val="0"/>
    <w:rPr>
      <w:kern w:val="0"/>
      <w:sz w:val="24"/>
      <w:szCs w:val="20"/>
    </w:rPr>
  </w:style>
  <w:style w:type="paragraph" w:customStyle="1" w:styleId="463">
    <w:name w:val="杨双铭"/>
    <w:basedOn w:val="1"/>
    <w:uiPriority w:val="0"/>
    <w:pPr>
      <w:spacing w:line="480" w:lineRule="exact"/>
      <w:ind w:firstLine="200" w:firstLineChars="200"/>
    </w:pPr>
    <w:rPr>
      <w:rFonts w:eastAsia="Times New Roman" w:cs="宋体"/>
      <w:kern w:val="0"/>
      <w:sz w:val="24"/>
      <w:szCs w:val="20"/>
    </w:rPr>
  </w:style>
  <w:style w:type="paragraph" w:customStyle="1" w:styleId="464">
    <w:name w:val="样式 杨双铭 + 首行缩进:  2 字符"/>
    <w:basedOn w:val="463"/>
    <w:uiPriority w:val="0"/>
    <w:rPr>
      <w:rFonts w:eastAsia="宋体"/>
      <w:szCs w:val="24"/>
    </w:rPr>
  </w:style>
  <w:style w:type="paragraph" w:customStyle="1" w:styleId="465">
    <w:name w:val="样式 标题 3小节标题条标题1.1.1 + 首行缩进:  2 字符"/>
    <w:basedOn w:val="5"/>
    <w:uiPriority w:val="0"/>
    <w:pPr>
      <w:numPr>
        <w:ilvl w:val="2"/>
        <w:numId w:val="0"/>
      </w:numPr>
      <w:tabs>
        <w:tab w:val="left" w:pos="567"/>
      </w:tabs>
      <w:spacing w:before="0" w:after="0" w:line="480" w:lineRule="auto"/>
      <w:ind w:firstLine="561" w:firstLineChars="200"/>
    </w:pPr>
    <w:rPr>
      <w:rFonts w:cs="宋体"/>
      <w:color w:val="000000"/>
      <w:sz w:val="28"/>
      <w:szCs w:val="20"/>
    </w:rPr>
  </w:style>
  <w:style w:type="paragraph" w:customStyle="1" w:styleId="466">
    <w:name w:val="样式 (符号) 宋体 小四 行距: 单倍行距"/>
    <w:basedOn w:val="1"/>
    <w:uiPriority w:val="0"/>
    <w:pPr>
      <w:ind w:firstLine="480" w:firstLineChars="200"/>
    </w:pPr>
    <w:rPr>
      <w:rFonts w:hAnsi="宋体" w:cs="宋体"/>
      <w:kern w:val="0"/>
      <w:sz w:val="24"/>
      <w:szCs w:val="20"/>
    </w:rPr>
  </w:style>
  <w:style w:type="paragraph" w:customStyle="1" w:styleId="467">
    <w:name w:val="Char Char Char Char1"/>
    <w:basedOn w:val="1"/>
    <w:uiPriority w:val="0"/>
    <w:rPr>
      <w:kern w:val="0"/>
      <w:sz w:val="20"/>
      <w:szCs w:val="20"/>
    </w:rPr>
  </w:style>
  <w:style w:type="paragraph" w:customStyle="1" w:styleId="468">
    <w:name w:val="流程图"/>
    <w:basedOn w:val="1"/>
    <w:uiPriority w:val="0"/>
    <w:pPr>
      <w:tabs>
        <w:tab w:val="center" w:pos="0"/>
      </w:tabs>
    </w:pPr>
    <w:rPr>
      <w:rFonts w:eastAsia="楷体_GB2312"/>
      <w:kern w:val="0"/>
      <w:sz w:val="24"/>
      <w:szCs w:val="20"/>
    </w:rPr>
  </w:style>
  <w:style w:type="paragraph" w:customStyle="1" w:styleId="469">
    <w:name w:val="ZZY——正文"/>
    <w:basedOn w:val="1"/>
    <w:uiPriority w:val="0"/>
    <w:pPr>
      <w:adjustRightInd w:val="0"/>
      <w:snapToGrid w:val="0"/>
      <w:spacing w:line="360" w:lineRule="auto"/>
      <w:ind w:firstLine="200" w:firstLineChars="200"/>
    </w:pPr>
    <w:rPr>
      <w:rFonts w:cs="Garamond"/>
      <w:bCs/>
      <w:snapToGrid w:val="0"/>
      <w:kern w:val="0"/>
      <w:sz w:val="26"/>
      <w:szCs w:val="20"/>
    </w:rPr>
  </w:style>
  <w:style w:type="paragraph" w:customStyle="1" w:styleId="470">
    <w:name w:val="样式 正文缩进表格标题 + (中文) 黑体 17.5 磅 加粗"/>
    <w:basedOn w:val="18"/>
    <w:uiPriority w:val="0"/>
    <w:pPr>
      <w:spacing w:line="240" w:lineRule="auto"/>
      <w:ind w:firstLine="420"/>
    </w:pPr>
    <w:rPr>
      <w:rFonts w:ascii="Times New Roman" w:eastAsia="黑体"/>
      <w:b/>
      <w:bCs/>
      <w:color w:val="auto"/>
      <w:kern w:val="2"/>
      <w:sz w:val="44"/>
    </w:rPr>
  </w:style>
  <w:style w:type="paragraph" w:customStyle="1" w:styleId="471">
    <w:name w:val="样式 样式 正文缩进表格标题 + (中文) 黑体 17.5 磅 加粗 + 首行缩进:  2 字符"/>
    <w:basedOn w:val="470"/>
    <w:uiPriority w:val="0"/>
    <w:pPr>
      <w:ind w:firstLine="502"/>
      <w:jc w:val="center"/>
    </w:pPr>
    <w:rPr>
      <w:rFonts w:cs="宋体"/>
      <w:szCs w:val="20"/>
    </w:rPr>
  </w:style>
  <w:style w:type="paragraph" w:customStyle="1" w:styleId="472">
    <w:name w:val="样式 (符号) 宋体 13 磅 行距: 1.5 倍行距1"/>
    <w:basedOn w:val="1"/>
    <w:next w:val="1"/>
    <w:uiPriority w:val="0"/>
    <w:pPr>
      <w:spacing w:line="360" w:lineRule="auto"/>
      <w:ind w:firstLine="520" w:firstLineChars="200"/>
    </w:pPr>
    <w:rPr>
      <w:rFonts w:hAnsi="宋体" w:eastAsia="黑体" w:cs="宋体"/>
      <w:b/>
      <w:kern w:val="0"/>
      <w:sz w:val="44"/>
      <w:szCs w:val="20"/>
    </w:rPr>
  </w:style>
  <w:style w:type="paragraph" w:customStyle="1" w:styleId="473">
    <w:name w:val="Char Char Char Char3"/>
    <w:basedOn w:val="1"/>
    <w:uiPriority w:val="0"/>
    <w:rPr>
      <w:kern w:val="0"/>
      <w:sz w:val="20"/>
      <w:szCs w:val="20"/>
    </w:rPr>
  </w:style>
  <w:style w:type="paragraph" w:customStyle="1" w:styleId="474">
    <w:name w:val="Char4"/>
    <w:basedOn w:val="1"/>
    <w:uiPriority w:val="0"/>
    <w:rPr>
      <w:kern w:val="0"/>
      <w:sz w:val="20"/>
      <w:szCs w:val="20"/>
    </w:rPr>
  </w:style>
  <w:style w:type="paragraph" w:customStyle="1" w:styleId="475">
    <w:name w:val="文本_zxj"/>
    <w:basedOn w:val="1"/>
    <w:uiPriority w:val="0"/>
    <w:pPr>
      <w:spacing w:line="360" w:lineRule="auto"/>
      <w:ind w:firstLine="560"/>
    </w:pPr>
    <w:rPr>
      <w:kern w:val="0"/>
      <w:sz w:val="28"/>
      <w:szCs w:val="20"/>
    </w:rPr>
  </w:style>
  <w:style w:type="paragraph" w:customStyle="1" w:styleId="476">
    <w:name w:val="样式 样式 四号 黑色 + 首行缩进:  2 字符"/>
    <w:uiPriority w:val="0"/>
    <w:pPr>
      <w:spacing w:line="360" w:lineRule="auto"/>
      <w:ind w:firstLine="200" w:firstLineChars="200"/>
    </w:pPr>
    <w:rPr>
      <w:rFonts w:ascii="Times New Roman" w:hAnsi="Times New Roman" w:eastAsia="宋体" w:cs="宋体"/>
      <w:color w:val="000000"/>
      <w:kern w:val="2"/>
      <w:sz w:val="28"/>
      <w:lang w:val="en-US" w:eastAsia="zh-CN" w:bidi="ar-SA"/>
    </w:rPr>
  </w:style>
  <w:style w:type="paragraph" w:customStyle="1" w:styleId="477">
    <w:name w:val="样式 标题 3小标题小节标题标题3H3h33rd level第二层条标题4标题 3 Char标题 3 Cha...1"/>
    <w:basedOn w:val="5"/>
    <w:uiPriority w:val="0"/>
    <w:pPr>
      <w:topLinePunct/>
      <w:spacing w:before="156" w:beforeLines="50" w:after="156" w:afterLines="50" w:line="403" w:lineRule="auto"/>
    </w:pPr>
    <w:rPr>
      <w:rFonts w:cs="宋体"/>
      <w:bCs w:val="0"/>
      <w:sz w:val="28"/>
      <w:szCs w:val="20"/>
    </w:rPr>
  </w:style>
  <w:style w:type="paragraph" w:customStyle="1" w:styleId="478">
    <w:name w:val=" Char Char9 Char Char Char Char Char Char"/>
    <w:basedOn w:val="1"/>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479">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480">
    <w:name w:val=" Char Char Char Char Char Char"/>
    <w:basedOn w:val="1"/>
    <w:uiPriority w:val="0"/>
    <w:rPr>
      <w:kern w:val="0"/>
      <w:sz w:val="24"/>
      <w:szCs w:val="20"/>
    </w:rPr>
  </w:style>
  <w:style w:type="paragraph" w:customStyle="1" w:styleId="481">
    <w:name w:val="+列表1"/>
    <w:basedOn w:val="1"/>
    <w:uiPriority w:val="0"/>
    <w:pPr>
      <w:jc w:val="center"/>
    </w:pPr>
    <w:rPr>
      <w:kern w:val="0"/>
      <w:sz w:val="20"/>
      <w:szCs w:val="21"/>
    </w:rPr>
  </w:style>
  <w:style w:type="paragraph" w:customStyle="1" w:styleId="482">
    <w:name w:val="12"/>
    <w:basedOn w:val="1"/>
    <w:uiPriority w:val="0"/>
    <w:pPr>
      <w:widowControl/>
      <w:spacing w:after="160" w:line="240" w:lineRule="exact"/>
      <w:jc w:val="left"/>
    </w:pPr>
    <w:rPr>
      <w:rFonts w:ascii="仿宋_GB2312" w:hAnsi="Verdana" w:eastAsia="仿宋_GB2312"/>
      <w:b/>
      <w:kern w:val="0"/>
      <w:sz w:val="18"/>
      <w:szCs w:val="18"/>
      <w:lang w:eastAsia="en-US"/>
    </w:rPr>
  </w:style>
  <w:style w:type="paragraph" w:customStyle="1" w:styleId="483">
    <w:name w:val="德胜三级标题"/>
    <w:basedOn w:val="1"/>
    <w:uiPriority w:val="0"/>
    <w:pPr>
      <w:keepNext/>
      <w:keepLines/>
      <w:adjustRightInd w:val="0"/>
      <w:snapToGrid w:val="0"/>
      <w:spacing w:line="360" w:lineRule="auto"/>
      <w:jc w:val="left"/>
      <w:outlineLvl w:val="2"/>
    </w:pPr>
    <w:rPr>
      <w:b/>
      <w:bCs/>
      <w:snapToGrid w:val="0"/>
      <w:color w:val="0000FF"/>
      <w:kern w:val="0"/>
      <w:sz w:val="24"/>
      <w:szCs w:val="20"/>
    </w:rPr>
  </w:style>
  <w:style w:type="paragraph" w:customStyle="1" w:styleId="484">
    <w:name w:val=" Char1 Char Char Char"/>
    <w:basedOn w:val="1"/>
    <w:uiPriority w:val="0"/>
    <w:rPr>
      <w:kern w:val="0"/>
      <w:sz w:val="20"/>
      <w:szCs w:val="20"/>
    </w:rPr>
  </w:style>
  <w:style w:type="paragraph" w:customStyle="1" w:styleId="485">
    <w:name w:val="_Style 13"/>
    <w:basedOn w:val="1"/>
    <w:next w:val="44"/>
    <w:uiPriority w:val="0"/>
    <w:pPr>
      <w:ind w:firstLine="560" w:firstLineChars="200"/>
    </w:pPr>
    <w:rPr>
      <w:kern w:val="0"/>
      <w:sz w:val="28"/>
      <w:szCs w:val="20"/>
    </w:rPr>
  </w:style>
  <w:style w:type="paragraph" w:customStyle="1" w:styleId="486">
    <w:name w:val="样式 正文缩进表格标题 + (中文) 黑体 17.5 磅 加粗 居中 图案: 清除 (白色) 行距: 最小值 12 磅"/>
    <w:basedOn w:val="18"/>
    <w:uiPriority w:val="0"/>
    <w:pPr>
      <w:spacing w:line="240" w:lineRule="atLeast"/>
      <w:ind w:firstLine="0" w:firstLineChars="0"/>
      <w:jc w:val="center"/>
    </w:pPr>
    <w:rPr>
      <w:rFonts w:ascii="Times New Roman" w:eastAsia="黑体" w:cs="宋体"/>
      <w:b/>
      <w:bCs/>
      <w:color w:val="auto"/>
      <w:kern w:val="2"/>
      <w:sz w:val="44"/>
      <w:szCs w:val="20"/>
      <w:shd w:val="clear" w:color="auto" w:fill="FFFFFF"/>
    </w:rPr>
  </w:style>
  <w:style w:type="paragraph" w:customStyle="1" w:styleId="487">
    <w:name w:val="样式 报告表正文 + 首行缩进:  2 字符"/>
    <w:basedOn w:val="312"/>
    <w:uiPriority w:val="0"/>
    <w:pPr>
      <w:spacing w:line="360" w:lineRule="auto"/>
      <w:ind w:firstLine="480" w:firstLineChars="200"/>
      <w:jc w:val="both"/>
      <w:textAlignment w:val="auto"/>
    </w:pPr>
    <w:rPr>
      <w:szCs w:val="24"/>
    </w:rPr>
  </w:style>
  <w:style w:type="paragraph" w:customStyle="1" w:styleId="488">
    <w:name w:val=" Char1"/>
    <w:basedOn w:val="1"/>
    <w:uiPriority w:val="0"/>
    <w:pPr>
      <w:ind w:left="510"/>
    </w:pPr>
    <w:rPr>
      <w:kern w:val="0"/>
      <w:sz w:val="20"/>
      <w:szCs w:val="22"/>
    </w:rPr>
  </w:style>
  <w:style w:type="paragraph" w:customStyle="1" w:styleId="489">
    <w:name w:val="xl42"/>
    <w:basedOn w:val="1"/>
    <w:uiPriority w:val="0"/>
    <w:pPr>
      <w:widowControl/>
      <w:spacing w:before="100" w:beforeAutospacing="1" w:after="100" w:afterAutospacing="1"/>
      <w:jc w:val="left"/>
      <w:textAlignment w:val="center"/>
    </w:pPr>
    <w:rPr>
      <w:kern w:val="0"/>
      <w:sz w:val="24"/>
      <w:szCs w:val="20"/>
    </w:rPr>
  </w:style>
  <w:style w:type="paragraph" w:customStyle="1" w:styleId="490">
    <w:name w:val="xl43"/>
    <w:basedOn w:val="1"/>
    <w:uiPriority w:val="0"/>
    <w:pPr>
      <w:widowControl/>
      <w:spacing w:before="100" w:beforeAutospacing="1" w:after="100" w:afterAutospacing="1"/>
      <w:jc w:val="left"/>
      <w:textAlignment w:val="center"/>
    </w:pPr>
    <w:rPr>
      <w:rFonts w:ascii="宋体" w:hAnsi="宋体"/>
      <w:kern w:val="0"/>
      <w:sz w:val="24"/>
      <w:szCs w:val="20"/>
    </w:rPr>
  </w:style>
  <w:style w:type="paragraph" w:customStyle="1" w:styleId="491">
    <w:name w:val="xl56"/>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492">
    <w:name w:val=" Char Char Char Char Char Char Char"/>
    <w:basedOn w:val="1"/>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93">
    <w:name w:val="表头00000"/>
    <w:basedOn w:val="1"/>
    <w:next w:val="195"/>
    <w:uiPriority w:val="0"/>
    <w:pPr>
      <w:adjustRightInd w:val="0"/>
      <w:spacing w:line="240" w:lineRule="atLeast"/>
      <w:jc w:val="center"/>
      <w:textAlignment w:val="baseline"/>
    </w:pPr>
    <w:rPr>
      <w:rFonts w:ascii="黑体" w:hAnsi="黑体" w:eastAsia="黑体"/>
      <w:kern w:val="0"/>
      <w:sz w:val="24"/>
      <w:szCs w:val="20"/>
    </w:rPr>
  </w:style>
  <w:style w:type="paragraph" w:customStyle="1" w:styleId="494">
    <w:name w:val="表头4"/>
    <w:basedOn w:val="1"/>
    <w:uiPriority w:val="0"/>
    <w:pPr>
      <w:tabs>
        <w:tab w:val="left" w:pos="420"/>
        <w:tab w:val="left" w:pos="2345"/>
      </w:tabs>
      <w:adjustRightInd w:val="0"/>
      <w:snapToGrid w:val="0"/>
      <w:spacing w:before="240" w:beforeLines="100" w:after="120" w:afterLines="50" w:line="240" w:lineRule="atLeast"/>
      <w:ind w:left="1330" w:hanging="425"/>
      <w:jc w:val="center"/>
    </w:pPr>
    <w:rPr>
      <w:b/>
      <w:kern w:val="0"/>
      <w:sz w:val="24"/>
      <w:szCs w:val="20"/>
    </w:rPr>
  </w:style>
  <w:style w:type="paragraph" w:customStyle="1" w:styleId="495">
    <w:name w:val="OIC1 Address"/>
    <w:basedOn w:val="1"/>
    <w:uiPriority w:val="0"/>
    <w:pPr>
      <w:tabs>
        <w:tab w:val="left" w:pos="1440"/>
      </w:tabs>
      <w:jc w:val="center"/>
    </w:pPr>
    <w:rPr>
      <w:rFonts w:ascii="Arial" w:hAnsi="Arial"/>
      <w:color w:val="000080"/>
      <w:kern w:val="0"/>
      <w:sz w:val="20"/>
      <w:szCs w:val="20"/>
    </w:rPr>
  </w:style>
  <w:style w:type="paragraph" w:customStyle="1" w:styleId="496">
    <w:name w:val="xl23"/>
    <w:basedOn w:val="1"/>
    <w:uiPriority w:val="0"/>
    <w:pPr>
      <w:widowControl/>
      <w:pBdr>
        <w:left w:val="single" w:color="auto" w:sz="4" w:space="0"/>
        <w:bottom w:val="single" w:color="auto" w:sz="4" w:space="0"/>
        <w:right w:val="single" w:color="auto" w:sz="4" w:space="0"/>
      </w:pBdr>
      <w:spacing w:before="100" w:beforeAutospacing="1" w:after="100" w:afterAutospacing="1" w:line="500" w:lineRule="exact"/>
      <w:jc w:val="center"/>
      <w:textAlignment w:val="center"/>
    </w:pPr>
    <w:rPr>
      <w:rFonts w:ascii="Arial Unicode MS" w:hAnsi="Arial Unicode MS" w:eastAsia="Arial Unicode MS"/>
      <w:kern w:val="0"/>
      <w:sz w:val="24"/>
      <w:szCs w:val="20"/>
    </w:rPr>
  </w:style>
  <w:style w:type="paragraph" w:customStyle="1" w:styleId="497">
    <w:name w:val="表样式"/>
    <w:basedOn w:val="1"/>
    <w:uiPriority w:val="0"/>
    <w:pPr>
      <w:jc w:val="center"/>
    </w:pPr>
    <w:rPr>
      <w:rFonts w:hint="eastAsia" w:ascii="仿宋_GB2312" w:eastAsia="黑体"/>
      <w:kern w:val="0"/>
      <w:sz w:val="20"/>
      <w:szCs w:val="20"/>
    </w:rPr>
  </w:style>
  <w:style w:type="paragraph" w:customStyle="1" w:styleId="498">
    <w:name w:val="样式 正文文本 + 红色"/>
    <w:basedOn w:val="24"/>
    <w:uiPriority w:val="0"/>
    <w:pPr>
      <w:widowControl w:val="0"/>
      <w:adjustRightInd w:val="0"/>
      <w:spacing w:after="60" w:line="264" w:lineRule="auto"/>
      <w:ind w:right="0" w:firstLine="200" w:firstLineChars="200"/>
      <w:textAlignment w:val="baseline"/>
    </w:pPr>
    <w:rPr>
      <w:rFonts w:eastAsia="仿宋_GB2312"/>
      <w:snapToGrid w:val="0"/>
      <w:color w:val="FF0000"/>
      <w:sz w:val="24"/>
      <w:szCs w:val="24"/>
    </w:rPr>
  </w:style>
  <w:style w:type="paragraph" w:customStyle="1" w:styleId="499">
    <w:name w:val="_Style 498"/>
    <w:basedOn w:val="3"/>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00">
    <w:name w:val="表格段落1"/>
    <w:basedOn w:val="1"/>
    <w:uiPriority w:val="0"/>
    <w:pPr>
      <w:snapToGrid w:val="0"/>
      <w:spacing w:line="240" w:lineRule="atLeast"/>
    </w:pPr>
    <w:rPr>
      <w:kern w:val="0"/>
      <w:sz w:val="24"/>
      <w:szCs w:val="20"/>
    </w:rPr>
  </w:style>
  <w:style w:type="paragraph" w:customStyle="1" w:styleId="501">
    <w:name w:val="报告书"/>
    <w:basedOn w:val="1"/>
    <w:uiPriority w:val="0"/>
    <w:pPr>
      <w:adjustRightInd w:val="0"/>
      <w:spacing w:line="360" w:lineRule="auto"/>
      <w:ind w:firstLine="505"/>
      <w:jc w:val="left"/>
      <w:textAlignment w:val="baseline"/>
    </w:pPr>
    <w:rPr>
      <w:kern w:val="24"/>
      <w:sz w:val="24"/>
      <w:szCs w:val="20"/>
    </w:rPr>
  </w:style>
  <w:style w:type="paragraph" w:customStyle="1" w:styleId="502">
    <w:name w:val="xl73"/>
    <w:basedOn w:val="1"/>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32"/>
      <w:szCs w:val="32"/>
    </w:rPr>
  </w:style>
  <w:style w:type="paragraph" w:customStyle="1" w:styleId="503">
    <w:name w:val="图标题1"/>
    <w:basedOn w:val="1"/>
    <w:uiPriority w:val="0"/>
    <w:pPr>
      <w:tabs>
        <w:tab w:val="left" w:pos="1819"/>
      </w:tabs>
      <w:adjustRightInd w:val="0"/>
      <w:snapToGrid w:val="0"/>
      <w:spacing w:line="0" w:lineRule="atLeast"/>
      <w:jc w:val="center"/>
    </w:pPr>
    <w:rPr>
      <w:snapToGrid w:val="0"/>
      <w:kern w:val="0"/>
      <w:sz w:val="20"/>
      <w:szCs w:val="20"/>
    </w:rPr>
  </w:style>
  <w:style w:type="paragraph" w:customStyle="1" w:styleId="504">
    <w:name w:val="样式 标题 4 + 小四"/>
    <w:basedOn w:val="6"/>
    <w:uiPriority w:val="0"/>
    <w:pPr>
      <w:tabs>
        <w:tab w:val="clear" w:pos="960"/>
        <w:tab w:val="clear" w:pos="2269"/>
      </w:tabs>
      <w:adjustRightInd/>
      <w:spacing w:before="280" w:after="290" w:line="376" w:lineRule="auto"/>
      <w:ind w:left="0" w:firstLine="0"/>
      <w:jc w:val="both"/>
      <w:textAlignment w:val="auto"/>
    </w:pPr>
    <w:rPr>
      <w:rFonts w:ascii="Arial" w:hAnsi="Arial"/>
      <w:kern w:val="2"/>
    </w:rPr>
  </w:style>
  <w:style w:type="paragraph" w:customStyle="1" w:styleId="505">
    <w:name w:val="报告1"/>
    <w:basedOn w:val="8"/>
    <w:uiPriority w:val="0"/>
    <w:pPr>
      <w:snapToGrid w:val="0"/>
      <w:jc w:val="both"/>
    </w:pPr>
    <w:rPr>
      <w:rFonts w:ascii="宋体" w:hAnsi="宋体"/>
      <w:color w:val="0000FF"/>
      <w:kern w:val="24"/>
      <w:szCs w:val="24"/>
    </w:rPr>
  </w:style>
  <w:style w:type="paragraph" w:customStyle="1" w:styleId="506">
    <w:name w:val="font10"/>
    <w:basedOn w:val="1"/>
    <w:uiPriority w:val="0"/>
    <w:pPr>
      <w:widowControl/>
      <w:spacing w:before="100" w:beforeAutospacing="1" w:after="100" w:afterAutospacing="1"/>
      <w:jc w:val="left"/>
    </w:pPr>
    <w:rPr>
      <w:kern w:val="0"/>
      <w:sz w:val="24"/>
      <w:szCs w:val="20"/>
    </w:rPr>
  </w:style>
  <w:style w:type="paragraph" w:customStyle="1" w:styleId="507">
    <w:name w:val="样式 Times 四号 行距: 固定值 24 磅1"/>
    <w:basedOn w:val="1"/>
    <w:uiPriority w:val="0"/>
    <w:pPr>
      <w:spacing w:line="480" w:lineRule="exact"/>
      <w:ind w:firstLine="200" w:firstLineChars="200"/>
    </w:pPr>
    <w:rPr>
      <w:rFonts w:ascii="Times" w:hAnsi="Times" w:cs="宋体"/>
      <w:spacing w:val="14"/>
      <w:kern w:val="20"/>
      <w:sz w:val="28"/>
      <w:szCs w:val="20"/>
    </w:rPr>
  </w:style>
  <w:style w:type="paragraph" w:customStyle="1" w:styleId="508">
    <w:name w:val="正文3"/>
    <w:basedOn w:val="203"/>
    <w:uiPriority w:val="0"/>
    <w:pPr>
      <w:ind w:left="567" w:hanging="340"/>
    </w:pPr>
  </w:style>
  <w:style w:type="paragraph" w:customStyle="1" w:styleId="509">
    <w:name w:val="ttxt"/>
    <w:basedOn w:val="1"/>
    <w:uiPriority w:val="0"/>
    <w:pPr>
      <w:widowControl/>
      <w:spacing w:before="100" w:beforeAutospacing="1" w:after="100" w:afterAutospacing="1"/>
      <w:jc w:val="left"/>
    </w:pPr>
    <w:rPr>
      <w:rFonts w:ascii="宋体" w:hAnsi="宋体"/>
      <w:kern w:val="0"/>
      <w:sz w:val="24"/>
      <w:szCs w:val="20"/>
    </w:rPr>
  </w:style>
  <w:style w:type="paragraph" w:customStyle="1" w:styleId="510">
    <w:name w:val="样式 样式 标题 2 + 段前: 0.5 行4 + 段前: 0.5 行"/>
    <w:basedOn w:val="1"/>
    <w:uiPriority w:val="0"/>
    <w:pPr>
      <w:tabs>
        <w:tab w:val="left" w:pos="540"/>
      </w:tabs>
      <w:adjustRightInd w:val="0"/>
      <w:spacing w:before="163" w:line="360" w:lineRule="auto"/>
      <w:ind w:left="567" w:hanging="540"/>
      <w:outlineLvl w:val="1"/>
    </w:pPr>
    <w:rPr>
      <w:rFonts w:eastAsia="黑体" w:cs="宋体"/>
      <w:kern w:val="0"/>
      <w:sz w:val="24"/>
      <w:szCs w:val="20"/>
    </w:rPr>
  </w:style>
  <w:style w:type="paragraph" w:customStyle="1" w:styleId="511">
    <w:name w:val="表内字"/>
    <w:basedOn w:val="1"/>
    <w:uiPriority w:val="0"/>
    <w:pPr>
      <w:spacing w:line="320" w:lineRule="exact"/>
      <w:jc w:val="center"/>
    </w:pPr>
    <w:rPr>
      <w:rFonts w:eastAsia="楷体_GB2312"/>
      <w:kern w:val="0"/>
      <w:sz w:val="20"/>
      <w:szCs w:val="20"/>
    </w:rPr>
  </w:style>
  <w:style w:type="paragraph" w:customStyle="1" w:styleId="512">
    <w:name w:val="xl60"/>
    <w:basedOn w:val="1"/>
    <w:uiPriority w:val="0"/>
    <w:pPr>
      <w:widowControl/>
      <w:pBdr>
        <w:left w:val="single" w:color="auto" w:sz="8" w:space="0"/>
        <w:right w:val="single" w:color="auto" w:sz="4" w:space="0"/>
      </w:pBdr>
      <w:spacing w:before="100" w:after="100"/>
      <w:jc w:val="center"/>
      <w:textAlignment w:val="top"/>
    </w:pPr>
    <w:rPr>
      <w:kern w:val="0"/>
      <w:sz w:val="24"/>
      <w:szCs w:val="20"/>
    </w:rPr>
  </w:style>
  <w:style w:type="paragraph" w:customStyle="1" w:styleId="513">
    <w:name w:val="表格2"/>
    <w:basedOn w:val="1"/>
    <w:uiPriority w:val="0"/>
    <w:pPr>
      <w:spacing w:line="400" w:lineRule="exact"/>
      <w:jc w:val="center"/>
    </w:pPr>
    <w:rPr>
      <w:kern w:val="0"/>
      <w:sz w:val="20"/>
      <w:szCs w:val="21"/>
    </w:rPr>
  </w:style>
  <w:style w:type="paragraph" w:customStyle="1" w:styleId="514">
    <w:name w:val="样式 标题 2第一层条H2h2 + 左侧:  0 厘米 首行缩进:  0 厘米"/>
    <w:basedOn w:val="4"/>
    <w:uiPriority w:val="0"/>
    <w:pPr>
      <w:tabs>
        <w:tab w:val="left" w:pos="737"/>
      </w:tabs>
      <w:adjustRightInd w:val="0"/>
      <w:snapToGrid w:val="0"/>
      <w:spacing w:before="120" w:beforeLines="50" w:after="0" w:line="360" w:lineRule="auto"/>
      <w:ind w:left="737" w:hanging="737"/>
      <w:jc w:val="left"/>
      <w:textAlignment w:val="baseline"/>
    </w:pPr>
    <w:rPr>
      <w:rFonts w:ascii="Times New Roman" w:hAnsi="Arial" w:cs="宋体"/>
      <w:kern w:val="32"/>
      <w:szCs w:val="20"/>
    </w:rPr>
  </w:style>
  <w:style w:type="paragraph" w:customStyle="1" w:styleId="515">
    <w:name w:val="政府正文"/>
    <w:basedOn w:val="1"/>
    <w:uiPriority w:val="0"/>
    <w:pPr>
      <w:adjustRightInd w:val="0"/>
      <w:snapToGrid w:val="0"/>
      <w:spacing w:line="360" w:lineRule="auto"/>
      <w:ind w:firstLine="600" w:firstLineChars="200"/>
    </w:pPr>
    <w:rPr>
      <w:rFonts w:ascii="仿宋_GB2312" w:eastAsia="仿宋_GB2312"/>
      <w:kern w:val="0"/>
      <w:sz w:val="30"/>
      <w:szCs w:val="28"/>
    </w:rPr>
  </w:style>
  <w:style w:type="paragraph" w:customStyle="1" w:styleId="516">
    <w:name w:val="edri-title secong"/>
    <w:basedOn w:val="1"/>
    <w:uiPriority w:val="0"/>
    <w:pPr>
      <w:tabs>
        <w:tab w:val="left" w:pos="2"/>
        <w:tab w:val="left" w:pos="945"/>
      </w:tabs>
      <w:spacing w:before="50" w:beforeLines="50" w:line="300" w:lineRule="auto"/>
      <w:ind w:left="966" w:hanging="964"/>
      <w:outlineLvl w:val="1"/>
    </w:pPr>
    <w:rPr>
      <w:rFonts w:ascii="Arial Narrow" w:hAnsi="Arial Narrow"/>
      <w:b/>
      <w:bCs/>
      <w:kern w:val="0"/>
      <w:sz w:val="28"/>
      <w:szCs w:val="20"/>
    </w:rPr>
  </w:style>
  <w:style w:type="paragraph" w:customStyle="1" w:styleId="517">
    <w:name w:val="項目:(一)[a]1.[a](1)[a]"/>
    <w:basedOn w:val="1"/>
    <w:uiPriority w:val="0"/>
    <w:pPr>
      <w:spacing w:line="320" w:lineRule="atLeast"/>
      <w:ind w:left="1038" w:firstLine="448"/>
    </w:pPr>
    <w:rPr>
      <w:rFonts w:eastAsia="MingLiU"/>
      <w:kern w:val="0"/>
      <w:sz w:val="22"/>
      <w:szCs w:val="20"/>
      <w:lang w:eastAsia="zh-TW"/>
    </w:rPr>
  </w:style>
  <w:style w:type="paragraph" w:customStyle="1" w:styleId="518">
    <w:name w:val="1."/>
    <w:basedOn w:val="1"/>
    <w:uiPriority w:val="0"/>
    <w:pPr>
      <w:snapToGrid w:val="0"/>
      <w:spacing w:line="360" w:lineRule="auto"/>
      <w:ind w:left="1820" w:hanging="323"/>
    </w:pPr>
    <w:rPr>
      <w:rFonts w:ascii="DFKai-SB" w:hAnsi="Wingdings" w:eastAsia="DFKai-SB"/>
      <w:kern w:val="0"/>
      <w:sz w:val="28"/>
      <w:szCs w:val="20"/>
      <w:lang w:eastAsia="zh-TW"/>
    </w:rPr>
  </w:style>
  <w:style w:type="paragraph" w:customStyle="1" w:styleId="519">
    <w:name w:val=" Char4 Char Char Char Char Char Char Char Char Char Char Char Char Char Char Char Char Char1 Char"/>
    <w:basedOn w:val="1"/>
    <w:uiPriority w:val="0"/>
    <w:pPr>
      <w:spacing w:line="240" w:lineRule="exact"/>
      <w:ind w:firstLine="200" w:firstLineChars="200"/>
    </w:pPr>
    <w:rPr>
      <w:kern w:val="0"/>
      <w:sz w:val="28"/>
      <w:szCs w:val="28"/>
    </w:rPr>
  </w:style>
  <w:style w:type="paragraph" w:customStyle="1" w:styleId="520">
    <w:name w:val="xl47"/>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521">
    <w:name w:val="图文"/>
    <w:basedOn w:val="1"/>
    <w:uiPriority w:val="0"/>
    <w:pPr>
      <w:autoSpaceDE w:val="0"/>
      <w:autoSpaceDN w:val="0"/>
      <w:spacing w:afterLines="50" w:line="280" w:lineRule="exact"/>
      <w:ind w:firstLineChars="200"/>
      <w:jc w:val="center"/>
      <w:outlineLvl w:val="1"/>
    </w:pPr>
    <w:rPr>
      <w:rFonts w:eastAsia="仿宋_GB2312"/>
      <w:kern w:val="0"/>
      <w:sz w:val="20"/>
      <w:szCs w:val="20"/>
    </w:rPr>
  </w:style>
  <w:style w:type="paragraph" w:customStyle="1" w:styleId="522">
    <w:name w:val="正文文字1"/>
    <w:basedOn w:val="1"/>
    <w:uiPriority w:val="0"/>
    <w:pPr>
      <w:spacing w:line="360" w:lineRule="auto"/>
      <w:ind w:firstLine="480" w:firstLineChars="200"/>
    </w:pPr>
    <w:rPr>
      <w:rFonts w:ascii="宋体"/>
      <w:kern w:val="0"/>
      <w:sz w:val="24"/>
      <w:szCs w:val="20"/>
    </w:rPr>
  </w:style>
  <w:style w:type="paragraph" w:customStyle="1" w:styleId="523">
    <w:name w:val="表前文字"/>
    <w:basedOn w:val="1"/>
    <w:uiPriority w:val="0"/>
    <w:pPr>
      <w:jc w:val="center"/>
    </w:pPr>
    <w:rPr>
      <w:kern w:val="0"/>
      <w:sz w:val="24"/>
      <w:szCs w:val="20"/>
    </w:rPr>
  </w:style>
  <w:style w:type="paragraph" w:customStyle="1" w:styleId="524">
    <w:name w:val="样式 标题 3小标题小节标题标题3H3h33rd level第二层条标题4标题 3 Char标题 3 Cha..."/>
    <w:basedOn w:val="5"/>
    <w:uiPriority w:val="0"/>
    <w:pPr>
      <w:topLinePunct/>
      <w:snapToGrid w:val="0"/>
      <w:spacing w:before="120" w:beforeLines="50" w:after="120" w:afterLines="50" w:line="360" w:lineRule="auto"/>
      <w:textAlignment w:val="baseline"/>
    </w:pPr>
    <w:rPr>
      <w:rFonts w:cs="宋体"/>
      <w:kern w:val="32"/>
      <w:szCs w:val="20"/>
    </w:rPr>
  </w:style>
  <w:style w:type="paragraph" w:customStyle="1" w:styleId="525">
    <w:name w:val="xl70"/>
    <w:basedOn w:val="1"/>
    <w:uiPriority w:val="0"/>
    <w:pPr>
      <w:widowControl/>
      <w:pBdr>
        <w:bottom w:val="single" w:color="auto" w:sz="8" w:space="0"/>
      </w:pBdr>
      <w:spacing w:before="100" w:beforeAutospacing="1" w:after="100" w:afterAutospacing="1"/>
      <w:jc w:val="left"/>
    </w:pPr>
    <w:rPr>
      <w:rFonts w:ascii="宋体" w:hAnsi="宋体"/>
      <w:kern w:val="0"/>
      <w:sz w:val="32"/>
      <w:szCs w:val="32"/>
    </w:rPr>
  </w:style>
  <w:style w:type="paragraph" w:customStyle="1" w:styleId="526">
    <w:name w:val="样式 标题 3小标题小节标题H3h33rd level第二层条标题4标题 3 Char标题 3 Char Ch...2"/>
    <w:basedOn w:val="5"/>
    <w:uiPriority w:val="0"/>
    <w:pPr>
      <w:tabs>
        <w:tab w:val="left" w:pos="709"/>
        <w:tab w:val="left" w:pos="851"/>
      </w:tabs>
      <w:topLinePunct/>
      <w:snapToGrid w:val="0"/>
      <w:spacing w:before="120" w:beforeLines="50" w:after="120" w:afterLines="50" w:line="360" w:lineRule="auto"/>
      <w:ind w:left="709" w:hanging="709"/>
      <w:textAlignment w:val="baseline"/>
    </w:pPr>
    <w:rPr>
      <w:rFonts w:ascii="Arial" w:hAnsi="Arial" w:cs="Arial"/>
      <w:bCs w:val="0"/>
      <w:color w:val="0000FF"/>
      <w:kern w:val="32"/>
      <w:sz w:val="24"/>
      <w:szCs w:val="20"/>
    </w:rPr>
  </w:style>
  <w:style w:type="paragraph" w:customStyle="1" w:styleId="527">
    <w:name w:val="样式 标题 2 + 段前: 6 磅"/>
    <w:basedOn w:val="4"/>
    <w:uiPriority w:val="0"/>
    <w:pPr>
      <w:keepNext w:val="0"/>
      <w:keepLines w:val="0"/>
      <w:numPr>
        <w:ilvl w:val="1"/>
        <w:numId w:val="5"/>
      </w:numPr>
      <w:tabs>
        <w:tab w:val="left" w:pos="450"/>
        <w:tab w:val="left" w:pos="737"/>
      </w:tabs>
      <w:adjustRightInd w:val="0"/>
      <w:snapToGrid w:val="0"/>
      <w:spacing w:before="120" w:beforeLines="50" w:after="0" w:line="360" w:lineRule="auto"/>
      <w:ind w:left="567" w:hanging="567"/>
      <w:jc w:val="left"/>
    </w:pPr>
    <w:rPr>
      <w:rFonts w:ascii="Times New Roman" w:hAnsi="Times New Roman" w:cs="宋体"/>
      <w:b w:val="0"/>
      <w:sz w:val="24"/>
      <w:szCs w:val="20"/>
    </w:rPr>
  </w:style>
  <w:style w:type="paragraph" w:customStyle="1" w:styleId="528">
    <w:name w:val="th1"/>
    <w:basedOn w:val="1"/>
    <w:uiPriority w:val="0"/>
    <w:pPr>
      <w:widowControl/>
      <w:spacing w:before="100" w:beforeAutospacing="1" w:after="100" w:afterAutospacing="1"/>
      <w:jc w:val="left"/>
    </w:pPr>
    <w:rPr>
      <w:rFonts w:ascii="宋体" w:hAnsi="宋体"/>
      <w:kern w:val="0"/>
      <w:sz w:val="24"/>
      <w:szCs w:val="20"/>
    </w:rPr>
  </w:style>
  <w:style w:type="paragraph" w:customStyle="1" w:styleId="529">
    <w:name w:val="xl74"/>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32"/>
      <w:szCs w:val="32"/>
    </w:rPr>
  </w:style>
  <w:style w:type="paragraph" w:customStyle="1" w:styleId="530">
    <w:name w:val="xl67"/>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16"/>
      <w:szCs w:val="16"/>
    </w:rPr>
  </w:style>
  <w:style w:type="paragraph" w:customStyle="1" w:styleId="531">
    <w:name w:val="xl55"/>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532">
    <w:name w:val="1"/>
    <w:basedOn w:val="1"/>
    <w:next w:val="34"/>
    <w:uiPriority w:val="0"/>
    <w:pPr>
      <w:spacing w:line="360" w:lineRule="auto"/>
    </w:pPr>
    <w:rPr>
      <w:kern w:val="0"/>
      <w:sz w:val="20"/>
      <w:szCs w:val="20"/>
    </w:rPr>
  </w:style>
  <w:style w:type="paragraph" w:customStyle="1" w:styleId="533">
    <w:name w:val="內文縮排 2"/>
    <w:basedOn w:val="18"/>
    <w:uiPriority w:val="0"/>
    <w:pPr>
      <w:spacing w:before="120" w:line="300" w:lineRule="auto"/>
      <w:ind w:left="794" w:firstLine="0" w:firstLineChars="0"/>
    </w:pPr>
    <w:rPr>
      <w:rFonts w:ascii="Arial" w:hAnsi="Arial" w:eastAsia="宋体"/>
      <w:bCs/>
      <w:color w:val="auto"/>
      <w:spacing w:val="20"/>
      <w:kern w:val="2"/>
      <w:sz w:val="24"/>
      <w:szCs w:val="20"/>
      <w:lang w:eastAsia="zh-TW"/>
    </w:rPr>
  </w:style>
  <w:style w:type="paragraph" w:customStyle="1" w:styleId="534">
    <w:name w:val="10"/>
    <w:basedOn w:val="1"/>
    <w:next w:val="1"/>
    <w:uiPriority w:val="0"/>
    <w:pPr>
      <w:autoSpaceDE w:val="0"/>
      <w:autoSpaceDN w:val="0"/>
      <w:adjustRightInd w:val="0"/>
      <w:snapToGrid w:val="0"/>
      <w:spacing w:line="312" w:lineRule="atLeast"/>
    </w:pPr>
    <w:rPr>
      <w:rFonts w:ascii="宋体" w:hAnsi="Tms Rmn"/>
      <w:kern w:val="0"/>
      <w:sz w:val="18"/>
      <w:szCs w:val="20"/>
    </w:rPr>
  </w:style>
  <w:style w:type="paragraph" w:customStyle="1" w:styleId="535">
    <w:name w:val="表2"/>
    <w:basedOn w:val="1"/>
    <w:uiPriority w:val="0"/>
    <w:pPr>
      <w:adjustRightInd w:val="0"/>
      <w:snapToGrid w:val="0"/>
      <w:spacing w:line="0" w:lineRule="atLeast"/>
      <w:jc w:val="center"/>
    </w:pPr>
    <w:rPr>
      <w:kern w:val="0"/>
      <w:sz w:val="24"/>
      <w:szCs w:val="20"/>
    </w:rPr>
  </w:style>
  <w:style w:type="paragraph" w:customStyle="1" w:styleId="536">
    <w:name w:val="xl28"/>
    <w:basedOn w:val="1"/>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0"/>
      <w:szCs w:val="21"/>
    </w:rPr>
  </w:style>
  <w:style w:type="paragraph" w:customStyle="1" w:styleId="537">
    <w:name w:val="Title.2"/>
    <w:uiPriority w:val="0"/>
    <w:pPr>
      <w:keepNext/>
      <w:keepLines/>
      <w:spacing w:before="50" w:beforeLines="50" w:after="50" w:afterLines="50"/>
      <w:outlineLvl w:val="1"/>
    </w:pPr>
    <w:rPr>
      <w:rFonts w:ascii="Times New Roman" w:hAnsi="Times New Roman" w:eastAsia="黑体" w:cs="Times New Roman"/>
      <w:sz w:val="28"/>
      <w:lang w:val="en-US" w:eastAsia="zh-CN" w:bidi="ar-SA"/>
    </w:rPr>
  </w:style>
  <w:style w:type="paragraph" w:customStyle="1" w:styleId="538">
    <w:name w:val="正文2"/>
    <w:basedOn w:val="1"/>
    <w:uiPriority w:val="0"/>
    <w:pPr>
      <w:autoSpaceDE w:val="0"/>
      <w:autoSpaceDN w:val="0"/>
      <w:spacing w:line="480" w:lineRule="exact"/>
      <w:ind w:left="556"/>
      <w:textAlignment w:val="bottom"/>
    </w:pPr>
    <w:rPr>
      <w:color w:val="000000"/>
      <w:kern w:val="0"/>
      <w:sz w:val="28"/>
      <w:szCs w:val="20"/>
    </w:rPr>
  </w:style>
  <w:style w:type="paragraph" w:customStyle="1" w:styleId="539">
    <w:name w:val="报告书表格"/>
    <w:basedOn w:val="1"/>
    <w:uiPriority w:val="0"/>
    <w:pPr>
      <w:adjustRightInd w:val="0"/>
      <w:spacing w:before="60" w:after="60" w:line="240" w:lineRule="atLeast"/>
      <w:jc w:val="center"/>
      <w:textAlignment w:val="baseline"/>
    </w:pPr>
    <w:rPr>
      <w:kern w:val="0"/>
      <w:sz w:val="20"/>
      <w:szCs w:val="20"/>
    </w:rPr>
  </w:style>
  <w:style w:type="paragraph" w:customStyle="1" w:styleId="540">
    <w:name w:val="Char Char1"/>
    <w:basedOn w:val="1"/>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541">
    <w:name w:val="表格文字1"/>
    <w:basedOn w:val="1"/>
    <w:uiPriority w:val="0"/>
    <w:pPr>
      <w:tabs>
        <w:tab w:val="left" w:pos="0"/>
      </w:tabs>
      <w:autoSpaceDE w:val="0"/>
      <w:autoSpaceDN w:val="0"/>
      <w:adjustRightInd w:val="0"/>
      <w:spacing w:before="60"/>
      <w:ind w:left="57" w:right="57"/>
      <w:jc w:val="center"/>
      <w:textAlignment w:val="baseline"/>
    </w:pPr>
    <w:rPr>
      <w:kern w:val="0"/>
      <w:sz w:val="20"/>
      <w:szCs w:val="20"/>
    </w:rPr>
  </w:style>
  <w:style w:type="paragraph" w:customStyle="1" w:styleId="542">
    <w:name w:val="表题格式"/>
    <w:basedOn w:val="1"/>
    <w:uiPriority w:val="0"/>
    <w:pPr>
      <w:spacing w:line="440" w:lineRule="exact"/>
      <w:ind w:firstLine="377" w:firstLineChars="377"/>
    </w:pPr>
    <w:rPr>
      <w:rFonts w:eastAsia="黑体"/>
      <w:kern w:val="0"/>
      <w:sz w:val="24"/>
      <w:szCs w:val="20"/>
    </w:rPr>
  </w:style>
  <w:style w:type="paragraph" w:customStyle="1" w:styleId="543">
    <w:name w:val="标题3（二级标题）"/>
    <w:basedOn w:val="1"/>
    <w:uiPriority w:val="0"/>
    <w:pPr>
      <w:adjustRightInd w:val="0"/>
      <w:snapToGrid w:val="0"/>
      <w:spacing w:line="360" w:lineRule="auto"/>
      <w:jc w:val="left"/>
    </w:pPr>
    <w:rPr>
      <w:rFonts w:hAnsi="宋体"/>
      <w:b/>
      <w:bCs/>
      <w:kern w:val="0"/>
      <w:sz w:val="26"/>
      <w:szCs w:val="26"/>
    </w:rPr>
  </w:style>
  <w:style w:type="paragraph" w:customStyle="1" w:styleId="544">
    <w:name w:val="流程文字"/>
    <w:basedOn w:val="1"/>
    <w:uiPriority w:val="0"/>
    <w:pPr>
      <w:tabs>
        <w:tab w:val="left" w:pos="6480"/>
      </w:tabs>
      <w:topLinePunct/>
      <w:adjustRightInd w:val="0"/>
      <w:snapToGrid w:val="0"/>
      <w:jc w:val="center"/>
    </w:pPr>
    <w:rPr>
      <w:rFonts w:eastAsia="仿宋_GB2312"/>
      <w:kern w:val="0"/>
      <w:sz w:val="20"/>
      <w:szCs w:val="20"/>
    </w:rPr>
  </w:style>
  <w:style w:type="paragraph" w:customStyle="1" w:styleId="545">
    <w:name w:val="样式表头"/>
    <w:basedOn w:val="1"/>
    <w:uiPriority w:val="0"/>
    <w:pPr>
      <w:adjustRightInd w:val="0"/>
      <w:snapToGrid w:val="0"/>
      <w:spacing w:line="312" w:lineRule="auto"/>
      <w:jc w:val="center"/>
    </w:pPr>
    <w:rPr>
      <w:rFonts w:eastAsia="黑体"/>
      <w:b/>
      <w:kern w:val="0"/>
      <w:sz w:val="32"/>
      <w:szCs w:val="20"/>
    </w:rPr>
  </w:style>
  <w:style w:type="paragraph" w:customStyle="1" w:styleId="546">
    <w:name w:val="9"/>
    <w:basedOn w:val="1"/>
    <w:next w:val="1"/>
    <w:uiPriority w:val="0"/>
    <w:pPr>
      <w:adjustRightInd w:val="0"/>
      <w:spacing w:before="60"/>
      <w:ind w:firstLine="480"/>
      <w:textAlignment w:val="baseline"/>
    </w:pPr>
    <w:rPr>
      <w:color w:val="FF0000"/>
      <w:kern w:val="0"/>
      <w:sz w:val="24"/>
      <w:szCs w:val="20"/>
    </w:rPr>
  </w:style>
  <w:style w:type="paragraph" w:customStyle="1" w:styleId="547">
    <w:name w:val="项目2"/>
    <w:basedOn w:val="1"/>
    <w:uiPriority w:val="0"/>
    <w:pPr>
      <w:tabs>
        <w:tab w:val="left" w:pos="840"/>
      </w:tabs>
      <w:snapToGrid w:val="0"/>
      <w:spacing w:line="0" w:lineRule="atLeast"/>
      <w:ind w:left="840" w:hanging="420"/>
    </w:pPr>
    <w:rPr>
      <w:kern w:val="0"/>
      <w:sz w:val="28"/>
      <w:szCs w:val="20"/>
    </w:rPr>
  </w:style>
  <w:style w:type="paragraph" w:customStyle="1" w:styleId="548">
    <w:name w:val="8--"/>
    <w:basedOn w:val="1"/>
    <w:uiPriority w:val="0"/>
    <w:pPr>
      <w:adjustRightInd w:val="0"/>
      <w:spacing w:line="360" w:lineRule="atLeast"/>
      <w:jc w:val="left"/>
      <w:textAlignment w:val="baseline"/>
    </w:pPr>
    <w:rPr>
      <w:kern w:val="0"/>
      <w:sz w:val="24"/>
      <w:szCs w:val="20"/>
    </w:rPr>
  </w:style>
  <w:style w:type="paragraph" w:customStyle="1" w:styleId="549">
    <w:name w:val="OIC1 Company Name"/>
    <w:basedOn w:val="1"/>
    <w:uiPriority w:val="0"/>
    <w:pPr>
      <w:jc w:val="center"/>
    </w:pPr>
    <w:rPr>
      <w:rFonts w:ascii="Arial Black" w:hAnsi="Arial Black"/>
      <w:color w:val="000080"/>
      <w:spacing w:val="40"/>
      <w:kern w:val="0"/>
      <w:sz w:val="28"/>
      <w:szCs w:val="20"/>
    </w:rPr>
  </w:style>
  <w:style w:type="paragraph" w:customStyle="1" w:styleId="550">
    <w:name w:val="正文文本缩进-1"/>
    <w:basedOn w:val="34"/>
    <w:uiPriority w:val="0"/>
    <w:pPr>
      <w:widowControl/>
      <w:adjustRightInd w:val="0"/>
      <w:snapToGrid w:val="0"/>
      <w:spacing w:after="0" w:line="360" w:lineRule="auto"/>
      <w:ind w:left="0" w:leftChars="0" w:firstLine="482" w:firstLineChars="200"/>
    </w:pPr>
    <w:rPr>
      <w:b/>
      <w:i/>
      <w:color w:val="0000FF"/>
      <w:u w:val="single"/>
    </w:rPr>
  </w:style>
  <w:style w:type="paragraph" w:customStyle="1" w:styleId="551">
    <w:name w:val="xl26"/>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2"/>
      <w:szCs w:val="22"/>
    </w:rPr>
  </w:style>
  <w:style w:type="paragraph" w:customStyle="1" w:styleId="552">
    <w:name w:val="中表格"/>
    <w:basedOn w:val="1"/>
    <w:uiPriority w:val="0"/>
    <w:pPr>
      <w:spacing w:line="420" w:lineRule="exact"/>
      <w:jc w:val="center"/>
    </w:pPr>
    <w:rPr>
      <w:rFonts w:ascii="宋体" w:hAnsi="Arial"/>
      <w:kern w:val="0"/>
      <w:sz w:val="24"/>
      <w:szCs w:val="20"/>
    </w:rPr>
  </w:style>
  <w:style w:type="paragraph" w:customStyle="1" w:styleId="553">
    <w:name w:val="表头1"/>
    <w:basedOn w:val="1"/>
    <w:uiPriority w:val="0"/>
    <w:pPr>
      <w:spacing w:before="120" w:beforeLines="50"/>
      <w:ind w:firstLine="1240" w:firstLineChars="588"/>
    </w:pPr>
    <w:rPr>
      <w:rFonts w:ascii="黑体" w:eastAsia="黑体"/>
      <w:b/>
      <w:kern w:val="0"/>
      <w:sz w:val="20"/>
      <w:szCs w:val="21"/>
    </w:rPr>
  </w:style>
  <w:style w:type="paragraph" w:customStyle="1" w:styleId="554">
    <w:name w:val="edri-7 title"/>
    <w:basedOn w:val="555"/>
    <w:uiPriority w:val="0"/>
    <w:pPr>
      <w:tabs>
        <w:tab w:val="left" w:pos="425"/>
      </w:tabs>
      <w:ind w:left="425" w:leftChars="0" w:hanging="425"/>
    </w:pPr>
  </w:style>
  <w:style w:type="paragraph" w:customStyle="1" w:styleId="555">
    <w:name w:val="edri-正文3"/>
    <w:basedOn w:val="1"/>
    <w:uiPriority w:val="0"/>
    <w:pPr>
      <w:spacing w:before="156" w:beforeLines="50" w:line="300" w:lineRule="auto"/>
      <w:ind w:left="2205" w:leftChars="1050"/>
    </w:pPr>
    <w:rPr>
      <w:snapToGrid w:val="0"/>
      <w:kern w:val="0"/>
      <w:sz w:val="24"/>
      <w:szCs w:val="20"/>
    </w:rPr>
  </w:style>
  <w:style w:type="paragraph" w:customStyle="1" w:styleId="556">
    <w:name w:val="小标题(1)"/>
    <w:basedOn w:val="24"/>
    <w:uiPriority w:val="0"/>
    <w:pPr>
      <w:widowControl w:val="0"/>
      <w:adjustRightInd w:val="0"/>
      <w:spacing w:after="60" w:line="264" w:lineRule="auto"/>
      <w:ind w:right="0" w:firstLine="240" w:firstLineChars="100"/>
      <w:textAlignment w:val="baseline"/>
    </w:pPr>
    <w:rPr>
      <w:rFonts w:eastAsia="仿宋_GB2312"/>
      <w:snapToGrid w:val="0"/>
      <w:sz w:val="24"/>
      <w:szCs w:val="24"/>
    </w:rPr>
  </w:style>
  <w:style w:type="paragraph" w:customStyle="1" w:styleId="557">
    <w:name w:val="表格居中"/>
    <w:basedOn w:val="40"/>
    <w:uiPriority w:val="0"/>
    <w:pPr>
      <w:adjustRightInd w:val="0"/>
      <w:snapToGrid w:val="0"/>
      <w:spacing w:line="240" w:lineRule="atLeast"/>
      <w:jc w:val="center"/>
      <w:textAlignment w:val="baseline"/>
    </w:pPr>
    <w:rPr>
      <w:rFonts w:cs="Courier New"/>
    </w:rPr>
  </w:style>
  <w:style w:type="paragraph" w:customStyle="1" w:styleId="558">
    <w:name w:val="小标题@"/>
    <w:basedOn w:val="1"/>
    <w:uiPriority w:val="0"/>
    <w:pPr>
      <w:adjustRightInd w:val="0"/>
      <w:spacing w:before="60" w:after="60"/>
      <w:textAlignment w:val="baseline"/>
    </w:pPr>
    <w:rPr>
      <w:kern w:val="0"/>
      <w:sz w:val="24"/>
      <w:szCs w:val="20"/>
    </w:rPr>
  </w:style>
  <w:style w:type="paragraph" w:customStyle="1" w:styleId="559">
    <w:name w:val="Char4 Char Char Char1"/>
    <w:basedOn w:val="1"/>
    <w:semiHidden/>
    <w:uiPriority w:val="0"/>
    <w:pPr>
      <w:adjustRightInd w:val="0"/>
      <w:snapToGrid w:val="0"/>
      <w:spacing w:line="360" w:lineRule="auto"/>
      <w:ind w:firstLine="200" w:firstLineChars="200"/>
    </w:pPr>
    <w:rPr>
      <w:rFonts w:ascii="宋体" w:hAnsi="宋体" w:cs="宋体"/>
      <w:kern w:val="0"/>
      <w:sz w:val="24"/>
      <w:szCs w:val="26"/>
    </w:rPr>
  </w:style>
  <w:style w:type="paragraph" w:customStyle="1" w:styleId="560">
    <w:name w:val="資料來源"/>
    <w:basedOn w:val="1"/>
    <w:uiPriority w:val="0"/>
    <w:pPr>
      <w:adjustRightInd w:val="0"/>
      <w:snapToGrid w:val="0"/>
      <w:spacing w:before="60"/>
      <w:textAlignment w:val="baseline"/>
    </w:pPr>
    <w:rPr>
      <w:rFonts w:eastAsia="華康中明體"/>
      <w:kern w:val="0"/>
      <w:sz w:val="18"/>
      <w:szCs w:val="20"/>
      <w:lang w:eastAsia="zh-TW"/>
    </w:rPr>
  </w:style>
  <w:style w:type="paragraph" w:customStyle="1" w:styleId="561">
    <w:name w:val="body 1"/>
    <w:basedOn w:val="1"/>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562">
    <w:name w:val="Char Char Char"/>
    <w:basedOn w:val="1"/>
    <w:uiPriority w:val="0"/>
    <w:rPr>
      <w:kern w:val="0"/>
      <w:sz w:val="24"/>
      <w:szCs w:val="20"/>
    </w:rPr>
  </w:style>
  <w:style w:type="paragraph" w:customStyle="1" w:styleId="563">
    <w:name w:val="表样式2"/>
    <w:basedOn w:val="1"/>
    <w:uiPriority w:val="0"/>
    <w:pPr>
      <w:jc w:val="center"/>
    </w:pPr>
    <w:rPr>
      <w:rFonts w:ascii="宋体" w:hAnsi="宋体"/>
      <w:bCs/>
      <w:kern w:val="0"/>
      <w:sz w:val="20"/>
      <w:szCs w:val="20"/>
    </w:rPr>
  </w:style>
  <w:style w:type="paragraph" w:customStyle="1" w:styleId="564">
    <w:name w:val="样式 标题 3小标题小节标题标题3H3h33rd level第二层条标题4 + 非加粗 左 段前: 6 磅..."/>
    <w:basedOn w:val="5"/>
    <w:uiPriority w:val="0"/>
    <w:pPr>
      <w:tabs>
        <w:tab w:val="left" w:pos="1080"/>
      </w:tabs>
      <w:topLinePunct/>
      <w:snapToGrid w:val="0"/>
      <w:spacing w:before="120" w:beforeLines="50" w:after="120" w:afterLines="50" w:line="360" w:lineRule="auto"/>
      <w:ind w:left="851" w:hanging="851"/>
    </w:pPr>
    <w:rPr>
      <w:b w:val="0"/>
      <w:sz w:val="24"/>
      <w:szCs w:val="20"/>
    </w:rPr>
  </w:style>
  <w:style w:type="paragraph" w:customStyle="1" w:styleId="565">
    <w:name w:val="xl30"/>
    <w:basedOn w:val="1"/>
    <w:uiPriority w:val="0"/>
    <w:pPr>
      <w:widowControl/>
      <w:pBdr>
        <w:left w:val="single" w:color="auto" w:sz="12"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1"/>
    </w:rPr>
  </w:style>
  <w:style w:type="paragraph" w:customStyle="1" w:styleId="566">
    <w:name w:val="xl4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567">
    <w:name w:val="文2"/>
    <w:basedOn w:val="1"/>
    <w:uiPriority w:val="0"/>
    <w:pPr>
      <w:adjustRightInd w:val="0"/>
      <w:snapToGrid w:val="0"/>
      <w:spacing w:line="312" w:lineRule="auto"/>
      <w:ind w:firstLine="640" w:firstLineChars="200"/>
    </w:pPr>
    <w:rPr>
      <w:rFonts w:ascii="宋体" w:hAnsi="宋体"/>
      <w:snapToGrid w:val="0"/>
      <w:spacing w:val="6"/>
      <w:kern w:val="0"/>
      <w:sz w:val="28"/>
      <w:szCs w:val="28"/>
    </w:rPr>
  </w:style>
  <w:style w:type="paragraph" w:customStyle="1" w:styleId="568">
    <w:name w:val="第五章表头"/>
    <w:basedOn w:val="1"/>
    <w:qFormat/>
    <w:uiPriority w:val="0"/>
    <w:pPr>
      <w:numPr>
        <w:ilvl w:val="0"/>
        <w:numId w:val="6"/>
      </w:numPr>
      <w:spacing w:line="360" w:lineRule="auto"/>
      <w:jc w:val="center"/>
    </w:pPr>
    <w:rPr>
      <w:b/>
      <w:color w:val="0000FF"/>
      <w:kern w:val="0"/>
      <w:sz w:val="24"/>
      <w:szCs w:val="20"/>
    </w:rPr>
  </w:style>
  <w:style w:type="paragraph" w:customStyle="1" w:styleId="569">
    <w:name w:val="表格小四"/>
    <w:basedOn w:val="1"/>
    <w:uiPriority w:val="0"/>
    <w:pPr>
      <w:jc w:val="center"/>
    </w:pPr>
    <w:rPr>
      <w:kern w:val="0"/>
      <w:sz w:val="24"/>
      <w:szCs w:val="20"/>
    </w:rPr>
  </w:style>
  <w:style w:type="paragraph" w:customStyle="1" w:styleId="570">
    <w:name w:val="wg"/>
    <w:basedOn w:val="1"/>
    <w:uiPriority w:val="0"/>
    <w:rPr>
      <w:kern w:val="0"/>
      <w:sz w:val="28"/>
      <w:szCs w:val="20"/>
    </w:rPr>
  </w:style>
  <w:style w:type="paragraph" w:customStyle="1" w:styleId="571">
    <w:name w:val="封面项目名称"/>
    <w:basedOn w:val="1"/>
    <w:next w:val="1"/>
    <w:uiPriority w:val="0"/>
    <w:pPr>
      <w:adjustRightInd w:val="0"/>
      <w:snapToGrid w:val="0"/>
      <w:spacing w:line="480" w:lineRule="exact"/>
      <w:ind w:firstLine="567"/>
      <w:jc w:val="center"/>
    </w:pPr>
    <w:rPr>
      <w:rFonts w:ascii="黑体" w:eastAsia="黑体"/>
      <w:kern w:val="0"/>
      <w:sz w:val="44"/>
      <w:szCs w:val="20"/>
    </w:rPr>
  </w:style>
  <w:style w:type="paragraph" w:customStyle="1" w:styleId="572">
    <w:name w:val="章2"/>
    <w:basedOn w:val="3"/>
    <w:uiPriority w:val="0"/>
    <w:pPr>
      <w:keepNext w:val="0"/>
      <w:tabs>
        <w:tab w:val="left" w:pos="360"/>
      </w:tabs>
      <w:overflowPunct/>
      <w:adjustRightInd w:val="0"/>
      <w:snapToGrid/>
      <w:spacing w:before="0" w:beforeLines="50" w:after="0" w:afterLines="50" w:line="312" w:lineRule="auto"/>
      <w:ind w:left="0" w:firstLine="0"/>
      <w:jc w:val="center"/>
      <w:textAlignment w:val="baseline"/>
    </w:pPr>
    <w:rPr>
      <w:rFonts w:ascii="黑体"/>
      <w:b w:val="0"/>
      <w:bCs w:val="0"/>
      <w:snapToGrid w:val="0"/>
      <w:color w:val="auto"/>
      <w:spacing w:val="6"/>
      <w:kern w:val="0"/>
      <w:sz w:val="36"/>
      <w:szCs w:val="28"/>
    </w:rPr>
  </w:style>
  <w:style w:type="paragraph" w:customStyle="1" w:styleId="573">
    <w:name w:val="表中文字"/>
    <w:basedOn w:val="1"/>
    <w:uiPriority w:val="0"/>
    <w:pPr>
      <w:snapToGrid w:val="0"/>
      <w:spacing w:line="320" w:lineRule="exact"/>
      <w:jc w:val="center"/>
    </w:pPr>
    <w:rPr>
      <w:kern w:val="0"/>
      <w:sz w:val="20"/>
      <w:szCs w:val="20"/>
    </w:rPr>
  </w:style>
  <w:style w:type="paragraph" w:customStyle="1" w:styleId="574">
    <w:name w:val="表体"/>
    <w:basedOn w:val="24"/>
    <w:uiPriority w:val="0"/>
    <w:pPr>
      <w:widowControl w:val="0"/>
      <w:snapToGrid/>
      <w:spacing w:before="0" w:after="0" w:line="280" w:lineRule="exact"/>
      <w:ind w:right="0"/>
      <w:jc w:val="center"/>
    </w:pPr>
    <w:rPr>
      <w:rFonts w:ascii="宋体" w:hAnsi="宋体"/>
      <w:kern w:val="2"/>
      <w:szCs w:val="24"/>
    </w:rPr>
  </w:style>
  <w:style w:type="paragraph" w:customStyle="1" w:styleId="575">
    <w:name w:val="二级标题 Char Char Char"/>
    <w:basedOn w:val="1"/>
    <w:next w:val="1"/>
    <w:uiPriority w:val="0"/>
    <w:pPr>
      <w:ind w:firstLine="200" w:firstLineChars="200"/>
    </w:pPr>
    <w:rPr>
      <w:rFonts w:ascii="宋体" w:hAnsi="宋体" w:cs="宋体"/>
      <w:kern w:val="0"/>
      <w:sz w:val="24"/>
      <w:szCs w:val="20"/>
    </w:rPr>
  </w:style>
  <w:style w:type="paragraph" w:customStyle="1" w:styleId="576">
    <w:name w:val="Definition Term"/>
    <w:basedOn w:val="1"/>
    <w:next w:val="1"/>
    <w:uiPriority w:val="0"/>
    <w:pPr>
      <w:autoSpaceDE w:val="0"/>
      <w:autoSpaceDN w:val="0"/>
      <w:adjustRightInd w:val="0"/>
      <w:jc w:val="left"/>
    </w:pPr>
    <w:rPr>
      <w:kern w:val="0"/>
      <w:sz w:val="24"/>
      <w:szCs w:val="20"/>
    </w:rPr>
  </w:style>
  <w:style w:type="paragraph" w:customStyle="1" w:styleId="577">
    <w:name w:val="w4"/>
    <w:basedOn w:val="1"/>
    <w:uiPriority w:val="0"/>
    <w:pPr>
      <w:widowControl/>
      <w:spacing w:before="100" w:beforeAutospacing="1" w:after="100" w:afterAutospacing="1"/>
      <w:jc w:val="left"/>
    </w:pPr>
    <w:rPr>
      <w:rFonts w:ascii="宋体" w:hAnsi="宋体" w:cs="宋体"/>
      <w:color w:val="000000"/>
      <w:kern w:val="0"/>
      <w:sz w:val="24"/>
      <w:szCs w:val="20"/>
    </w:rPr>
  </w:style>
  <w:style w:type="paragraph" w:customStyle="1" w:styleId="578">
    <w:name w:val="105v"/>
    <w:basedOn w:val="1"/>
    <w:uiPriority w:val="0"/>
    <w:pPr>
      <w:widowControl/>
      <w:spacing w:before="100" w:beforeAutospacing="1" w:after="100" w:afterAutospacing="1"/>
      <w:jc w:val="left"/>
    </w:pPr>
    <w:rPr>
      <w:rFonts w:ascii="宋体" w:hAnsi="宋体"/>
      <w:kern w:val="0"/>
      <w:sz w:val="20"/>
      <w:szCs w:val="21"/>
    </w:rPr>
  </w:style>
  <w:style w:type="paragraph" w:customStyle="1" w:styleId="579">
    <w:name w:val="默认段落字体 Para Char Char"/>
    <w:basedOn w:val="1"/>
    <w:semiHidden/>
    <w:uiPriority w:val="0"/>
    <w:rPr>
      <w:kern w:val="0"/>
      <w:sz w:val="20"/>
      <w:szCs w:val="20"/>
    </w:rPr>
  </w:style>
  <w:style w:type="paragraph" w:customStyle="1" w:styleId="580">
    <w:name w:val="(一)內文"/>
    <w:basedOn w:val="1"/>
    <w:uiPriority w:val="0"/>
    <w:pPr>
      <w:snapToGrid w:val="0"/>
      <w:spacing w:line="480" w:lineRule="atLeast"/>
      <w:ind w:left="1202" w:firstLine="601"/>
    </w:pPr>
    <w:rPr>
      <w:rFonts w:eastAsia="DFKai-SB"/>
      <w:kern w:val="0"/>
      <w:sz w:val="28"/>
      <w:szCs w:val="20"/>
      <w:lang w:eastAsia="zh-TW"/>
    </w:rPr>
  </w:style>
  <w:style w:type="paragraph" w:customStyle="1" w:styleId="581">
    <w:name w:val="表头名称"/>
    <w:basedOn w:val="18"/>
    <w:uiPriority w:val="0"/>
    <w:pPr>
      <w:autoSpaceDE w:val="0"/>
      <w:autoSpaceDN w:val="0"/>
      <w:adjustRightInd w:val="0"/>
      <w:spacing w:line="360" w:lineRule="auto"/>
      <w:ind w:firstLine="0" w:firstLineChars="0"/>
      <w:jc w:val="center"/>
    </w:pPr>
    <w:rPr>
      <w:rFonts w:ascii="黑体" w:hAnsi="宋体" w:eastAsia="黑体"/>
      <w:color w:val="auto"/>
      <w:sz w:val="20"/>
      <w:szCs w:val="21"/>
    </w:rPr>
  </w:style>
  <w:style w:type="paragraph" w:customStyle="1" w:styleId="582">
    <w:name w:val="xl65"/>
    <w:basedOn w:val="1"/>
    <w:uiPriority w:val="0"/>
    <w:pPr>
      <w:widowControl/>
      <w:pBdr>
        <w:right w:val="single" w:color="auto" w:sz="4" w:space="0"/>
      </w:pBdr>
      <w:spacing w:before="100" w:beforeAutospacing="1" w:after="100" w:afterAutospacing="1"/>
      <w:jc w:val="center"/>
    </w:pPr>
    <w:rPr>
      <w:kern w:val="0"/>
      <w:sz w:val="16"/>
      <w:szCs w:val="16"/>
    </w:rPr>
  </w:style>
  <w:style w:type="paragraph" w:customStyle="1" w:styleId="583">
    <w:name w:val=" Char Char1 Char Char Char Char"/>
    <w:basedOn w:val="1"/>
    <w:uiPriority w:val="0"/>
    <w:rPr>
      <w:kern w:val="0"/>
      <w:sz w:val="20"/>
      <w:szCs w:val="20"/>
    </w:rPr>
  </w:style>
  <w:style w:type="paragraph" w:customStyle="1" w:styleId="584">
    <w:name w:val="正文4"/>
    <w:basedOn w:val="1"/>
    <w:uiPriority w:val="0"/>
    <w:pPr>
      <w:autoSpaceDE w:val="0"/>
      <w:autoSpaceDN w:val="0"/>
      <w:spacing w:after="160" w:line="440" w:lineRule="exact"/>
      <w:ind w:left="567" w:hanging="567"/>
      <w:textAlignment w:val="bottom"/>
    </w:pPr>
    <w:rPr>
      <w:kern w:val="0"/>
      <w:sz w:val="28"/>
      <w:szCs w:val="20"/>
    </w:rPr>
  </w:style>
  <w:style w:type="paragraph" w:customStyle="1" w:styleId="585">
    <w:name w:val="样式 标题 1 + 小四"/>
    <w:basedOn w:val="3"/>
    <w:uiPriority w:val="0"/>
    <w:pPr>
      <w:keepLines/>
      <w:numPr>
        <w:ilvl w:val="0"/>
        <w:numId w:val="7"/>
      </w:numPr>
      <w:tabs>
        <w:tab w:val="left" w:pos="360"/>
        <w:tab w:val="left" w:pos="1200"/>
        <w:tab w:val="clear" w:pos="900"/>
      </w:tabs>
      <w:overflowPunct/>
      <w:snapToGrid/>
      <w:spacing w:beforeLines="50" w:after="240" w:afterLines="50" w:line="0" w:lineRule="atLeast"/>
      <w:ind w:left="1200" w:hanging="720"/>
      <w:jc w:val="center"/>
    </w:pPr>
    <w:rPr>
      <w:b w:val="0"/>
      <w:bCs w:val="0"/>
      <w:color w:val="auto"/>
      <w:szCs w:val="20"/>
    </w:rPr>
  </w:style>
  <w:style w:type="paragraph" w:customStyle="1" w:styleId="586">
    <w:name w:val="中文报告书样式"/>
    <w:basedOn w:val="1"/>
    <w:uiPriority w:val="0"/>
    <w:pPr>
      <w:adjustRightInd w:val="0"/>
      <w:spacing w:line="520" w:lineRule="exact"/>
      <w:ind w:firstLine="578"/>
      <w:textAlignment w:val="baseline"/>
    </w:pPr>
    <w:rPr>
      <w:kern w:val="24"/>
      <w:sz w:val="28"/>
      <w:szCs w:val="20"/>
    </w:rPr>
  </w:style>
  <w:style w:type="paragraph" w:customStyle="1" w:styleId="587">
    <w:name w:val="表名"/>
    <w:basedOn w:val="1"/>
    <w:uiPriority w:val="0"/>
    <w:pPr>
      <w:keepNext/>
      <w:overflowPunct w:val="0"/>
      <w:adjustRightInd w:val="0"/>
      <w:spacing w:before="240"/>
      <w:jc w:val="center"/>
      <w:textAlignment w:val="baseline"/>
    </w:pPr>
    <w:rPr>
      <w:rFonts w:ascii="黑体" w:eastAsia="黑体"/>
      <w:kern w:val="24"/>
      <w:sz w:val="20"/>
      <w:szCs w:val="20"/>
    </w:rPr>
  </w:style>
  <w:style w:type="paragraph" w:customStyle="1" w:styleId="588">
    <w:name w:val="注释标题1"/>
    <w:basedOn w:val="18"/>
    <w:next w:val="18"/>
    <w:uiPriority w:val="0"/>
    <w:pPr>
      <w:tabs>
        <w:tab w:val="left" w:pos="420"/>
      </w:tabs>
      <w:spacing w:line="360" w:lineRule="auto"/>
      <w:ind w:left="420" w:hanging="420"/>
    </w:pPr>
    <w:rPr>
      <w:rFonts w:ascii="_x000B__x000C_" w:hAnsi="_x000B__x000C_" w:eastAsia="宋体"/>
      <w:kern w:val="2"/>
      <w:sz w:val="24"/>
      <w:szCs w:val="18"/>
    </w:rPr>
  </w:style>
  <w:style w:type="paragraph" w:customStyle="1" w:styleId="589">
    <w:name w:val="段落"/>
    <w:basedOn w:val="1"/>
    <w:uiPriority w:val="0"/>
    <w:pPr>
      <w:spacing w:line="580" w:lineRule="exact"/>
      <w:ind w:firstLine="200"/>
    </w:pPr>
    <w:rPr>
      <w:spacing w:val="6"/>
      <w:kern w:val="0"/>
      <w:sz w:val="28"/>
      <w:szCs w:val="20"/>
    </w:rPr>
  </w:style>
  <w:style w:type="paragraph" w:customStyle="1" w:styleId="590">
    <w:name w:val="1.1.1"/>
    <w:basedOn w:val="4"/>
    <w:uiPriority w:val="0"/>
    <w:pPr>
      <w:keepNext w:val="0"/>
      <w:keepLines w:val="0"/>
      <w:tabs>
        <w:tab w:val="left" w:pos="737"/>
      </w:tabs>
      <w:snapToGrid w:val="0"/>
      <w:spacing w:before="0" w:beforeLines="50" w:after="0" w:afterLines="50" w:line="360" w:lineRule="auto"/>
      <w:ind w:left="1288" w:hanging="688"/>
      <w:outlineLvl w:val="9"/>
    </w:pPr>
    <w:rPr>
      <w:rFonts w:ascii="DFKai-SB" w:hAnsi="Times New Roman" w:eastAsia="DFKai-SB"/>
      <w:b w:val="0"/>
      <w:sz w:val="28"/>
      <w:szCs w:val="28"/>
      <w:lang w:eastAsia="zh-TW"/>
    </w:rPr>
  </w:style>
  <w:style w:type="paragraph" w:customStyle="1" w:styleId="591">
    <w:name w:val="报告2"/>
    <w:basedOn w:val="8"/>
    <w:uiPriority w:val="0"/>
    <w:pPr>
      <w:tabs>
        <w:tab w:val="left" w:pos="895"/>
      </w:tabs>
      <w:ind w:left="895" w:hanging="390"/>
      <w:jc w:val="both"/>
      <w:textAlignment w:val="center"/>
    </w:pPr>
    <w:rPr>
      <w:rFonts w:ascii="TimesNewRoman" w:hAnsi="TimesNewRoman"/>
    </w:rPr>
  </w:style>
  <w:style w:type="paragraph" w:customStyle="1" w:styleId="592">
    <w:name w:val="xl64"/>
    <w:basedOn w:val="1"/>
    <w:uiPriority w:val="0"/>
    <w:pPr>
      <w:widowControl/>
      <w:pBdr>
        <w:left w:val="single" w:color="auto" w:sz="8" w:space="0"/>
      </w:pBdr>
      <w:spacing w:before="100" w:beforeAutospacing="1" w:after="100" w:afterAutospacing="1"/>
      <w:jc w:val="center"/>
    </w:pPr>
    <w:rPr>
      <w:kern w:val="0"/>
      <w:sz w:val="16"/>
      <w:szCs w:val="16"/>
    </w:rPr>
  </w:style>
  <w:style w:type="paragraph" w:customStyle="1" w:styleId="593">
    <w:name w:val="正文样式1"/>
    <w:basedOn w:val="1"/>
    <w:uiPriority w:val="0"/>
    <w:pPr>
      <w:spacing w:line="360" w:lineRule="auto"/>
      <w:ind w:firstLine="480" w:firstLineChars="200"/>
    </w:pPr>
    <w:rPr>
      <w:rFonts w:ascii="宋体"/>
      <w:kern w:val="0"/>
      <w:sz w:val="24"/>
      <w:szCs w:val="20"/>
    </w:rPr>
  </w:style>
  <w:style w:type="paragraph" w:customStyle="1" w:styleId="594">
    <w:name w:val="MFS表格文字"/>
    <w:basedOn w:val="24"/>
    <w:uiPriority w:val="0"/>
    <w:pPr>
      <w:widowControl w:val="0"/>
      <w:adjustRightInd w:val="0"/>
      <w:spacing w:before="0" w:after="0" w:line="300" w:lineRule="auto"/>
      <w:ind w:right="0"/>
    </w:pPr>
    <w:rPr>
      <w:rFonts w:eastAsia="楷体_GB2312"/>
      <w:kern w:val="2"/>
      <w:sz w:val="20"/>
      <w:szCs w:val="21"/>
    </w:rPr>
  </w:style>
  <w:style w:type="paragraph" w:customStyle="1" w:styleId="595">
    <w:name w:val="文"/>
    <w:basedOn w:val="1"/>
    <w:uiPriority w:val="0"/>
    <w:pPr>
      <w:adjustRightInd w:val="0"/>
      <w:snapToGrid w:val="0"/>
      <w:spacing w:line="312" w:lineRule="auto"/>
      <w:ind w:firstLine="567"/>
    </w:pPr>
    <w:rPr>
      <w:rFonts w:ascii="宋体"/>
      <w:spacing w:val="6"/>
      <w:kern w:val="0"/>
      <w:sz w:val="28"/>
      <w:szCs w:val="20"/>
    </w:rPr>
  </w:style>
  <w:style w:type="paragraph" w:customStyle="1" w:styleId="596">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597">
    <w:name w:val="xl76"/>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32"/>
      <w:szCs w:val="32"/>
    </w:rPr>
  </w:style>
  <w:style w:type="paragraph" w:customStyle="1" w:styleId="598">
    <w:name w:val="Char Char Char Char Char Char"/>
    <w:basedOn w:val="1"/>
    <w:uiPriority w:val="0"/>
    <w:rPr>
      <w:kern w:val="0"/>
      <w:sz w:val="24"/>
      <w:szCs w:val="20"/>
    </w:rPr>
  </w:style>
  <w:style w:type="paragraph" w:customStyle="1" w:styleId="599">
    <w:name w:val="列图"/>
    <w:basedOn w:val="53"/>
    <w:next w:val="1"/>
    <w:uiPriority w:val="0"/>
    <w:pPr>
      <w:keepLines/>
      <w:adjustRightInd w:val="0"/>
      <w:snapToGrid w:val="0"/>
      <w:spacing w:before="120" w:line="276" w:lineRule="auto"/>
      <w:ind w:left="0" w:firstLine="0" w:firstLineChars="0"/>
      <w:jc w:val="center"/>
      <w:textAlignment w:val="baseline"/>
    </w:pPr>
    <w:rPr>
      <w:kern w:val="28"/>
      <w:sz w:val="24"/>
    </w:rPr>
  </w:style>
  <w:style w:type="paragraph" w:customStyle="1" w:styleId="600">
    <w:name w:val="Indent1"/>
    <w:basedOn w:val="1"/>
    <w:uiPriority w:val="0"/>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601">
    <w:name w:val="表"/>
    <w:basedOn w:val="1"/>
    <w:qFormat/>
    <w:uiPriority w:val="0"/>
    <w:pPr>
      <w:adjustRightInd w:val="0"/>
      <w:spacing w:before="40" w:after="40" w:line="240" w:lineRule="exact"/>
      <w:jc w:val="center"/>
      <w:textAlignment w:val="baseline"/>
    </w:pPr>
    <w:rPr>
      <w:rFonts w:eastAsia="仿宋_GB2312"/>
      <w:kern w:val="21"/>
      <w:sz w:val="20"/>
      <w:szCs w:val="20"/>
    </w:rPr>
  </w:style>
  <w:style w:type="paragraph" w:customStyle="1" w:styleId="602">
    <w:name w:val="表左"/>
    <w:basedOn w:val="1"/>
    <w:next w:val="1"/>
    <w:uiPriority w:val="0"/>
    <w:pPr>
      <w:adjustRightInd w:val="0"/>
      <w:spacing w:line="280" w:lineRule="exact"/>
      <w:ind w:firstLine="567"/>
      <w:jc w:val="center"/>
      <w:textAlignment w:val="baseline"/>
    </w:pPr>
    <w:rPr>
      <w:rFonts w:ascii="仿宋_GB2312" w:eastAsia="仿宋_GB2312"/>
      <w:color w:val="000000"/>
      <w:kern w:val="0"/>
      <w:sz w:val="20"/>
      <w:szCs w:val="21"/>
    </w:rPr>
  </w:style>
  <w:style w:type="paragraph" w:customStyle="1" w:styleId="603">
    <w:name w:val="样式节"/>
    <w:basedOn w:val="1"/>
    <w:uiPriority w:val="0"/>
    <w:pPr>
      <w:snapToGrid w:val="0"/>
      <w:spacing w:before="120" w:after="120" w:line="312" w:lineRule="auto"/>
      <w:ind w:firstLine="567"/>
    </w:pPr>
    <w:rPr>
      <w:rFonts w:ascii="宋体"/>
      <w:b/>
      <w:spacing w:val="6"/>
      <w:kern w:val="0"/>
      <w:sz w:val="32"/>
      <w:szCs w:val="20"/>
    </w:rPr>
  </w:style>
  <w:style w:type="paragraph" w:customStyle="1" w:styleId="604">
    <w:name w:val="xl46"/>
    <w:basedOn w:val="1"/>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color w:val="FF0000"/>
      <w:kern w:val="0"/>
      <w:sz w:val="20"/>
      <w:szCs w:val="21"/>
    </w:rPr>
  </w:style>
  <w:style w:type="paragraph" w:customStyle="1" w:styleId="605">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06">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FF"/>
      <w:kern w:val="0"/>
      <w:sz w:val="24"/>
      <w:szCs w:val="20"/>
    </w:rPr>
  </w:style>
  <w:style w:type="paragraph" w:customStyle="1" w:styleId="607">
    <w:name w:val="普通 (Web)"/>
    <w:basedOn w:val="1"/>
    <w:uiPriority w:val="0"/>
    <w:pPr>
      <w:widowControl/>
      <w:spacing w:before="100" w:beforeAutospacing="1" w:after="100" w:afterAutospacing="1"/>
      <w:jc w:val="left"/>
    </w:pPr>
    <w:rPr>
      <w:rFonts w:ascii="宋体" w:hAnsi="宋体"/>
      <w:kern w:val="0"/>
      <w:sz w:val="24"/>
      <w:szCs w:val="20"/>
    </w:rPr>
  </w:style>
  <w:style w:type="paragraph" w:customStyle="1" w:styleId="608">
    <w:name w:val="表头2"/>
    <w:basedOn w:val="1"/>
    <w:uiPriority w:val="0"/>
    <w:pPr>
      <w:adjustRightInd w:val="0"/>
      <w:snapToGrid w:val="0"/>
      <w:spacing w:before="240" w:line="312" w:lineRule="auto"/>
      <w:jc w:val="center"/>
    </w:pPr>
    <w:rPr>
      <w:rFonts w:ascii="黑体" w:eastAsia="黑体"/>
      <w:b/>
      <w:bCs/>
      <w:spacing w:val="6"/>
      <w:kern w:val="0"/>
      <w:sz w:val="32"/>
      <w:szCs w:val="20"/>
    </w:rPr>
  </w:style>
  <w:style w:type="paragraph" w:customStyle="1" w:styleId="609">
    <w:name w:val="表样"/>
    <w:basedOn w:val="1"/>
    <w:uiPriority w:val="0"/>
    <w:pPr>
      <w:autoSpaceDE w:val="0"/>
      <w:autoSpaceDN w:val="0"/>
      <w:adjustRightInd w:val="0"/>
      <w:jc w:val="center"/>
      <w:textAlignment w:val="bottom"/>
    </w:pPr>
    <w:rPr>
      <w:rFonts w:ascii="Arial" w:hAnsi="Arial" w:cs="Arial"/>
      <w:color w:val="0000FF"/>
      <w:spacing w:val="-20"/>
      <w:kern w:val="0"/>
      <w:sz w:val="20"/>
      <w:szCs w:val="20"/>
    </w:rPr>
  </w:style>
  <w:style w:type="paragraph" w:customStyle="1" w:styleId="610">
    <w:name w:val="T表格"/>
    <w:uiPriority w:val="0"/>
    <w:pPr>
      <w:jc w:val="center"/>
    </w:pPr>
    <w:rPr>
      <w:rFonts w:ascii="Times New Roman" w:hAnsi="Times New Roman" w:eastAsia="宋体" w:cs="Times New Roman"/>
      <w:sz w:val="21"/>
      <w:lang w:val="en-US" w:eastAsia="zh-CN" w:bidi="ar-SA"/>
    </w:rPr>
  </w:style>
  <w:style w:type="paragraph" w:customStyle="1" w:styleId="611">
    <w:name w:val="表式1"/>
    <w:basedOn w:val="1"/>
    <w:uiPriority w:val="0"/>
    <w:pPr>
      <w:adjustRightInd w:val="0"/>
      <w:spacing w:line="0" w:lineRule="atLeast"/>
      <w:jc w:val="left"/>
      <w:textAlignment w:val="baseline"/>
    </w:pPr>
    <w:rPr>
      <w:rFonts w:ascii="Arial" w:hAnsi="Arial" w:eastAsia="MingLiU"/>
      <w:b/>
      <w:kern w:val="0"/>
      <w:sz w:val="24"/>
      <w:szCs w:val="20"/>
      <w:lang w:eastAsia="zh-TW"/>
    </w:rPr>
  </w:style>
  <w:style w:type="paragraph" w:customStyle="1" w:styleId="612">
    <w:name w:val="样式 标题 2节标题标题21.1H2h2第一层条4.1二级标题标题 lxb2二级标题 Char表标题单位..."/>
    <w:basedOn w:val="1"/>
    <w:uiPriority w:val="0"/>
    <w:pPr>
      <w:tabs>
        <w:tab w:val="left" w:pos="737"/>
      </w:tabs>
      <w:ind w:left="737" w:hanging="737"/>
    </w:pPr>
    <w:rPr>
      <w:kern w:val="0"/>
      <w:sz w:val="20"/>
      <w:szCs w:val="20"/>
    </w:rPr>
  </w:style>
  <w:style w:type="paragraph" w:customStyle="1" w:styleId="613">
    <w:name w:val="1pt line"/>
    <w:uiPriority w:val="0"/>
    <w:pPr>
      <w:pBdr>
        <w:bottom w:val="single" w:color="auto" w:sz="8" w:space="1"/>
      </w:pBdr>
      <w:spacing w:line="20" w:lineRule="exact"/>
    </w:pPr>
    <w:rPr>
      <w:rFonts w:ascii="Times New Roman" w:hAnsi="Times New Roman" w:eastAsia="PMingLiU" w:cs="Times New Roman"/>
      <w:lang w:val="en-US" w:eastAsia="zh-TW" w:bidi="ar-SA"/>
    </w:rPr>
  </w:style>
  <w:style w:type="paragraph" w:customStyle="1" w:styleId="614">
    <w:name w:val="xl24"/>
    <w:basedOn w:val="1"/>
    <w:uiPriority w:val="0"/>
    <w:pPr>
      <w:widowControl/>
      <w:spacing w:before="100" w:beforeAutospacing="1" w:after="100" w:afterAutospacing="1"/>
      <w:jc w:val="left"/>
    </w:pPr>
    <w:rPr>
      <w:rFonts w:eastAsia="Arial Unicode MS"/>
      <w:kern w:val="0"/>
      <w:sz w:val="24"/>
      <w:szCs w:val="20"/>
    </w:rPr>
  </w:style>
  <w:style w:type="paragraph" w:customStyle="1" w:styleId="615">
    <w:name w:val="xl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616">
    <w:name w:val="样式 样式 标题 4第三层条PIM 4h4标题 4 Char + 右侧:  1 字符 + 左侧:  1.87 厘米"/>
    <w:basedOn w:val="1"/>
    <w:uiPriority w:val="0"/>
    <w:pPr>
      <w:tabs>
        <w:tab w:val="left" w:pos="851"/>
      </w:tabs>
      <w:ind w:left="851" w:hanging="851"/>
    </w:pPr>
    <w:rPr>
      <w:kern w:val="0"/>
      <w:sz w:val="20"/>
      <w:szCs w:val="20"/>
    </w:rPr>
  </w:style>
  <w:style w:type="paragraph" w:customStyle="1" w:styleId="617">
    <w:name w:val="內文-1"/>
    <w:basedOn w:val="1"/>
    <w:uiPriority w:val="0"/>
    <w:pPr>
      <w:topLinePunct/>
      <w:adjustRightInd w:val="0"/>
      <w:spacing w:line="384" w:lineRule="exact"/>
      <w:ind w:firstLine="482"/>
      <w:textAlignment w:val="baseline"/>
    </w:pPr>
    <w:rPr>
      <w:rFonts w:eastAsia="華康中明體"/>
      <w:kern w:val="20"/>
      <w:sz w:val="24"/>
      <w:szCs w:val="20"/>
      <w:lang w:eastAsia="zh-TW"/>
    </w:rPr>
  </w:style>
  <w:style w:type="paragraph" w:customStyle="1" w:styleId="618">
    <w:name w:val="横线"/>
    <w:basedOn w:val="18"/>
    <w:uiPriority w:val="0"/>
    <w:pPr>
      <w:numPr>
        <w:ilvl w:val="2"/>
        <w:numId w:val="0"/>
      </w:numPr>
      <w:tabs>
        <w:tab w:val="left" w:pos="504"/>
      </w:tabs>
      <w:adjustRightInd w:val="0"/>
      <w:snapToGrid w:val="0"/>
      <w:spacing w:line="360" w:lineRule="auto"/>
      <w:ind w:left="1276" w:hanging="709"/>
      <w:jc w:val="left"/>
      <w:textAlignment w:val="baseline"/>
    </w:pPr>
    <w:rPr>
      <w:rFonts w:ascii="Times New Roman" w:eastAsia="宋体"/>
      <w:b/>
      <w:snapToGrid w:val="0"/>
      <w:color w:val="auto"/>
      <w:sz w:val="24"/>
      <w:szCs w:val="20"/>
    </w:rPr>
  </w:style>
  <w:style w:type="paragraph" w:customStyle="1" w:styleId="619">
    <w:name w:val="样式7"/>
    <w:basedOn w:val="1"/>
    <w:next w:val="1"/>
    <w:uiPriority w:val="0"/>
    <w:pPr>
      <w:tabs>
        <w:tab w:val="left" w:pos="360"/>
      </w:tabs>
      <w:spacing w:line="440" w:lineRule="exact"/>
      <w:ind w:left="360" w:hanging="360"/>
    </w:pPr>
    <w:rPr>
      <w:kern w:val="0"/>
      <w:sz w:val="24"/>
      <w:szCs w:val="20"/>
    </w:rPr>
  </w:style>
  <w:style w:type="paragraph" w:customStyle="1" w:styleId="620">
    <w:name w:val="简单回函地址"/>
    <w:basedOn w:val="1"/>
    <w:uiPriority w:val="0"/>
    <w:rPr>
      <w:kern w:val="0"/>
      <w:sz w:val="20"/>
      <w:szCs w:val="20"/>
    </w:rPr>
  </w:style>
  <w:style w:type="paragraph" w:customStyle="1" w:styleId="621">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622">
    <w:name w:val="图标题"/>
    <w:basedOn w:val="1"/>
    <w:uiPriority w:val="0"/>
    <w:pPr>
      <w:adjustRightInd w:val="0"/>
      <w:snapToGrid w:val="0"/>
      <w:spacing w:before="156" w:beforeLines="50" w:line="300" w:lineRule="auto"/>
      <w:jc w:val="center"/>
    </w:pPr>
    <w:rPr>
      <w:rFonts w:hAnsi="宋体"/>
      <w:snapToGrid w:val="0"/>
      <w:kern w:val="0"/>
      <w:sz w:val="20"/>
      <w:szCs w:val="21"/>
    </w:rPr>
  </w:style>
  <w:style w:type="paragraph" w:customStyle="1" w:styleId="623">
    <w:name w:val="xl48"/>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624">
    <w:name w:val="Pa3"/>
    <w:basedOn w:val="625"/>
    <w:next w:val="625"/>
    <w:uiPriority w:val="0"/>
    <w:rPr>
      <w:rFonts w:ascii="MHei-Medium" w:hAnsi="Times New Roman" w:eastAsia="MHei-Medium" w:cs="Times New Roman"/>
      <w:color w:val="auto"/>
      <w:sz w:val="20"/>
    </w:rPr>
  </w:style>
  <w:style w:type="paragraph" w:customStyle="1" w:styleId="625">
    <w:name w:val="Default"/>
    <w:basedOn w:val="626"/>
    <w:next w:val="1"/>
    <w:qFormat/>
    <w:uiPriority w:val="0"/>
    <w:pPr>
      <w:widowControl w:val="0"/>
      <w:autoSpaceDE w:val="0"/>
      <w:autoSpaceDN w:val="0"/>
      <w:adjustRightInd w:val="0"/>
    </w:pPr>
    <w:rPr>
      <w:rFonts w:ascii="宋体" w:hAnsi="宋体" w:cs="宋体"/>
      <w:color w:val="000000"/>
      <w:sz w:val="24"/>
      <w:szCs w:val="24"/>
      <w:lang w:val="en-US" w:eastAsia="zh-CN" w:bidi="ar-SA"/>
    </w:rPr>
  </w:style>
  <w:style w:type="paragraph" w:customStyle="1" w:styleId="626">
    <w:name w:val="纯文本1"/>
    <w:basedOn w:val="1"/>
    <w:uiPriority w:val="0"/>
    <w:pPr>
      <w:autoSpaceDE w:val="0"/>
      <w:autoSpaceDN w:val="0"/>
      <w:adjustRightInd w:val="0"/>
      <w:textAlignment w:val="baseline"/>
    </w:pPr>
    <w:rPr>
      <w:rFonts w:ascii="宋体"/>
      <w:szCs w:val="20"/>
    </w:rPr>
  </w:style>
  <w:style w:type="paragraph" w:customStyle="1" w:styleId="627">
    <w:name w:val="ttop"/>
    <w:basedOn w:val="1"/>
    <w:uiPriority w:val="0"/>
    <w:pPr>
      <w:widowControl/>
      <w:spacing w:before="100" w:beforeAutospacing="1" w:after="100" w:afterAutospacing="1"/>
      <w:jc w:val="left"/>
    </w:pPr>
    <w:rPr>
      <w:rFonts w:ascii="宋体" w:hAnsi="宋体"/>
      <w:kern w:val="0"/>
      <w:sz w:val="24"/>
      <w:szCs w:val="20"/>
    </w:rPr>
  </w:style>
  <w:style w:type="paragraph" w:customStyle="1" w:styleId="628">
    <w:name w:val="1标题1级"/>
    <w:basedOn w:val="1"/>
    <w:uiPriority w:val="0"/>
    <w:pPr>
      <w:keepNext/>
      <w:snapToGrid w:val="0"/>
      <w:spacing w:line="420" w:lineRule="auto"/>
      <w:outlineLvl w:val="0"/>
    </w:pPr>
    <w:rPr>
      <w:rFonts w:eastAsia="黑体"/>
      <w:b/>
      <w:kern w:val="0"/>
      <w:sz w:val="30"/>
      <w:szCs w:val="20"/>
    </w:rPr>
  </w:style>
  <w:style w:type="paragraph" w:customStyle="1" w:styleId="629">
    <w:name w:val="图目"/>
    <w:basedOn w:val="1"/>
    <w:uiPriority w:val="0"/>
    <w:pPr>
      <w:adjustRightInd w:val="0"/>
      <w:spacing w:line="360" w:lineRule="atLeast"/>
      <w:jc w:val="center"/>
      <w:textAlignment w:val="baseline"/>
    </w:pPr>
    <w:rPr>
      <w:kern w:val="0"/>
      <w:sz w:val="24"/>
      <w:szCs w:val="20"/>
    </w:rPr>
  </w:style>
  <w:style w:type="paragraph" w:customStyle="1" w:styleId="630">
    <w:name w:val="MFS表格表头"/>
    <w:basedOn w:val="1"/>
    <w:uiPriority w:val="0"/>
    <w:pPr>
      <w:spacing w:before="156" w:beforeLines="50"/>
      <w:jc w:val="center"/>
    </w:pPr>
    <w:rPr>
      <w:rFonts w:ascii="黑体" w:eastAsia="黑体"/>
      <w:kern w:val="0"/>
      <w:sz w:val="20"/>
      <w:szCs w:val="21"/>
    </w:rPr>
  </w:style>
  <w:style w:type="paragraph" w:customStyle="1" w:styleId="631">
    <w:name w:val="编号"/>
    <w:basedOn w:val="1"/>
    <w:uiPriority w:val="0"/>
    <w:pPr>
      <w:tabs>
        <w:tab w:val="left" w:pos="360"/>
      </w:tabs>
      <w:adjustRightInd w:val="0"/>
      <w:ind w:left="170" w:hanging="170"/>
      <w:textAlignment w:val="baseline"/>
    </w:pPr>
    <w:rPr>
      <w:rFonts w:ascii="Courier New" w:hAnsi="Courier New"/>
      <w:kern w:val="0"/>
      <w:sz w:val="24"/>
      <w:szCs w:val="20"/>
    </w:rPr>
  </w:style>
  <w:style w:type="paragraph" w:customStyle="1" w:styleId="632">
    <w:name w:val="biaoge"/>
    <w:uiPriority w:val="0"/>
    <w:pPr>
      <w:ind w:left="-84" w:leftChars="-30"/>
      <w:jc w:val="center"/>
    </w:pPr>
    <w:rPr>
      <w:rFonts w:ascii="Times New Roman" w:hAnsi="Times New Roman" w:eastAsia="宋体" w:cs="Times New Roman"/>
      <w:spacing w:val="-10"/>
      <w:kern w:val="28"/>
      <w:sz w:val="28"/>
      <w:lang w:val="en-US" w:eastAsia="zh-CN" w:bidi="ar-SA"/>
    </w:rPr>
  </w:style>
  <w:style w:type="paragraph" w:customStyle="1" w:styleId="633">
    <w:name w:val="标题2（一级标题1.1）"/>
    <w:basedOn w:val="1"/>
    <w:uiPriority w:val="0"/>
    <w:pPr>
      <w:adjustRightInd w:val="0"/>
      <w:snapToGrid w:val="0"/>
      <w:spacing w:line="360" w:lineRule="auto"/>
      <w:jc w:val="left"/>
    </w:pPr>
    <w:rPr>
      <w:rFonts w:eastAsia="黑体"/>
      <w:b/>
      <w:bCs/>
      <w:kern w:val="0"/>
      <w:sz w:val="26"/>
      <w:szCs w:val="25"/>
    </w:rPr>
  </w:style>
  <w:style w:type="paragraph" w:customStyle="1" w:styleId="634">
    <w:name w:val="xl71"/>
    <w:basedOn w:val="1"/>
    <w:uiPriority w:val="0"/>
    <w:pPr>
      <w:widowControl/>
      <w:spacing w:before="100" w:beforeAutospacing="1" w:after="100" w:afterAutospacing="1"/>
      <w:jc w:val="left"/>
    </w:pPr>
    <w:rPr>
      <w:rFonts w:ascii="宋体" w:hAnsi="宋体"/>
      <w:kern w:val="0"/>
      <w:sz w:val="32"/>
      <w:szCs w:val="32"/>
    </w:rPr>
  </w:style>
  <w:style w:type="paragraph" w:customStyle="1" w:styleId="635">
    <w:name w:val="pic-info"/>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636">
    <w:name w:val="ttopl"/>
    <w:basedOn w:val="1"/>
    <w:uiPriority w:val="0"/>
    <w:pPr>
      <w:widowControl/>
      <w:spacing w:before="100" w:beforeAutospacing="1" w:after="100" w:afterAutospacing="1"/>
      <w:jc w:val="left"/>
    </w:pPr>
    <w:rPr>
      <w:rFonts w:ascii="宋体" w:hAnsi="宋体"/>
      <w:kern w:val="0"/>
      <w:sz w:val="24"/>
      <w:szCs w:val="20"/>
    </w:rPr>
  </w:style>
  <w:style w:type="paragraph" w:customStyle="1" w:styleId="637">
    <w:name w:val="样式 标题 3 + 黑色 Char Char Char"/>
    <w:basedOn w:val="5"/>
    <w:uiPriority w:val="0"/>
    <w:pPr>
      <w:keepNext w:val="0"/>
      <w:keepLines w:val="0"/>
      <w:tabs>
        <w:tab w:val="left" w:pos="1260"/>
      </w:tabs>
      <w:topLinePunct/>
      <w:snapToGrid w:val="0"/>
      <w:spacing w:before="0" w:beforeLines="50" w:after="0" w:afterLines="50" w:line="360" w:lineRule="auto"/>
      <w:ind w:left="567" w:hanging="420"/>
    </w:pPr>
    <w:rPr>
      <w:b w:val="0"/>
      <w:sz w:val="24"/>
      <w:szCs w:val="20"/>
    </w:rPr>
  </w:style>
  <w:style w:type="paragraph" w:customStyle="1" w:styleId="638">
    <w:name w:val="xl32"/>
    <w:basedOn w:val="1"/>
    <w:uiPriority w:val="0"/>
    <w:pPr>
      <w:widowControl/>
      <w:pBdr>
        <w:left w:val="single" w:color="auto" w:sz="12"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szCs w:val="21"/>
    </w:rPr>
  </w:style>
  <w:style w:type="paragraph" w:customStyle="1" w:styleId="639">
    <w:name w:val="xl5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40">
    <w:name w:val="font8"/>
    <w:basedOn w:val="1"/>
    <w:uiPriority w:val="0"/>
    <w:pPr>
      <w:widowControl/>
      <w:spacing w:before="100" w:beforeAutospacing="1" w:after="100" w:afterAutospacing="1"/>
      <w:jc w:val="left"/>
    </w:pPr>
    <w:rPr>
      <w:rFonts w:hint="eastAsia" w:ascii="宋体" w:hAnsi="宋体"/>
      <w:kern w:val="0"/>
      <w:sz w:val="16"/>
      <w:szCs w:val="16"/>
    </w:rPr>
  </w:style>
  <w:style w:type="paragraph" w:customStyle="1" w:styleId="641">
    <w:name w:val="样式 标题 3小标题小节标题H3h33rd level第二层条标题4标题 3 Char标题 3 Char Ch..."/>
    <w:basedOn w:val="5"/>
    <w:uiPriority w:val="0"/>
    <w:pPr>
      <w:tabs>
        <w:tab w:val="left" w:pos="851"/>
        <w:tab w:val="left" w:pos="1050"/>
      </w:tabs>
      <w:topLinePunct/>
      <w:snapToGrid w:val="0"/>
      <w:spacing w:before="120" w:beforeLines="50" w:after="120" w:afterLines="50" w:line="360" w:lineRule="auto"/>
      <w:ind w:left="851" w:hanging="851"/>
      <w:textAlignment w:val="baseline"/>
    </w:pPr>
    <w:rPr>
      <w:rFonts w:ascii="Arial" w:hAnsi="Arial"/>
      <w:bCs w:val="0"/>
      <w:kern w:val="32"/>
      <w:sz w:val="24"/>
      <w:szCs w:val="20"/>
    </w:rPr>
  </w:style>
  <w:style w:type="paragraph" w:customStyle="1" w:styleId="642">
    <w:name w:val="xl58"/>
    <w:basedOn w:val="1"/>
    <w:uiPriority w:val="0"/>
    <w:pPr>
      <w:widowControl/>
      <w:pBdr>
        <w:left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643">
    <w:name w:val="xl38"/>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44">
    <w:name w:val="表格1"/>
    <w:basedOn w:val="1"/>
    <w:uiPriority w:val="0"/>
    <w:pPr>
      <w:adjustRightInd w:val="0"/>
      <w:spacing w:line="280" w:lineRule="exact"/>
      <w:textAlignment w:val="baseline"/>
    </w:pPr>
    <w:rPr>
      <w:rFonts w:ascii="宋体"/>
      <w:spacing w:val="6"/>
      <w:kern w:val="0"/>
      <w:sz w:val="18"/>
      <w:szCs w:val="20"/>
    </w:rPr>
  </w:style>
  <w:style w:type="paragraph" w:customStyle="1" w:styleId="645">
    <w:name w:val="1标题4级"/>
    <w:basedOn w:val="215"/>
    <w:uiPriority w:val="0"/>
  </w:style>
  <w:style w:type="paragraph" w:customStyle="1" w:styleId="646">
    <w:name w:val="样式 标题 2 + 段前: 0.5 行"/>
    <w:basedOn w:val="4"/>
    <w:uiPriority w:val="0"/>
    <w:pPr>
      <w:keepNext w:val="0"/>
      <w:keepLines w:val="0"/>
      <w:tabs>
        <w:tab w:val="left" w:pos="540"/>
        <w:tab w:val="left" w:pos="737"/>
      </w:tabs>
      <w:snapToGrid w:val="0"/>
      <w:spacing w:before="50" w:beforeLines="50" w:after="0" w:line="360" w:lineRule="auto"/>
      <w:ind w:left="540" w:hanging="540"/>
    </w:pPr>
    <w:rPr>
      <w:rFonts w:ascii="Times New Roman" w:hAnsi="Times New Roman" w:cs="宋体"/>
      <w:b w:val="0"/>
      <w:sz w:val="24"/>
      <w:szCs w:val="20"/>
    </w:rPr>
  </w:style>
  <w:style w:type="paragraph" w:customStyle="1" w:styleId="647">
    <w:name w:val="+正文"/>
    <w:basedOn w:val="1"/>
    <w:uiPriority w:val="0"/>
    <w:pPr>
      <w:spacing w:line="360" w:lineRule="auto"/>
      <w:ind w:firstLine="200" w:firstLineChars="200"/>
    </w:pPr>
    <w:rPr>
      <w:kern w:val="0"/>
      <w:sz w:val="24"/>
      <w:szCs w:val="20"/>
    </w:rPr>
  </w:style>
  <w:style w:type="paragraph" w:customStyle="1" w:styleId="648">
    <w:name w:val="7"/>
    <w:basedOn w:val="1"/>
    <w:next w:val="1"/>
    <w:uiPriority w:val="0"/>
    <w:pPr>
      <w:tabs>
        <w:tab w:val="left" w:pos="780"/>
      </w:tabs>
      <w:spacing w:before="120" w:line="300" w:lineRule="auto"/>
      <w:ind w:left="780" w:leftChars="200" w:hanging="360" w:hangingChars="200"/>
      <w:jc w:val="left"/>
      <w:outlineLvl w:val="1"/>
    </w:pPr>
    <w:rPr>
      <w:rFonts w:eastAsia="仿宋_GB2312"/>
      <w:kern w:val="28"/>
      <w:sz w:val="24"/>
      <w:szCs w:val="20"/>
    </w:rPr>
  </w:style>
  <w:style w:type="paragraph" w:customStyle="1" w:styleId="649">
    <w:name w:val="标题样式2"/>
    <w:basedOn w:val="4"/>
    <w:uiPriority w:val="0"/>
    <w:pPr>
      <w:tabs>
        <w:tab w:val="left" w:pos="737"/>
      </w:tabs>
      <w:adjustRightInd w:val="0"/>
      <w:snapToGrid w:val="0"/>
      <w:spacing w:before="0" w:beforeLines="50" w:after="0" w:line="360" w:lineRule="auto"/>
      <w:jc w:val="left"/>
      <w:textAlignment w:val="baseline"/>
    </w:pPr>
    <w:rPr>
      <w:rFonts w:ascii="黑体" w:hAnsi="Arial"/>
      <w:bCs w:val="0"/>
      <w:kern w:val="0"/>
      <w:sz w:val="24"/>
      <w:szCs w:val="24"/>
    </w:rPr>
  </w:style>
  <w:style w:type="paragraph" w:customStyle="1" w:styleId="650">
    <w:name w:val="表后空行"/>
    <w:basedOn w:val="1"/>
    <w:uiPriority w:val="0"/>
    <w:pPr>
      <w:numPr>
        <w:ilvl w:val="4"/>
        <w:numId w:val="0"/>
      </w:numPr>
      <w:overflowPunct w:val="0"/>
      <w:adjustRightInd w:val="0"/>
      <w:textAlignment w:val="baseline"/>
    </w:pPr>
    <w:rPr>
      <w:kern w:val="28"/>
      <w:sz w:val="10"/>
      <w:szCs w:val="20"/>
    </w:rPr>
  </w:style>
  <w:style w:type="paragraph" w:customStyle="1" w:styleId="651">
    <w:name w:val="段落文字"/>
    <w:basedOn w:val="1"/>
    <w:uiPriority w:val="0"/>
    <w:pPr>
      <w:adjustRightInd w:val="0"/>
      <w:snapToGrid w:val="0"/>
      <w:spacing w:line="460" w:lineRule="exact"/>
      <w:ind w:firstLine="480" w:firstLineChars="200"/>
    </w:pPr>
    <w:rPr>
      <w:rFonts w:ascii="宋体" w:hAnsi="宋体"/>
      <w:kern w:val="0"/>
      <w:sz w:val="24"/>
      <w:szCs w:val="20"/>
    </w:rPr>
  </w:style>
  <w:style w:type="paragraph" w:customStyle="1" w:styleId="652">
    <w:name w:val="lw正文"/>
    <w:basedOn w:val="1"/>
    <w:uiPriority w:val="0"/>
    <w:pPr>
      <w:autoSpaceDE w:val="0"/>
      <w:autoSpaceDN w:val="0"/>
      <w:adjustRightInd w:val="0"/>
      <w:spacing w:line="360" w:lineRule="auto"/>
      <w:ind w:firstLine="420"/>
      <w:jc w:val="left"/>
    </w:pPr>
    <w:rPr>
      <w:kern w:val="0"/>
      <w:sz w:val="24"/>
      <w:szCs w:val="20"/>
    </w:rPr>
  </w:style>
  <w:style w:type="paragraph" w:customStyle="1" w:styleId="653">
    <w:name w:val="xl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0"/>
    </w:rPr>
  </w:style>
  <w:style w:type="paragraph" w:customStyle="1" w:styleId="654">
    <w:name w:val="正文（首行缩进）"/>
    <w:basedOn w:val="1"/>
    <w:uiPriority w:val="0"/>
    <w:pPr>
      <w:widowControl/>
      <w:spacing w:line="360" w:lineRule="auto"/>
      <w:ind w:firstLine="200" w:firstLineChars="200"/>
      <w:jc w:val="left"/>
    </w:pPr>
    <w:rPr>
      <w:rFonts w:ascii="宋体" w:hAnsi="宋体"/>
      <w:snapToGrid w:val="0"/>
      <w:color w:val="000000"/>
      <w:kern w:val="0"/>
      <w:sz w:val="24"/>
      <w:szCs w:val="20"/>
    </w:rPr>
  </w:style>
  <w:style w:type="paragraph" w:customStyle="1" w:styleId="655">
    <w:name w:val="1文章"/>
    <w:basedOn w:val="1"/>
    <w:uiPriority w:val="0"/>
    <w:pPr>
      <w:snapToGrid w:val="0"/>
      <w:spacing w:line="420" w:lineRule="auto"/>
      <w:ind w:firstLine="454"/>
      <w:outlineLvl w:val="4"/>
    </w:pPr>
    <w:rPr>
      <w:spacing w:val="4"/>
      <w:kern w:val="0"/>
      <w:sz w:val="24"/>
      <w:szCs w:val="20"/>
    </w:rPr>
  </w:style>
  <w:style w:type="paragraph" w:customStyle="1" w:styleId="656">
    <w:name w:val="1说明"/>
    <w:basedOn w:val="655"/>
    <w:uiPriority w:val="0"/>
    <w:rPr>
      <w:sz w:val="21"/>
    </w:rPr>
  </w:style>
  <w:style w:type="paragraph" w:customStyle="1" w:styleId="657">
    <w:name w:val="正文（首行缩进两字） Char Char Char"/>
    <w:basedOn w:val="1"/>
    <w:uiPriority w:val="0"/>
    <w:pPr>
      <w:spacing w:line="300" w:lineRule="auto"/>
      <w:ind w:firstLine="200" w:firstLineChars="200"/>
    </w:pPr>
    <w:rPr>
      <w:kern w:val="0"/>
      <w:sz w:val="24"/>
      <w:szCs w:val="20"/>
    </w:rPr>
  </w:style>
  <w:style w:type="paragraph" w:customStyle="1" w:styleId="658">
    <w:name w:val="样式5"/>
    <w:basedOn w:val="1"/>
    <w:uiPriority w:val="0"/>
    <w:pPr>
      <w:adjustRightInd w:val="0"/>
      <w:snapToGrid w:val="0"/>
      <w:spacing w:before="120" w:after="120" w:line="312" w:lineRule="auto"/>
      <w:ind w:firstLine="567"/>
    </w:pPr>
    <w:rPr>
      <w:rFonts w:ascii="宋体"/>
      <w:b/>
      <w:bCs/>
      <w:spacing w:val="6"/>
      <w:kern w:val="0"/>
      <w:sz w:val="32"/>
      <w:szCs w:val="32"/>
    </w:rPr>
  </w:style>
  <w:style w:type="paragraph" w:customStyle="1" w:styleId="659">
    <w:name w:val="1.1.1縮"/>
    <w:basedOn w:val="1"/>
    <w:uiPriority w:val="0"/>
    <w:pPr>
      <w:autoSpaceDE w:val="0"/>
      <w:autoSpaceDN w:val="0"/>
      <w:snapToGrid w:val="0"/>
      <w:spacing w:line="360" w:lineRule="auto"/>
      <w:ind w:left="1610" w:firstLine="554"/>
      <w:jc w:val="left"/>
    </w:pPr>
    <w:rPr>
      <w:rFonts w:eastAsia="DFKai-SB"/>
      <w:kern w:val="0"/>
      <w:sz w:val="28"/>
      <w:szCs w:val="20"/>
      <w:lang w:eastAsia="zh-TW"/>
    </w:rPr>
  </w:style>
  <w:style w:type="paragraph" w:customStyle="1" w:styleId="660">
    <w:name w:val="样式4"/>
    <w:basedOn w:val="5"/>
    <w:uiPriority w:val="0"/>
    <w:pPr>
      <w:keepNext w:val="0"/>
      <w:keepLines w:val="0"/>
      <w:topLinePunct/>
      <w:snapToGrid w:val="0"/>
      <w:spacing w:before="0" w:beforeLines="50" w:after="160" w:afterLines="50" w:line="440" w:lineRule="exact"/>
      <w:ind w:left="567" w:hanging="851"/>
    </w:pPr>
    <w:rPr>
      <w:b w:val="0"/>
      <w:sz w:val="28"/>
      <w:szCs w:val="20"/>
    </w:rPr>
  </w:style>
  <w:style w:type="paragraph" w:customStyle="1" w:styleId="661">
    <w:name w:val="项目1"/>
    <w:basedOn w:val="1"/>
    <w:uiPriority w:val="0"/>
    <w:pPr>
      <w:tabs>
        <w:tab w:val="left" w:pos="819"/>
      </w:tabs>
      <w:snapToGrid w:val="0"/>
      <w:spacing w:line="0" w:lineRule="atLeast"/>
      <w:ind w:left="819" w:hanging="420"/>
    </w:pPr>
    <w:rPr>
      <w:kern w:val="0"/>
      <w:sz w:val="28"/>
      <w:szCs w:val="20"/>
    </w:rPr>
  </w:style>
  <w:style w:type="paragraph" w:customStyle="1" w:styleId="662">
    <w:name w:val="正文文字首航缩2字"/>
    <w:basedOn w:val="1"/>
    <w:uiPriority w:val="0"/>
    <w:pPr>
      <w:spacing w:line="360" w:lineRule="auto"/>
      <w:ind w:firstLine="200" w:firstLineChars="200"/>
    </w:pPr>
    <w:rPr>
      <w:kern w:val="0"/>
      <w:sz w:val="24"/>
      <w:szCs w:val="20"/>
    </w:rPr>
  </w:style>
  <w:style w:type="paragraph" w:customStyle="1" w:styleId="663">
    <w:name w:val="p0"/>
    <w:basedOn w:val="1"/>
    <w:uiPriority w:val="0"/>
    <w:pPr>
      <w:widowControl/>
    </w:pPr>
    <w:rPr>
      <w:kern w:val="0"/>
      <w:sz w:val="20"/>
      <w:szCs w:val="21"/>
    </w:rPr>
  </w:style>
  <w:style w:type="paragraph" w:customStyle="1" w:styleId="664">
    <w:name w:val="Normal1"/>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65">
    <w:name w:val="edri-title first"/>
    <w:basedOn w:val="1"/>
    <w:uiPriority w:val="0"/>
    <w:pPr>
      <w:tabs>
        <w:tab w:val="left" w:pos="2"/>
        <w:tab w:val="left" w:pos="945"/>
      </w:tabs>
      <w:spacing w:before="50" w:beforeLines="50" w:line="300" w:lineRule="auto"/>
      <w:ind w:left="966" w:hanging="964"/>
      <w:outlineLvl w:val="0"/>
    </w:pPr>
    <w:rPr>
      <w:rFonts w:ascii="Arial Narrow" w:hAnsi="Arial Narrow"/>
      <w:b/>
      <w:bCs/>
      <w:kern w:val="0"/>
      <w:sz w:val="30"/>
      <w:szCs w:val="20"/>
    </w:rPr>
  </w:style>
  <w:style w:type="paragraph" w:customStyle="1" w:styleId="666">
    <w:name w:val="列表标题"/>
    <w:basedOn w:val="1"/>
    <w:next w:val="1"/>
    <w:uiPriority w:val="0"/>
    <w:pPr>
      <w:spacing w:line="360" w:lineRule="auto"/>
      <w:jc w:val="center"/>
    </w:pPr>
    <w:rPr>
      <w:kern w:val="0"/>
      <w:sz w:val="24"/>
      <w:szCs w:val="20"/>
    </w:rPr>
  </w:style>
  <w:style w:type="paragraph" w:customStyle="1" w:styleId="667">
    <w:name w:val="样式 正文文本 + 红色 Char"/>
    <w:basedOn w:val="24"/>
    <w:uiPriority w:val="0"/>
    <w:pPr>
      <w:widowControl w:val="0"/>
      <w:adjustRightInd w:val="0"/>
      <w:spacing w:after="60" w:line="264" w:lineRule="auto"/>
      <w:ind w:right="0" w:firstLine="200" w:firstLineChars="200"/>
      <w:textAlignment w:val="baseline"/>
    </w:pPr>
    <w:rPr>
      <w:rFonts w:eastAsia="仿宋_GB2312"/>
      <w:snapToGrid w:val="0"/>
      <w:color w:val="FF0000"/>
      <w:sz w:val="24"/>
      <w:szCs w:val="24"/>
    </w:rPr>
  </w:style>
  <w:style w:type="paragraph" w:customStyle="1" w:styleId="668">
    <w:name w:val="edri-title third Char1"/>
    <w:basedOn w:val="1"/>
    <w:uiPriority w:val="0"/>
    <w:pPr>
      <w:tabs>
        <w:tab w:val="left" w:pos="0"/>
        <w:tab w:val="left" w:pos="945"/>
      </w:tabs>
      <w:spacing w:before="50" w:beforeLines="50" w:line="300" w:lineRule="auto"/>
      <w:ind w:left="964" w:hanging="964"/>
      <w:outlineLvl w:val="2"/>
    </w:pPr>
    <w:rPr>
      <w:bCs/>
      <w:kern w:val="0"/>
      <w:sz w:val="24"/>
      <w:szCs w:val="20"/>
    </w:rPr>
  </w:style>
  <w:style w:type="paragraph" w:customStyle="1" w:styleId="669">
    <w:name w:val="edri-A title Char1"/>
    <w:basedOn w:val="668"/>
    <w:next w:val="668"/>
    <w:uiPriority w:val="0"/>
    <w:pPr>
      <w:tabs>
        <w:tab w:val="left" w:pos="851"/>
        <w:tab w:val="clear" w:pos="0"/>
        <w:tab w:val="clear" w:pos="945"/>
      </w:tabs>
      <w:ind w:left="851" w:hanging="851"/>
      <w:outlineLvl w:val="3"/>
    </w:pPr>
  </w:style>
  <w:style w:type="paragraph" w:customStyle="1" w:styleId="670">
    <w:name w:val="edri-1).title"/>
    <w:basedOn w:val="669"/>
    <w:uiPriority w:val="0"/>
    <w:pPr>
      <w:tabs>
        <w:tab w:val="left" w:pos="1785"/>
        <w:tab w:val="left" w:pos="2250"/>
        <w:tab w:val="clear" w:pos="851"/>
      </w:tabs>
      <w:ind w:left="2250" w:hanging="420"/>
      <w:outlineLvl w:val="4"/>
    </w:pPr>
  </w:style>
  <w:style w:type="paragraph" w:customStyle="1" w:styleId="671">
    <w:name w:val="Title.3"/>
    <w:next w:val="1"/>
    <w:uiPriority w:val="0"/>
    <w:pPr>
      <w:keepNext/>
      <w:keepLines/>
      <w:spacing w:before="50" w:beforeLines="50" w:line="360" w:lineRule="auto"/>
      <w:outlineLvl w:val="2"/>
    </w:pPr>
    <w:rPr>
      <w:rFonts w:ascii="Times New Roman" w:hAnsi="Times New Roman" w:eastAsia="仿宋_GB2312" w:cs="Times New Roman"/>
      <w:sz w:val="28"/>
      <w:lang w:val="en-US" w:eastAsia="zh-CN" w:bidi="ar-SA"/>
    </w:rPr>
  </w:style>
  <w:style w:type="paragraph" w:customStyle="1" w:styleId="672">
    <w:name w:val="样式 标题 2 + 段前: 0.5 行3"/>
    <w:basedOn w:val="4"/>
    <w:uiPriority w:val="0"/>
    <w:pPr>
      <w:keepNext w:val="0"/>
      <w:keepLines w:val="0"/>
      <w:tabs>
        <w:tab w:val="left" w:pos="540"/>
        <w:tab w:val="left" w:pos="737"/>
      </w:tabs>
      <w:snapToGrid w:val="0"/>
      <w:spacing w:before="50" w:beforeLines="50" w:after="0" w:line="360" w:lineRule="auto"/>
      <w:ind w:left="567" w:hanging="540"/>
    </w:pPr>
    <w:rPr>
      <w:rFonts w:ascii="Times New Roman" w:hAnsi="Times New Roman" w:cs="宋体"/>
      <w:b w:val="0"/>
      <w:sz w:val="24"/>
      <w:szCs w:val="20"/>
    </w:rPr>
  </w:style>
  <w:style w:type="paragraph" w:customStyle="1" w:styleId="673">
    <w:name w:val="二级条标题"/>
    <w:basedOn w:val="674"/>
    <w:next w:val="1"/>
    <w:uiPriority w:val="0"/>
    <w:pPr>
      <w:tabs>
        <w:tab w:val="left" w:pos="360"/>
      </w:tabs>
      <w:outlineLvl w:val="3"/>
    </w:pPr>
  </w:style>
  <w:style w:type="paragraph" w:customStyle="1" w:styleId="674">
    <w:name w:val="一级条标题"/>
    <w:basedOn w:val="3"/>
    <w:next w:val="1"/>
    <w:uiPriority w:val="0"/>
    <w:pPr>
      <w:keepNext w:val="0"/>
      <w:widowControl/>
      <w:tabs>
        <w:tab w:val="left" w:pos="360"/>
      </w:tabs>
      <w:overflowPunct/>
      <w:snapToGrid/>
      <w:spacing w:before="360" w:after="240" w:line="240" w:lineRule="auto"/>
      <w:ind w:left="0" w:firstLine="0"/>
      <w:outlineLvl w:val="2"/>
    </w:pPr>
    <w:rPr>
      <w:rFonts w:ascii="黑体"/>
      <w:b w:val="0"/>
      <w:bCs w:val="0"/>
      <w:color w:val="auto"/>
      <w:kern w:val="0"/>
      <w:sz w:val="21"/>
      <w:szCs w:val="20"/>
    </w:rPr>
  </w:style>
  <w:style w:type="paragraph" w:customStyle="1" w:styleId="675">
    <w:name w:val="表头字"/>
    <w:basedOn w:val="1"/>
    <w:uiPriority w:val="0"/>
    <w:pPr>
      <w:adjustRightInd w:val="0"/>
      <w:snapToGrid w:val="0"/>
      <w:spacing w:before="120" w:line="360" w:lineRule="auto"/>
      <w:jc w:val="center"/>
    </w:pPr>
    <w:rPr>
      <w:b/>
      <w:kern w:val="0"/>
      <w:sz w:val="20"/>
      <w:szCs w:val="21"/>
    </w:rPr>
  </w:style>
  <w:style w:type="paragraph" w:customStyle="1" w:styleId="676">
    <w:name w:val="已有表格"/>
    <w:basedOn w:val="1"/>
    <w:uiPriority w:val="0"/>
    <w:pPr>
      <w:adjustRightInd w:val="0"/>
      <w:spacing w:before="40" w:after="40"/>
      <w:jc w:val="center"/>
      <w:textAlignment w:val="baseline"/>
    </w:pPr>
    <w:rPr>
      <w:b/>
      <w:kern w:val="0"/>
      <w:sz w:val="24"/>
      <w:szCs w:val="20"/>
    </w:rPr>
  </w:style>
  <w:style w:type="paragraph" w:customStyle="1" w:styleId="677">
    <w:name w:val="项目"/>
    <w:basedOn w:val="1"/>
    <w:uiPriority w:val="0"/>
    <w:pPr>
      <w:tabs>
        <w:tab w:val="left" w:pos="360"/>
      </w:tabs>
    </w:pPr>
    <w:rPr>
      <w:kern w:val="0"/>
      <w:sz w:val="24"/>
      <w:szCs w:val="20"/>
    </w:rPr>
  </w:style>
  <w:style w:type="paragraph" w:customStyle="1" w:styleId="678">
    <w:name w:val="正文001"/>
    <w:basedOn w:val="1"/>
    <w:qFormat/>
    <w:uiPriority w:val="0"/>
    <w:pPr>
      <w:spacing w:before="60" w:line="460" w:lineRule="exact"/>
      <w:ind w:firstLine="200" w:firstLineChars="200"/>
    </w:pPr>
    <w:rPr>
      <w:rFonts w:ascii="Arial" w:hAnsi="Arial"/>
      <w:kern w:val="0"/>
      <w:sz w:val="24"/>
      <w:szCs w:val="20"/>
    </w:rPr>
  </w:style>
  <w:style w:type="paragraph" w:customStyle="1" w:styleId="679">
    <w:name w:val="MFS正文 Char"/>
    <w:basedOn w:val="23"/>
    <w:uiPriority w:val="0"/>
    <w:pPr>
      <w:adjustRightInd w:val="0"/>
      <w:snapToGrid w:val="0"/>
      <w:spacing w:before="93" w:line="360" w:lineRule="auto"/>
      <w:ind w:firstLine="200" w:firstLineChars="200"/>
    </w:pPr>
    <w:rPr>
      <w:rFonts w:eastAsia="楷体_GB2312"/>
      <w:spacing w:val="0"/>
      <w:kern w:val="2"/>
      <w:sz w:val="24"/>
      <w:szCs w:val="24"/>
    </w:rPr>
  </w:style>
  <w:style w:type="paragraph" w:customStyle="1" w:styleId="680">
    <w:name w:val="xl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81">
    <w:name w:val="xl37"/>
    <w:basedOn w:val="1"/>
    <w:uiPriority w:val="0"/>
    <w:pPr>
      <w:widowControl/>
      <w:pBdr>
        <w:bottom w:val="single" w:color="auto" w:sz="4" w:space="0"/>
        <w:right w:val="single" w:color="auto" w:sz="4" w:space="0"/>
      </w:pBdr>
      <w:spacing w:before="100" w:beforeAutospacing="1" w:after="100" w:afterAutospacing="1"/>
      <w:jc w:val="center"/>
      <w:textAlignment w:val="top"/>
    </w:pPr>
    <w:rPr>
      <w:rFonts w:ascii="Arial" w:hAnsi="Arial" w:eastAsia="Arial Unicode MS" w:cs="Arial"/>
      <w:b/>
      <w:bCs/>
      <w:color w:val="0000FF"/>
      <w:kern w:val="0"/>
      <w:sz w:val="20"/>
      <w:szCs w:val="21"/>
    </w:rPr>
  </w:style>
  <w:style w:type="paragraph" w:customStyle="1" w:styleId="682">
    <w:name w:val="BG1"/>
    <w:basedOn w:val="1"/>
    <w:uiPriority w:val="0"/>
    <w:pPr>
      <w:adjustRightInd w:val="0"/>
      <w:snapToGrid w:val="0"/>
      <w:jc w:val="center"/>
    </w:pPr>
    <w:rPr>
      <w:rFonts w:ascii="黑体" w:eastAsia="黑体"/>
      <w:snapToGrid w:val="0"/>
      <w:color w:val="000000"/>
      <w:kern w:val="0"/>
      <w:sz w:val="24"/>
      <w:szCs w:val="20"/>
    </w:rPr>
  </w:style>
  <w:style w:type="paragraph" w:customStyle="1" w:styleId="683">
    <w:name w:val="标题 11"/>
    <w:basedOn w:val="1"/>
    <w:next w:val="1"/>
    <w:uiPriority w:val="0"/>
    <w:pPr>
      <w:keepNext/>
      <w:keepLines/>
      <w:spacing w:line="360" w:lineRule="auto"/>
      <w:outlineLvl w:val="0"/>
    </w:pPr>
    <w:rPr>
      <w:rFonts w:ascii="黑体" w:hAnsi="宋体" w:eastAsia="黑体"/>
      <w:bCs/>
      <w:color w:val="0000FF"/>
      <w:kern w:val="44"/>
      <w:sz w:val="36"/>
      <w:szCs w:val="44"/>
    </w:rPr>
  </w:style>
  <w:style w:type="paragraph" w:customStyle="1" w:styleId="684">
    <w:name w:val="ｲﾝﾃﾞﾝﾄ-2"/>
    <w:basedOn w:val="1"/>
    <w:uiPriority w:val="0"/>
    <w:pPr>
      <w:spacing w:line="360" w:lineRule="atLeast"/>
      <w:ind w:left="737"/>
    </w:pPr>
    <w:rPr>
      <w:rFonts w:ascii="MS Gothic" w:hAnsi="Century" w:eastAsia="MS Gothic"/>
      <w:kern w:val="0"/>
      <w:sz w:val="20"/>
      <w:szCs w:val="20"/>
      <w:lang w:eastAsia="ja-JP"/>
    </w:rPr>
  </w:style>
  <w:style w:type="paragraph" w:customStyle="1" w:styleId="685">
    <w:name w:val=" Char4 Char Char Char Char Char Char1"/>
    <w:basedOn w:val="1"/>
    <w:uiPriority w:val="0"/>
    <w:pPr>
      <w:spacing w:line="360" w:lineRule="auto"/>
      <w:ind w:firstLine="200" w:firstLineChars="200"/>
    </w:pPr>
    <w:rPr>
      <w:rFonts w:ascii="宋体" w:hAnsi="宋体" w:cs="宋体"/>
      <w:kern w:val="0"/>
      <w:sz w:val="24"/>
      <w:szCs w:val="20"/>
    </w:rPr>
  </w:style>
  <w:style w:type="paragraph" w:customStyle="1" w:styleId="686">
    <w:name w:val="xl35"/>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87">
    <w:name w:val=" Char2 Char Char Char Char Char Char Char Char 字元 字元 Char Char Char"/>
    <w:basedOn w:val="1"/>
    <w:uiPriority w:val="0"/>
    <w:rPr>
      <w:kern w:val="0"/>
      <w:sz w:val="24"/>
      <w:szCs w:val="20"/>
    </w:rPr>
  </w:style>
  <w:style w:type="paragraph" w:customStyle="1" w:styleId="688">
    <w:name w:val="xl50"/>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89">
    <w:name w:val="IDC A-Head (2nd Line)"/>
    <w:basedOn w:val="1"/>
    <w:next w:val="1"/>
    <w:uiPriority w:val="0"/>
    <w:pPr>
      <w:widowControl/>
      <w:jc w:val="center"/>
    </w:pPr>
    <w:rPr>
      <w:caps/>
      <w:kern w:val="0"/>
      <w:sz w:val="24"/>
      <w:szCs w:val="20"/>
    </w:rPr>
  </w:style>
  <w:style w:type="paragraph" w:customStyle="1" w:styleId="690">
    <w:name w:val="样式6"/>
    <w:basedOn w:val="1"/>
    <w:next w:val="1"/>
    <w:uiPriority w:val="0"/>
    <w:pPr>
      <w:tabs>
        <w:tab w:val="left" w:pos="540"/>
      </w:tabs>
      <w:spacing w:line="440" w:lineRule="exact"/>
      <w:ind w:left="540" w:hanging="540"/>
    </w:pPr>
    <w:rPr>
      <w:kern w:val="0"/>
      <w:sz w:val="24"/>
      <w:szCs w:val="20"/>
    </w:rPr>
  </w:style>
  <w:style w:type="paragraph" w:customStyle="1" w:styleId="691">
    <w:name w:val="ttxtl"/>
    <w:basedOn w:val="1"/>
    <w:uiPriority w:val="0"/>
    <w:pPr>
      <w:widowControl/>
      <w:spacing w:before="100" w:beforeAutospacing="1" w:after="100" w:afterAutospacing="1"/>
      <w:jc w:val="left"/>
    </w:pPr>
    <w:rPr>
      <w:rFonts w:ascii="宋体" w:hAnsi="宋体"/>
      <w:kern w:val="0"/>
      <w:sz w:val="24"/>
      <w:szCs w:val="20"/>
    </w:rPr>
  </w:style>
  <w:style w:type="paragraph" w:customStyle="1" w:styleId="692">
    <w:name w:val="xl39"/>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693">
    <w:name w:val="樣式2"/>
    <w:basedOn w:val="5"/>
    <w:uiPriority w:val="0"/>
    <w:pPr>
      <w:keepLines w:val="0"/>
      <w:tabs>
        <w:tab w:val="left" w:pos="1050"/>
        <w:tab w:val="left" w:pos="3640"/>
      </w:tabs>
      <w:topLinePunct/>
      <w:snapToGrid w:val="0"/>
      <w:spacing w:before="240" w:beforeLines="50" w:after="240" w:afterLines="50" w:line="360" w:lineRule="auto"/>
      <w:ind w:left="284"/>
    </w:pPr>
    <w:rPr>
      <w:rFonts w:ascii="Arial" w:hAnsi="Arial" w:eastAsia="PMingLiU"/>
      <w:bCs w:val="0"/>
      <w:spacing w:val="20"/>
      <w:sz w:val="24"/>
      <w:szCs w:val="36"/>
      <w:lang w:eastAsia="zh-TW"/>
    </w:rPr>
  </w:style>
  <w:style w:type="paragraph" w:customStyle="1" w:styleId="694">
    <w:name w:val="4"/>
    <w:basedOn w:val="1"/>
    <w:next w:val="1"/>
    <w:uiPriority w:val="0"/>
    <w:pPr>
      <w:autoSpaceDE w:val="0"/>
      <w:autoSpaceDN w:val="0"/>
      <w:adjustRightInd w:val="0"/>
      <w:snapToGrid w:val="0"/>
      <w:spacing w:line="312" w:lineRule="atLeast"/>
    </w:pPr>
    <w:rPr>
      <w:rFonts w:ascii="宋体" w:hAnsi="Tms Rmn"/>
      <w:kern w:val="0"/>
      <w:sz w:val="18"/>
      <w:szCs w:val="20"/>
    </w:rPr>
  </w:style>
  <w:style w:type="paragraph" w:customStyle="1" w:styleId="695">
    <w:name w:val="讲稿"/>
    <w:basedOn w:val="1"/>
    <w:uiPriority w:val="0"/>
    <w:pPr>
      <w:tabs>
        <w:tab w:val="left" w:pos="1350"/>
      </w:tabs>
      <w:ind w:firstLine="431"/>
    </w:pPr>
    <w:rPr>
      <w:rFonts w:ascii="Arial" w:hAnsi="Arial"/>
      <w:kern w:val="0"/>
      <w:sz w:val="20"/>
      <w:szCs w:val="20"/>
    </w:rPr>
  </w:style>
  <w:style w:type="paragraph" w:customStyle="1" w:styleId="696">
    <w:name w:val="正文 + 宋体"/>
    <w:basedOn w:val="1"/>
    <w:uiPriority w:val="0"/>
    <w:rPr>
      <w:rFonts w:ascii="宋体" w:hAnsi="宋体"/>
      <w:kern w:val="0"/>
      <w:sz w:val="28"/>
      <w:szCs w:val="28"/>
    </w:rPr>
  </w:style>
  <w:style w:type="paragraph" w:customStyle="1" w:styleId="697">
    <w:name w:val="xl34"/>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16"/>
      <w:szCs w:val="16"/>
    </w:rPr>
  </w:style>
  <w:style w:type="paragraph" w:customStyle="1" w:styleId="698">
    <w:name w:val="样式 (符号) 宋体 13 磅 行距: 1.5 倍行距2"/>
    <w:basedOn w:val="1"/>
    <w:uiPriority w:val="0"/>
    <w:pPr>
      <w:spacing w:line="360" w:lineRule="auto"/>
      <w:ind w:firstLine="520" w:firstLineChars="200"/>
    </w:pPr>
    <w:rPr>
      <w:rFonts w:hAnsi="宋体" w:cs="宋体"/>
      <w:kern w:val="0"/>
      <w:sz w:val="26"/>
      <w:szCs w:val="20"/>
    </w:rPr>
  </w:style>
  <w:style w:type="paragraph" w:customStyle="1" w:styleId="699">
    <w:name w:val="样式 标题 3 + 段前: 0 磅 段后: 8 磅 行距: 固定值 22 磅1"/>
    <w:basedOn w:val="5"/>
    <w:uiPriority w:val="0"/>
    <w:pPr>
      <w:tabs>
        <w:tab w:val="left" w:pos="720"/>
      </w:tabs>
      <w:topLinePunct/>
      <w:snapToGrid w:val="0"/>
      <w:spacing w:before="0" w:beforeLines="50" w:after="0" w:afterLines="50" w:line="360" w:lineRule="auto"/>
      <w:ind w:left="720" w:hanging="720"/>
    </w:pPr>
    <w:rPr>
      <w:bCs w:val="0"/>
      <w:sz w:val="28"/>
      <w:szCs w:val="20"/>
    </w:rPr>
  </w:style>
  <w:style w:type="paragraph" w:customStyle="1" w:styleId="700">
    <w:name w:val="基准页眉样式"/>
    <w:basedOn w:val="24"/>
    <w:uiPriority w:val="0"/>
    <w:pPr>
      <w:widowControl w:val="0"/>
      <w:snapToGrid/>
      <w:spacing w:before="0" w:after="0" w:line="240" w:lineRule="auto"/>
      <w:ind w:right="0"/>
      <w:jc w:val="center"/>
      <w:outlineLvl w:val="0"/>
    </w:pPr>
    <w:rPr>
      <w:rFonts w:ascii="宋体" w:hAnsi="Garamond"/>
      <w:color w:val="000000"/>
      <w:spacing w:val="15"/>
      <w:kern w:val="2"/>
      <w:sz w:val="20"/>
    </w:rPr>
  </w:style>
  <w:style w:type="paragraph" w:customStyle="1" w:styleId="701">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702">
    <w:name w:val="首行缩进"/>
    <w:basedOn w:val="1"/>
    <w:uiPriority w:val="0"/>
    <w:pPr>
      <w:snapToGrid w:val="0"/>
      <w:spacing w:line="360" w:lineRule="auto"/>
      <w:ind w:firstLine="499"/>
    </w:pPr>
    <w:rPr>
      <w:rFonts w:ascii="宋体"/>
      <w:kern w:val="0"/>
      <w:sz w:val="24"/>
      <w:szCs w:val="20"/>
    </w:rPr>
  </w:style>
  <w:style w:type="paragraph" w:customStyle="1" w:styleId="703">
    <w:name w:val="內(1)"/>
    <w:basedOn w:val="1"/>
    <w:uiPriority w:val="0"/>
    <w:pPr>
      <w:snapToGrid w:val="0"/>
      <w:spacing w:line="420" w:lineRule="atLeast"/>
      <w:ind w:left="1531" w:firstLine="520" w:firstLineChars="200"/>
    </w:pPr>
    <w:rPr>
      <w:rFonts w:eastAsia="DFKai-SB"/>
      <w:kern w:val="0"/>
      <w:sz w:val="26"/>
      <w:szCs w:val="20"/>
      <w:lang w:eastAsia="zh-TW"/>
    </w:rPr>
  </w:style>
  <w:style w:type="paragraph" w:customStyle="1" w:styleId="704">
    <w:name w:val="Date"/>
    <w:basedOn w:val="1"/>
    <w:next w:val="1"/>
    <w:uiPriority w:val="0"/>
    <w:pPr>
      <w:adjustRightInd w:val="0"/>
      <w:textAlignment w:val="baseline"/>
    </w:pPr>
    <w:rPr>
      <w:rFonts w:cs="Garamond"/>
      <w:kern w:val="0"/>
      <w:sz w:val="20"/>
      <w:szCs w:val="20"/>
    </w:rPr>
  </w:style>
  <w:style w:type="paragraph" w:customStyle="1" w:styleId="705">
    <w:name w:val="样式 正文文字 +"/>
    <w:basedOn w:val="1"/>
    <w:uiPriority w:val="0"/>
    <w:pPr>
      <w:adjustRightInd w:val="0"/>
      <w:snapToGrid w:val="0"/>
      <w:spacing w:before="60" w:after="60" w:line="264" w:lineRule="auto"/>
      <w:ind w:firstLine="110" w:firstLineChars="110"/>
      <w:textAlignment w:val="baseline"/>
    </w:pPr>
    <w:rPr>
      <w:rFonts w:eastAsia="仿宋_GB2312"/>
      <w:snapToGrid w:val="0"/>
      <w:kern w:val="0"/>
      <w:sz w:val="24"/>
      <w:szCs w:val="20"/>
    </w:rPr>
  </w:style>
  <w:style w:type="paragraph" w:customStyle="1" w:styleId="706">
    <w:name w:val="标题33333"/>
    <w:basedOn w:val="5"/>
    <w:uiPriority w:val="0"/>
    <w:pPr>
      <w:keepNext w:val="0"/>
      <w:keepLines w:val="0"/>
      <w:topLinePunct/>
      <w:snapToGrid w:val="0"/>
      <w:spacing w:before="0" w:beforeLines="50" w:after="0" w:afterLines="50" w:line="360" w:lineRule="auto"/>
    </w:pPr>
    <w:rPr>
      <w:rFonts w:ascii="黑体" w:eastAsia="黑体"/>
      <w:b w:val="0"/>
      <w:bCs w:val="0"/>
      <w:sz w:val="28"/>
      <w:szCs w:val="28"/>
    </w:rPr>
  </w:style>
  <w:style w:type="paragraph" w:customStyle="1" w:styleId="707">
    <w:name w:val="8"/>
    <w:basedOn w:val="1"/>
    <w:next w:val="1"/>
    <w:uiPriority w:val="0"/>
    <w:pPr>
      <w:adjustRightInd w:val="0"/>
      <w:spacing w:before="60"/>
      <w:ind w:firstLine="480"/>
      <w:textAlignment w:val="baseline"/>
    </w:pPr>
    <w:rPr>
      <w:color w:val="FF0000"/>
      <w:kern w:val="0"/>
      <w:sz w:val="24"/>
      <w:szCs w:val="20"/>
    </w:rPr>
  </w:style>
  <w:style w:type="paragraph" w:customStyle="1" w:styleId="708">
    <w:name w:val="文本正文"/>
    <w:basedOn w:val="44"/>
    <w:uiPriority w:val="0"/>
    <w:pPr>
      <w:spacing w:before="156" w:beforeLines="50" w:after="156" w:afterLines="50" w:line="360" w:lineRule="auto"/>
      <w:ind w:firstLine="538" w:firstLineChars="224"/>
    </w:pPr>
    <w:rPr>
      <w:spacing w:val="0"/>
      <w:sz w:val="24"/>
    </w:rPr>
  </w:style>
  <w:style w:type="paragraph" w:customStyle="1" w:styleId="709">
    <w:name w:val="cs10 additive Default Pa"/>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710">
    <w:name w:val="表格中"/>
    <w:basedOn w:val="1"/>
    <w:uiPriority w:val="0"/>
    <w:pPr>
      <w:spacing w:line="280" w:lineRule="exact"/>
      <w:jc w:val="center"/>
    </w:pPr>
    <w:rPr>
      <w:rFonts w:ascii="宋体"/>
      <w:kern w:val="0"/>
      <w:sz w:val="18"/>
      <w:szCs w:val="20"/>
    </w:rPr>
  </w:style>
  <w:style w:type="paragraph" w:customStyle="1" w:styleId="711">
    <w:name w:val="1标题2级"/>
    <w:basedOn w:val="1"/>
    <w:uiPriority w:val="0"/>
    <w:pPr>
      <w:keepNext/>
      <w:snapToGrid w:val="0"/>
      <w:spacing w:line="420" w:lineRule="auto"/>
      <w:outlineLvl w:val="1"/>
    </w:pPr>
    <w:rPr>
      <w:rFonts w:eastAsia="黑体"/>
      <w:b/>
      <w:kern w:val="0"/>
      <w:sz w:val="28"/>
      <w:szCs w:val="20"/>
    </w:rPr>
  </w:style>
  <w:style w:type="paragraph" w:customStyle="1" w:styleId="712">
    <w:name w:val="xl49"/>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0"/>
    </w:rPr>
  </w:style>
  <w:style w:type="paragraph" w:customStyle="1" w:styleId="713">
    <w:name w:val="6"/>
    <w:basedOn w:val="1"/>
    <w:next w:val="65"/>
    <w:uiPriority w:val="0"/>
    <w:pPr>
      <w:widowControl/>
      <w:snapToGrid w:val="0"/>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714">
    <w:name w:val="肖琳川"/>
    <w:basedOn w:val="1"/>
    <w:qFormat/>
    <w:uiPriority w:val="0"/>
    <w:pPr>
      <w:spacing w:line="360" w:lineRule="auto"/>
      <w:ind w:firstLine="480" w:firstLineChars="200"/>
      <w:jc w:val="left"/>
      <w:textAlignment w:val="baseline"/>
    </w:pPr>
    <w:rPr>
      <w:color w:val="0000FF"/>
      <w:kern w:val="0"/>
      <w:sz w:val="24"/>
      <w:szCs w:val="20"/>
    </w:rPr>
  </w:style>
  <w:style w:type="paragraph" w:customStyle="1" w:styleId="715">
    <w:name w:val=" Char Char Char Char Char Char1 Char Char Char Char Char Char Char Char Char Char Char Char Char Char Char Char Char Char"/>
    <w:basedOn w:val="1"/>
    <w:uiPriority w:val="0"/>
    <w:pPr>
      <w:spacing w:line="360" w:lineRule="auto"/>
      <w:ind w:firstLine="200" w:firstLineChars="200"/>
    </w:pPr>
    <w:rPr>
      <w:rFonts w:ascii="宋体" w:hAnsi="宋体" w:cs="宋体"/>
      <w:kern w:val="0"/>
      <w:sz w:val="24"/>
      <w:szCs w:val="20"/>
    </w:rPr>
  </w:style>
  <w:style w:type="paragraph" w:customStyle="1" w:styleId="716">
    <w:name w:val="框图内容"/>
    <w:basedOn w:val="1"/>
    <w:uiPriority w:val="0"/>
    <w:pPr>
      <w:jc w:val="center"/>
    </w:pPr>
    <w:rPr>
      <w:rFonts w:ascii="宋体"/>
      <w:kern w:val="0"/>
      <w:sz w:val="20"/>
      <w:szCs w:val="20"/>
      <w:lang w:val="en-GB"/>
    </w:rPr>
  </w:style>
  <w:style w:type="paragraph" w:customStyle="1" w:styleId="717">
    <w:name w:val=" Char Char Char1 Char Char Char Char Char Char Char Char Char Char Char Char1 Char Char Char Char Char Char Char Char Char Char"/>
    <w:basedOn w:val="1"/>
    <w:uiPriority w:val="0"/>
    <w:rPr>
      <w:kern w:val="0"/>
      <w:sz w:val="20"/>
      <w:szCs w:val="20"/>
    </w:rPr>
  </w:style>
  <w:style w:type="paragraph" w:customStyle="1" w:styleId="718">
    <w:name w:val="样式 标题 2节标题标题21.1H2h2第一层条4.1二级标题标题 lxb2二级标题 Char表标题单位...1"/>
    <w:basedOn w:val="4"/>
    <w:uiPriority w:val="0"/>
    <w:pPr>
      <w:numPr>
        <w:ilvl w:val="1"/>
        <w:numId w:val="2"/>
      </w:numPr>
      <w:tabs>
        <w:tab w:val="left" w:pos="737"/>
      </w:tabs>
      <w:adjustRightInd w:val="0"/>
      <w:snapToGrid w:val="0"/>
      <w:spacing w:before="120" w:beforeLines="50" w:after="120" w:line="240" w:lineRule="auto"/>
      <w:ind w:left="284" w:hanging="284"/>
      <w:jc w:val="left"/>
      <w:textAlignment w:val="baseline"/>
    </w:pPr>
    <w:rPr>
      <w:rFonts w:ascii="Times New Roman" w:hAnsi="Times New Roman"/>
      <w:b w:val="0"/>
      <w:kern w:val="32"/>
      <w:szCs w:val="20"/>
    </w:rPr>
  </w:style>
  <w:style w:type="paragraph" w:customStyle="1" w:styleId="719">
    <w:name w:val="edri-正文"/>
    <w:basedOn w:val="1"/>
    <w:uiPriority w:val="0"/>
    <w:pPr>
      <w:spacing w:before="156" w:beforeLines="50" w:line="300" w:lineRule="auto"/>
      <w:ind w:left="899" w:leftChars="428"/>
    </w:pPr>
    <w:rPr>
      <w:snapToGrid w:val="0"/>
      <w:kern w:val="0"/>
      <w:sz w:val="24"/>
      <w:szCs w:val="20"/>
    </w:rPr>
  </w:style>
  <w:style w:type="paragraph" w:customStyle="1" w:styleId="720">
    <w:name w:val="样式 标题 1 + Times New Roman 二号 段后: 6 磅 行距: 单倍行距"/>
    <w:basedOn w:val="3"/>
    <w:uiPriority w:val="0"/>
    <w:pPr>
      <w:keepLines/>
      <w:tabs>
        <w:tab w:val="left" w:pos="360"/>
        <w:tab w:val="left" w:pos="425"/>
      </w:tabs>
      <w:overflowPunct/>
      <w:adjustRightInd w:val="0"/>
      <w:snapToGrid/>
      <w:spacing w:before="340" w:after="240" w:line="240" w:lineRule="auto"/>
      <w:ind w:left="425" w:hanging="425"/>
      <w:jc w:val="left"/>
      <w:textAlignment w:val="baseline"/>
    </w:pPr>
    <w:rPr>
      <w:rFonts w:eastAsia="宋体"/>
      <w:color w:val="auto"/>
      <w:kern w:val="0"/>
      <w:sz w:val="44"/>
      <w:szCs w:val="20"/>
    </w:rPr>
  </w:style>
  <w:style w:type="paragraph" w:customStyle="1" w:styleId="721">
    <w:name w:val="xl75"/>
    <w:basedOn w:val="1"/>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hint="eastAsia" w:ascii="宋体" w:hAnsi="宋体"/>
      <w:kern w:val="0"/>
      <w:sz w:val="32"/>
      <w:szCs w:val="32"/>
    </w:rPr>
  </w:style>
  <w:style w:type="paragraph" w:customStyle="1" w:styleId="722">
    <w:name w:val="样式 标题 1 + 段后: 6 磅"/>
    <w:basedOn w:val="3"/>
    <w:uiPriority w:val="0"/>
    <w:pPr>
      <w:keepLines/>
      <w:tabs>
        <w:tab w:val="left" w:pos="360"/>
      </w:tabs>
      <w:overflowPunct/>
      <w:snapToGrid/>
      <w:spacing w:before="340" w:after="240" w:line="240" w:lineRule="auto"/>
      <w:ind w:left="170" w:hanging="170"/>
      <w:jc w:val="left"/>
    </w:pPr>
    <w:rPr>
      <w:rFonts w:eastAsia="宋体" w:cs="宋体"/>
      <w:color w:val="auto"/>
      <w:kern w:val="0"/>
      <w:sz w:val="84"/>
      <w:szCs w:val="20"/>
    </w:rPr>
  </w:style>
  <w:style w:type="paragraph" w:customStyle="1" w:styleId="723">
    <w:name w:val="报告二级标题"/>
    <w:basedOn w:val="1"/>
    <w:uiPriority w:val="0"/>
    <w:pPr>
      <w:spacing w:before="50" w:beforeLines="50" w:after="50" w:afterLines="50" w:line="360" w:lineRule="auto"/>
      <w:outlineLvl w:val="1"/>
    </w:pPr>
    <w:rPr>
      <w:b/>
      <w:kern w:val="0"/>
      <w:sz w:val="30"/>
      <w:szCs w:val="20"/>
    </w:rPr>
  </w:style>
  <w:style w:type="paragraph" w:customStyle="1" w:styleId="724">
    <w:name w:val="項目:(一)[a]1.[a](1)[a]圈[a]A"/>
    <w:basedOn w:val="1"/>
    <w:uiPriority w:val="0"/>
    <w:pPr>
      <w:spacing w:line="320" w:lineRule="atLeast"/>
      <w:ind w:left="1548" w:hanging="289"/>
    </w:pPr>
    <w:rPr>
      <w:rFonts w:eastAsia="MingLiU"/>
      <w:kern w:val="0"/>
      <w:sz w:val="22"/>
      <w:szCs w:val="20"/>
      <w:lang w:eastAsia="zh-TW"/>
    </w:rPr>
  </w:style>
  <w:style w:type="paragraph" w:customStyle="1" w:styleId="725">
    <w:name w:val="图表"/>
    <w:basedOn w:val="24"/>
    <w:next w:val="24"/>
    <w:qFormat/>
    <w:uiPriority w:val="0"/>
    <w:pPr>
      <w:widowControl w:val="0"/>
      <w:tabs>
        <w:tab w:val="left" w:pos="360"/>
      </w:tabs>
      <w:adjustRightInd w:val="0"/>
      <w:spacing w:after="60" w:line="264" w:lineRule="auto"/>
      <w:ind w:right="0"/>
      <w:textAlignment w:val="baseline"/>
    </w:pPr>
    <w:rPr>
      <w:rFonts w:eastAsia="仿宋_GB2312"/>
      <w:snapToGrid w:val="0"/>
      <w:sz w:val="24"/>
      <w:szCs w:val="24"/>
    </w:rPr>
  </w:style>
  <w:style w:type="paragraph" w:customStyle="1" w:styleId="726">
    <w:name w:val="正文缩进 2字符 "/>
    <w:basedOn w:val="1"/>
    <w:uiPriority w:val="0"/>
    <w:pPr>
      <w:tabs>
        <w:tab w:val="left" w:pos="2160"/>
      </w:tabs>
      <w:snapToGrid w:val="0"/>
      <w:spacing w:before="120" w:after="120"/>
      <w:ind w:firstLine="480" w:firstLineChars="200"/>
    </w:pPr>
    <w:rPr>
      <w:rFonts w:eastAsia="仿宋_GB2312"/>
      <w:color w:val="000000"/>
      <w:kern w:val="0"/>
      <w:sz w:val="20"/>
      <w:szCs w:val="21"/>
    </w:rPr>
  </w:style>
  <w:style w:type="paragraph" w:customStyle="1" w:styleId="727">
    <w:name w:val="表格样式"/>
    <w:basedOn w:val="1"/>
    <w:uiPriority w:val="0"/>
    <w:pPr>
      <w:adjustRightInd w:val="0"/>
      <w:snapToGrid w:val="0"/>
      <w:jc w:val="center"/>
      <w:textAlignment w:val="baseline"/>
    </w:pPr>
    <w:rPr>
      <w:rFonts w:ascii="宋体"/>
      <w:snapToGrid w:val="0"/>
      <w:color w:val="000000"/>
      <w:kern w:val="0"/>
      <w:sz w:val="24"/>
      <w:szCs w:val="20"/>
    </w:rPr>
  </w:style>
  <w:style w:type="paragraph" w:customStyle="1" w:styleId="728">
    <w:name w:val="节2"/>
    <w:basedOn w:val="4"/>
    <w:uiPriority w:val="0"/>
    <w:pPr>
      <w:tabs>
        <w:tab w:val="left" w:pos="737"/>
      </w:tabs>
      <w:adjustRightInd w:val="0"/>
      <w:snapToGrid w:val="0"/>
      <w:spacing w:before="120" w:beforeLines="30" w:after="0" w:afterLines="30" w:line="312" w:lineRule="auto"/>
      <w:ind w:firstLine="567" w:firstLineChars="200"/>
      <w:textAlignment w:val="baseline"/>
    </w:pPr>
    <w:rPr>
      <w:rFonts w:ascii="宋体" w:hAnsi="Times New Roman"/>
      <w:snapToGrid w:val="0"/>
      <w:spacing w:val="6"/>
      <w:kern w:val="0"/>
      <w:szCs w:val="28"/>
    </w:rPr>
  </w:style>
  <w:style w:type="paragraph" w:customStyle="1" w:styleId="729">
    <w:name w:val="样式 (符号) 宋体 四号 行距: 1.5 倍行距"/>
    <w:basedOn w:val="1"/>
    <w:uiPriority w:val="0"/>
    <w:pPr>
      <w:jc w:val="center"/>
    </w:pPr>
    <w:rPr>
      <w:b/>
      <w:snapToGrid w:val="0"/>
      <w:spacing w:val="6"/>
      <w:kern w:val="0"/>
      <w:sz w:val="20"/>
      <w:szCs w:val="20"/>
    </w:rPr>
  </w:style>
  <w:style w:type="paragraph" w:customStyle="1" w:styleId="730">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6"/>
      <w:szCs w:val="16"/>
    </w:rPr>
  </w:style>
  <w:style w:type="paragraph" w:customStyle="1" w:styleId="731">
    <w:name w:val="表内4号居中"/>
    <w:uiPriority w:val="0"/>
    <w:pPr>
      <w:keepNext/>
      <w:adjustRightInd w:val="0"/>
      <w:snapToGrid w:val="0"/>
      <w:jc w:val="center"/>
    </w:pPr>
    <w:rPr>
      <w:rFonts w:ascii="黑体" w:hAnsi="Arial" w:eastAsia="黑体" w:cs="Times New Roman"/>
      <w:spacing w:val="20"/>
      <w:sz w:val="24"/>
      <w:szCs w:val="24"/>
      <w:lang w:val="en-US" w:eastAsia="zh-CN" w:bidi="ar-SA"/>
    </w:rPr>
  </w:style>
  <w:style w:type="paragraph" w:customStyle="1" w:styleId="732">
    <w:name w:val="正文文字"/>
    <w:basedOn w:val="24"/>
    <w:uiPriority w:val="0"/>
    <w:pPr>
      <w:widowControl w:val="0"/>
      <w:adjustRightInd w:val="0"/>
      <w:spacing w:before="0" w:after="0" w:line="264" w:lineRule="auto"/>
      <w:ind w:right="0"/>
      <w:jc w:val="center"/>
    </w:pPr>
    <w:rPr>
      <w:rFonts w:ascii="宋体" w:hAnsi="宋体" w:cs="宋体"/>
      <w:kern w:val="2"/>
      <w:sz w:val="20"/>
      <w:szCs w:val="21"/>
    </w:rPr>
  </w:style>
  <w:style w:type="paragraph" w:customStyle="1" w:styleId="733">
    <w:name w:val="样式 标题 3 + 左侧:  0 厘米 首行缩进:  0 厘米"/>
    <w:basedOn w:val="5"/>
    <w:uiPriority w:val="0"/>
    <w:pPr>
      <w:tabs>
        <w:tab w:val="left" w:pos="709"/>
        <w:tab w:val="left" w:pos="851"/>
        <w:tab w:val="left" w:pos="1050"/>
      </w:tabs>
      <w:topLinePunct/>
      <w:snapToGrid w:val="0"/>
      <w:spacing w:before="120" w:beforeLines="50" w:after="120" w:afterLines="50" w:line="360" w:lineRule="auto"/>
      <w:ind w:left="709" w:hanging="709"/>
      <w:textAlignment w:val="baseline"/>
    </w:pPr>
    <w:rPr>
      <w:rFonts w:cs="宋体"/>
      <w:bCs w:val="0"/>
      <w:kern w:val="32"/>
      <w:sz w:val="24"/>
      <w:szCs w:val="20"/>
    </w:rPr>
  </w:style>
  <w:style w:type="paragraph" w:customStyle="1" w:styleId="734">
    <w:name w:val="正文样式"/>
    <w:basedOn w:val="1"/>
    <w:uiPriority w:val="0"/>
    <w:pPr>
      <w:spacing w:line="360" w:lineRule="auto"/>
      <w:ind w:firstLine="480" w:firstLineChars="200"/>
    </w:pPr>
    <w:rPr>
      <w:rFonts w:ascii="宋体" w:hAnsi="宋体"/>
      <w:kern w:val="0"/>
      <w:sz w:val="24"/>
      <w:szCs w:val="20"/>
    </w:rPr>
  </w:style>
  <w:style w:type="paragraph" w:customStyle="1" w:styleId="735">
    <w:name w:val="_Style 33"/>
    <w:basedOn w:val="1"/>
    <w:uiPriority w:val="0"/>
    <w:rPr>
      <w:rFonts w:ascii="Tahoma" w:hAnsi="Tahoma"/>
      <w:kern w:val="0"/>
      <w:sz w:val="24"/>
      <w:szCs w:val="20"/>
    </w:rPr>
  </w:style>
  <w:style w:type="paragraph" w:customStyle="1" w:styleId="736">
    <w:name w:val="三级条标题"/>
    <w:basedOn w:val="673"/>
    <w:next w:val="1"/>
    <w:uiPriority w:val="0"/>
    <w:pPr>
      <w:outlineLvl w:val="4"/>
    </w:pPr>
  </w:style>
  <w:style w:type="paragraph" w:customStyle="1" w:styleId="737">
    <w:name w:val="MFS正文 Char Char"/>
    <w:basedOn w:val="23"/>
    <w:uiPriority w:val="0"/>
    <w:pPr>
      <w:adjustRightInd w:val="0"/>
      <w:snapToGrid w:val="0"/>
      <w:spacing w:before="93" w:after="0" w:line="360" w:lineRule="auto"/>
      <w:ind w:firstLine="487" w:firstLineChars="200"/>
    </w:pPr>
    <w:rPr>
      <w:rFonts w:eastAsia="楷体_GB2312"/>
      <w:spacing w:val="8"/>
      <w:kern w:val="24"/>
      <w:sz w:val="24"/>
    </w:rPr>
  </w:style>
  <w:style w:type="paragraph" w:customStyle="1" w:styleId="738">
    <w:name w:val="xl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739">
    <w:name w:val=" Char Char Char Char"/>
    <w:basedOn w:val="1"/>
    <w:uiPriority w:val="0"/>
    <w:rPr>
      <w:kern w:val="0"/>
      <w:sz w:val="20"/>
      <w:szCs w:val="20"/>
    </w:rPr>
  </w:style>
  <w:style w:type="paragraph" w:customStyle="1" w:styleId="740">
    <w:name w:val="样式 样式 首行缩进:  2 字符 + 首行缩进:  2 字符"/>
    <w:basedOn w:val="1"/>
    <w:uiPriority w:val="0"/>
    <w:pPr>
      <w:spacing w:line="500" w:lineRule="exact"/>
      <w:ind w:firstLine="200" w:firstLineChars="200"/>
    </w:pPr>
    <w:rPr>
      <w:rFonts w:cs="宋体"/>
      <w:spacing w:val="30"/>
      <w:kern w:val="0"/>
      <w:sz w:val="28"/>
      <w:szCs w:val="20"/>
    </w:rPr>
  </w:style>
  <w:style w:type="paragraph" w:customStyle="1" w:styleId="741">
    <w:name w:val="xl44"/>
    <w:basedOn w:val="1"/>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742">
    <w:name w:val="样式 标题 3小标题小节标题标题3H3h33rd level第二层条标题4 + Arial 两端对齐"/>
    <w:basedOn w:val="5"/>
    <w:uiPriority w:val="0"/>
    <w:pPr>
      <w:tabs>
        <w:tab w:val="left" w:pos="1050"/>
        <w:tab w:val="left" w:pos="1111"/>
      </w:tabs>
      <w:topLinePunct/>
      <w:snapToGrid w:val="0"/>
      <w:spacing w:before="120" w:beforeLines="50" w:after="120" w:afterLines="50" w:line="360" w:lineRule="auto"/>
      <w:ind w:left="851" w:hanging="851"/>
      <w:textAlignment w:val="baseline"/>
    </w:pPr>
    <w:rPr>
      <w:rFonts w:ascii="Arial" w:hAnsi="Arial" w:cs="宋体"/>
      <w:kern w:val="32"/>
      <w:sz w:val="30"/>
      <w:szCs w:val="20"/>
    </w:rPr>
  </w:style>
  <w:style w:type="paragraph" w:customStyle="1" w:styleId="743">
    <w:name w:val="font6"/>
    <w:basedOn w:val="1"/>
    <w:uiPriority w:val="0"/>
    <w:pPr>
      <w:widowControl/>
      <w:spacing w:before="100" w:beforeAutospacing="1" w:after="100" w:afterAutospacing="1"/>
      <w:jc w:val="left"/>
    </w:pPr>
    <w:rPr>
      <w:rFonts w:hint="eastAsia" w:ascii="宋体" w:hAnsi="宋体"/>
      <w:kern w:val="0"/>
      <w:sz w:val="18"/>
      <w:szCs w:val="18"/>
    </w:rPr>
  </w:style>
  <w:style w:type="paragraph" w:customStyle="1" w:styleId="744">
    <w:name w:val="font5"/>
    <w:basedOn w:val="1"/>
    <w:uiPriority w:val="0"/>
    <w:pPr>
      <w:widowControl/>
      <w:spacing w:before="100" w:beforeAutospacing="1" w:after="100" w:afterAutospacing="1"/>
      <w:jc w:val="left"/>
    </w:pPr>
    <w:rPr>
      <w:rFonts w:ascii="宋体" w:hAnsi="宋体" w:cs="楷体_GB2312"/>
      <w:kern w:val="0"/>
      <w:sz w:val="18"/>
      <w:szCs w:val="18"/>
    </w:rPr>
  </w:style>
  <w:style w:type="paragraph" w:customStyle="1" w:styleId="745">
    <w:name w:val="表格内容格式"/>
    <w:basedOn w:val="1"/>
    <w:uiPriority w:val="0"/>
    <w:pPr>
      <w:adjustRightInd w:val="0"/>
      <w:spacing w:line="220" w:lineRule="exact"/>
      <w:jc w:val="center"/>
      <w:textAlignment w:val="baseline"/>
    </w:pPr>
    <w:rPr>
      <w:rFonts w:ascii="宋体" w:hAnsi="宋体"/>
      <w:snapToGrid w:val="0"/>
      <w:kern w:val="0"/>
      <w:sz w:val="18"/>
      <w:szCs w:val="18"/>
    </w:rPr>
  </w:style>
  <w:style w:type="paragraph" w:customStyle="1" w:styleId="746">
    <w:name w:val="二级无标题条"/>
    <w:basedOn w:val="1"/>
    <w:uiPriority w:val="0"/>
    <w:pPr>
      <w:tabs>
        <w:tab w:val="left" w:pos="2160"/>
      </w:tabs>
      <w:spacing w:line="400" w:lineRule="exact"/>
      <w:ind w:left="2160" w:hanging="420"/>
    </w:pPr>
    <w:rPr>
      <w:kern w:val="0"/>
      <w:sz w:val="24"/>
      <w:szCs w:val="20"/>
    </w:rPr>
  </w:style>
  <w:style w:type="paragraph" w:customStyle="1" w:styleId="747">
    <w:name w:val="可研正文"/>
    <w:basedOn w:val="1"/>
    <w:uiPriority w:val="0"/>
    <w:pPr>
      <w:spacing w:line="360" w:lineRule="auto"/>
      <w:ind w:firstLine="560" w:firstLineChars="200"/>
    </w:pPr>
    <w:rPr>
      <w:rFonts w:ascii="宋体" w:hAnsi="宋体" w:cs="宋体"/>
      <w:kern w:val="0"/>
      <w:sz w:val="28"/>
      <w:szCs w:val="20"/>
    </w:rPr>
  </w:style>
  <w:style w:type="paragraph" w:customStyle="1" w:styleId="748">
    <w:name w:val="表格居中3"/>
    <w:basedOn w:val="1"/>
    <w:uiPriority w:val="0"/>
    <w:pPr>
      <w:jc w:val="center"/>
      <w:outlineLvl w:val="3"/>
    </w:pPr>
    <w:rPr>
      <w:rFonts w:ascii="宋体" w:hAnsi="宋体"/>
      <w:kern w:val="0"/>
      <w:sz w:val="20"/>
      <w:szCs w:val="20"/>
    </w:rPr>
  </w:style>
  <w:style w:type="paragraph" w:customStyle="1" w:styleId="749">
    <w:name w:val="表头 Char Char"/>
    <w:basedOn w:val="1"/>
    <w:uiPriority w:val="0"/>
    <w:pPr>
      <w:spacing w:line="360" w:lineRule="auto"/>
      <w:jc w:val="center"/>
    </w:pPr>
    <w:rPr>
      <w:rFonts w:ascii="黑体" w:hAnsi="黑体" w:eastAsia="黑体"/>
      <w:kern w:val="0"/>
      <w:sz w:val="20"/>
      <w:szCs w:val="20"/>
    </w:rPr>
  </w:style>
  <w:style w:type="paragraph" w:customStyle="1" w:styleId="750">
    <w:name w:val="inhalt1"/>
    <w:basedOn w:val="1"/>
    <w:uiPriority w:val="0"/>
    <w:pPr>
      <w:widowControl/>
      <w:spacing w:before="100" w:beforeAutospacing="1" w:after="100" w:afterAutospacing="1"/>
      <w:jc w:val="left"/>
    </w:pPr>
    <w:rPr>
      <w:rFonts w:ascii="宋体" w:hAnsi="宋体"/>
      <w:color w:val="000000"/>
      <w:kern w:val="0"/>
      <w:sz w:val="24"/>
      <w:szCs w:val="20"/>
    </w:rPr>
  </w:style>
  <w:style w:type="paragraph" w:customStyle="1" w:styleId="751">
    <w:name w:val="font9"/>
    <w:basedOn w:val="1"/>
    <w:uiPriority w:val="0"/>
    <w:pPr>
      <w:widowControl/>
      <w:spacing w:before="100" w:beforeAutospacing="1" w:after="100" w:afterAutospacing="1"/>
      <w:jc w:val="left"/>
    </w:pPr>
    <w:rPr>
      <w:rFonts w:hint="eastAsia" w:ascii="宋体" w:hAnsi="宋体"/>
      <w:kern w:val="0"/>
      <w:sz w:val="16"/>
      <w:szCs w:val="16"/>
    </w:rPr>
  </w:style>
  <w:style w:type="paragraph" w:customStyle="1" w:styleId="752">
    <w:name w:val="zhang正文"/>
    <w:basedOn w:val="34"/>
    <w:uiPriority w:val="0"/>
    <w:pPr>
      <w:autoSpaceDE w:val="0"/>
      <w:autoSpaceDN w:val="0"/>
      <w:adjustRightInd w:val="0"/>
      <w:snapToGrid w:val="0"/>
      <w:spacing w:after="0" w:line="360" w:lineRule="auto"/>
      <w:ind w:left="0" w:leftChars="0" w:firstLine="539"/>
    </w:pPr>
    <w:rPr>
      <w:rFonts w:eastAsia="楷体_GB2312"/>
      <w:sz w:val="28"/>
    </w:rPr>
  </w:style>
  <w:style w:type="paragraph" w:customStyle="1" w:styleId="753">
    <w:name w:val="5"/>
    <w:basedOn w:val="1"/>
    <w:next w:val="65"/>
    <w:uiPriority w:val="0"/>
    <w:pPr>
      <w:widowControl/>
      <w:snapToGrid w:val="0"/>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754">
    <w:name w:val="样式 标题 1章标题标题1章节H1NMP Heading 1 + Arial 左 段前: 12 磅 段后: 6 ..."/>
    <w:basedOn w:val="3"/>
    <w:uiPriority w:val="0"/>
    <w:pPr>
      <w:keepLines/>
      <w:tabs>
        <w:tab w:val="left" w:pos="360"/>
      </w:tabs>
      <w:overflowPunct/>
      <w:snapToGrid/>
      <w:spacing w:before="360" w:after="240" w:line="240" w:lineRule="auto"/>
      <w:ind w:left="170" w:hanging="170"/>
      <w:jc w:val="left"/>
    </w:pPr>
    <w:rPr>
      <w:rFonts w:eastAsia="宋体"/>
      <w:color w:val="auto"/>
      <w:spacing w:val="-12"/>
      <w:kern w:val="0"/>
      <w:sz w:val="44"/>
      <w:szCs w:val="44"/>
    </w:rPr>
  </w:style>
  <w:style w:type="paragraph" w:customStyle="1" w:styleId="755">
    <w:name w:val=" Char2"/>
    <w:basedOn w:val="1"/>
    <w:uiPriority w:val="0"/>
    <w:rPr>
      <w:kern w:val="0"/>
      <w:sz w:val="24"/>
      <w:szCs w:val="20"/>
    </w:rPr>
  </w:style>
  <w:style w:type="paragraph" w:customStyle="1" w:styleId="756">
    <w:name w:val="ST20_1"/>
    <w:basedOn w:val="1"/>
    <w:uiPriority w:val="0"/>
    <w:pPr>
      <w:adjustRightInd w:val="0"/>
      <w:jc w:val="center"/>
      <w:textAlignment w:val="baseline"/>
    </w:pPr>
    <w:rPr>
      <w:rFonts w:ascii="宋体"/>
      <w:kern w:val="0"/>
      <w:sz w:val="20"/>
      <w:szCs w:val="20"/>
    </w:rPr>
  </w:style>
  <w:style w:type="paragraph" w:customStyle="1" w:styleId="757">
    <w:name w:val="1表格头"/>
    <w:basedOn w:val="758"/>
    <w:uiPriority w:val="0"/>
    <w:pPr>
      <w:spacing w:line="420" w:lineRule="auto"/>
      <w:outlineLvl w:val="3"/>
    </w:pPr>
    <w:rPr>
      <w:rFonts w:eastAsia="黑体"/>
      <w:b/>
      <w:spacing w:val="4"/>
      <w:kern w:val="0"/>
      <w:sz w:val="24"/>
    </w:rPr>
  </w:style>
  <w:style w:type="paragraph" w:customStyle="1" w:styleId="758">
    <w:name w:val="1表格"/>
    <w:basedOn w:val="1"/>
    <w:next w:val="24"/>
    <w:qFormat/>
    <w:uiPriority w:val="0"/>
    <w:pPr>
      <w:snapToGrid w:val="0"/>
      <w:spacing w:line="160" w:lineRule="atLeast"/>
      <w:jc w:val="center"/>
    </w:pPr>
    <w:rPr>
      <w:rFonts w:eastAsia="仿宋_GB2312"/>
      <w:szCs w:val="20"/>
    </w:rPr>
  </w:style>
  <w:style w:type="paragraph" w:customStyle="1" w:styleId="759">
    <w:name w:val="edri-制表位1"/>
    <w:basedOn w:val="719"/>
    <w:uiPriority w:val="0"/>
    <w:pPr>
      <w:tabs>
        <w:tab w:val="left" w:pos="4620"/>
      </w:tabs>
      <w:spacing w:line="240" w:lineRule="auto"/>
    </w:pPr>
  </w:style>
  <w:style w:type="paragraph" w:customStyle="1" w:styleId="760">
    <w:name w:val="样式 宋体 四号 首行缩进:  0.83 厘米 行距: 最小值 6 磅"/>
    <w:basedOn w:val="1"/>
    <w:uiPriority w:val="0"/>
    <w:pPr>
      <w:spacing w:line="480" w:lineRule="exact"/>
      <w:ind w:firstLine="567"/>
    </w:pPr>
    <w:rPr>
      <w:rFonts w:ascii="宋体" w:hAnsi="宋体" w:cs="宋体"/>
      <w:kern w:val="0"/>
      <w:sz w:val="28"/>
      <w:szCs w:val="20"/>
    </w:rPr>
  </w:style>
  <w:style w:type="paragraph" w:customStyle="1" w:styleId="761">
    <w:name w:val="樣式6"/>
    <w:basedOn w:val="1"/>
    <w:uiPriority w:val="0"/>
    <w:pPr>
      <w:adjustRightInd w:val="0"/>
      <w:spacing w:line="0" w:lineRule="atLeast"/>
      <w:ind w:left="57"/>
      <w:jc w:val="left"/>
      <w:textAlignment w:val="baseline"/>
    </w:pPr>
    <w:rPr>
      <w:rFonts w:ascii="Arial" w:hAnsi="Arial" w:eastAsia="MingLiU"/>
      <w:b/>
      <w:kern w:val="0"/>
      <w:sz w:val="24"/>
      <w:szCs w:val="20"/>
      <w:lang w:eastAsia="zh-TW"/>
    </w:rPr>
  </w:style>
  <w:style w:type="paragraph" w:customStyle="1" w:styleId="762">
    <w:name w:val="样式 报告表正文 + 首行缩进:  2 字符 行距: 1.5 倍行距"/>
    <w:basedOn w:val="312"/>
    <w:uiPriority w:val="0"/>
    <w:pPr>
      <w:spacing w:line="360" w:lineRule="auto"/>
      <w:ind w:left="0" w:firstLine="0"/>
      <w:jc w:val="both"/>
      <w:textAlignment w:val="auto"/>
    </w:pPr>
    <w:rPr>
      <w:rFonts w:cs="宋体"/>
      <w:color w:val="0000FF"/>
      <w:kern w:val="2"/>
    </w:rPr>
  </w:style>
  <w:style w:type="paragraph" w:customStyle="1" w:styleId="763">
    <w:name w:val="font7"/>
    <w:basedOn w:val="1"/>
    <w:uiPriority w:val="0"/>
    <w:pPr>
      <w:widowControl/>
      <w:spacing w:before="100" w:beforeAutospacing="1" w:after="100" w:afterAutospacing="1"/>
      <w:jc w:val="left"/>
    </w:pPr>
    <w:rPr>
      <w:rFonts w:hint="eastAsia" w:ascii="宋体" w:hAnsi="宋体"/>
      <w:kern w:val="0"/>
      <w:sz w:val="16"/>
      <w:szCs w:val="16"/>
    </w:rPr>
  </w:style>
  <w:style w:type="paragraph" w:customStyle="1" w:styleId="764">
    <w:name w:val="Body Text Indent 3"/>
    <w:basedOn w:val="1"/>
    <w:uiPriority w:val="0"/>
    <w:pPr>
      <w:adjustRightInd w:val="0"/>
      <w:spacing w:line="480" w:lineRule="exact"/>
      <w:ind w:firstLine="480"/>
      <w:textAlignment w:val="baseline"/>
    </w:pPr>
    <w:rPr>
      <w:color w:val="000000"/>
      <w:kern w:val="0"/>
      <w:sz w:val="24"/>
      <w:szCs w:val="20"/>
    </w:rPr>
  </w:style>
  <w:style w:type="paragraph" w:customStyle="1" w:styleId="765">
    <w:name w:val="Char Char Char Char"/>
    <w:basedOn w:val="1"/>
    <w:uiPriority w:val="0"/>
    <w:rPr>
      <w:kern w:val="0"/>
      <w:sz w:val="20"/>
      <w:szCs w:val="20"/>
    </w:rPr>
  </w:style>
  <w:style w:type="paragraph" w:customStyle="1" w:styleId="766">
    <w:name w:val="1.1.1.1-"/>
    <w:basedOn w:val="1"/>
    <w:uiPriority w:val="0"/>
    <w:pPr>
      <w:tabs>
        <w:tab w:val="left" w:pos="398"/>
        <w:tab w:val="left" w:pos="2268"/>
      </w:tabs>
      <w:wordWrap w:val="0"/>
      <w:adjustRightInd w:val="0"/>
      <w:snapToGrid w:val="0"/>
      <w:spacing w:line="360" w:lineRule="atLeast"/>
      <w:ind w:left="398" w:firstLine="1587"/>
      <w:textAlignment w:val="baseline"/>
    </w:pPr>
    <w:rPr>
      <w:rFonts w:ascii="Arial" w:hAnsi="Arial" w:eastAsia="Gulim"/>
      <w:kern w:val="0"/>
      <w:sz w:val="20"/>
      <w:szCs w:val="20"/>
    </w:rPr>
  </w:style>
  <w:style w:type="paragraph" w:customStyle="1" w:styleId="767">
    <w:name w:val="正文首行缩进2字符"/>
    <w:basedOn w:val="1"/>
    <w:uiPriority w:val="0"/>
    <w:pPr>
      <w:autoSpaceDE w:val="0"/>
      <w:autoSpaceDN w:val="0"/>
      <w:spacing w:line="560" w:lineRule="exact"/>
      <w:ind w:firstLine="200" w:firstLineChars="200"/>
    </w:pPr>
    <w:rPr>
      <w:kern w:val="0"/>
      <w:sz w:val="28"/>
      <w:szCs w:val="20"/>
    </w:rPr>
  </w:style>
  <w:style w:type="paragraph" w:customStyle="1" w:styleId="768">
    <w:name w:val="1.1.1-"/>
    <w:basedOn w:val="1"/>
    <w:uiPriority w:val="0"/>
    <w:pPr>
      <w:tabs>
        <w:tab w:val="left" w:pos="397"/>
      </w:tabs>
      <w:wordWrap w:val="0"/>
      <w:adjustRightInd w:val="0"/>
      <w:snapToGrid w:val="0"/>
      <w:spacing w:line="360" w:lineRule="atLeast"/>
      <w:ind w:left="397" w:firstLine="1021"/>
      <w:textAlignment w:val="baseline"/>
    </w:pPr>
    <w:rPr>
      <w:rFonts w:ascii="Arial" w:hAnsi="Arial" w:eastAsia="Gulim"/>
      <w:kern w:val="0"/>
      <w:sz w:val="20"/>
      <w:szCs w:val="20"/>
    </w:rPr>
  </w:style>
  <w:style w:type="paragraph" w:customStyle="1" w:styleId="769">
    <w:name w:val="xl25"/>
    <w:basedOn w:val="1"/>
    <w:uiPriority w:val="0"/>
    <w:pPr>
      <w:widowControl/>
      <w:pBdr>
        <w:left w:val="single" w:color="auto" w:sz="12"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1"/>
    </w:rPr>
  </w:style>
  <w:style w:type="paragraph" w:customStyle="1" w:styleId="770">
    <w:name w:val="无间隔3"/>
    <w:qFormat/>
    <w:uiPriority w:val="0"/>
    <w:pPr>
      <w:adjustRightInd w:val="0"/>
      <w:snapToGrid w:val="0"/>
      <w:spacing w:line="360" w:lineRule="auto"/>
    </w:pPr>
    <w:rPr>
      <w:rFonts w:ascii="Times New Roman" w:hAnsi="Times New Roman" w:eastAsia="黑体" w:cs="Times New Roman"/>
      <w:sz w:val="24"/>
      <w:lang w:val="en-US" w:eastAsia="zh-CN" w:bidi="ar-SA"/>
    </w:rPr>
  </w:style>
  <w:style w:type="paragraph" w:customStyle="1" w:styleId="771">
    <w:name w:val="正文 首行缩进:  2 字符"/>
    <w:basedOn w:val="1"/>
    <w:qFormat/>
    <w:uiPriority w:val="0"/>
    <w:pPr>
      <w:spacing w:line="360" w:lineRule="auto"/>
      <w:ind w:firstLine="200" w:firstLineChars="200"/>
    </w:pPr>
    <w:rPr>
      <w:rFonts w:ascii="Calibri" w:hAnsi="Calibri" w:cs="宋体"/>
      <w:kern w:val="0"/>
      <w:sz w:val="24"/>
      <w:szCs w:val="20"/>
    </w:rPr>
  </w:style>
  <w:style w:type="paragraph" w:customStyle="1" w:styleId="772">
    <w:name w:val="表头000000"/>
    <w:basedOn w:val="1"/>
    <w:next w:val="1"/>
    <w:uiPriority w:val="0"/>
    <w:pPr>
      <w:snapToGrid w:val="0"/>
      <w:spacing w:line="240" w:lineRule="atLeast"/>
      <w:jc w:val="center"/>
    </w:pPr>
    <w:rPr>
      <w:rFonts w:ascii="黑体" w:hAnsi="宋体" w:eastAsia="黑体"/>
      <w:bCs/>
      <w:kern w:val="0"/>
      <w:sz w:val="24"/>
      <w:szCs w:val="28"/>
    </w:rPr>
  </w:style>
  <w:style w:type="paragraph" w:customStyle="1" w:styleId="773">
    <w:name w:val="center-block"/>
    <w:basedOn w:val="1"/>
    <w:qFormat/>
    <w:uiPriority w:val="0"/>
    <w:pPr>
      <w:widowControl/>
      <w:spacing w:before="100" w:beforeAutospacing="1" w:after="100" w:afterAutospacing="1"/>
      <w:jc w:val="left"/>
    </w:pPr>
    <w:rPr>
      <w:rFonts w:ascii="宋体" w:hAnsi="宋体" w:cs="宋体"/>
      <w:kern w:val="0"/>
      <w:sz w:val="24"/>
    </w:rPr>
  </w:style>
  <w:style w:type="paragraph" w:customStyle="1" w:styleId="774">
    <w:name w:val="Date1"/>
    <w:basedOn w:val="1"/>
    <w:next w:val="1"/>
    <w:uiPriority w:val="0"/>
    <w:pPr>
      <w:adjustRightInd w:val="0"/>
      <w:textAlignment w:val="baseline"/>
    </w:pPr>
    <w:rPr>
      <w:kern w:val="0"/>
      <w:sz w:val="20"/>
      <w:szCs w:val="20"/>
    </w:rPr>
  </w:style>
  <w:style w:type="paragraph" w:customStyle="1" w:styleId="775">
    <w:name w:val="y正文"/>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paragraph" w:customStyle="1" w:styleId="776">
    <w:name w:val="xl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16"/>
      <w:szCs w:val="16"/>
    </w:rPr>
  </w:style>
  <w:style w:type="paragraph" w:customStyle="1" w:styleId="777">
    <w:name w:val="表内式样"/>
    <w:qFormat/>
    <w:uiPriority w:val="0"/>
    <w:pPr>
      <w:widowControl w:val="0"/>
      <w:spacing w:line="420" w:lineRule="exact"/>
      <w:jc w:val="center"/>
    </w:pPr>
    <w:rPr>
      <w:rFonts w:ascii="宋体" w:hAnsi="宋体" w:eastAsia="宋体" w:cs="Times New Roman"/>
      <w:color w:val="FF00FF"/>
      <w:sz w:val="21"/>
      <w:szCs w:val="21"/>
      <w:lang w:val="en-US" w:eastAsia="zh-CN" w:bidi="ar-SA"/>
    </w:rPr>
  </w:style>
  <w:style w:type="paragraph" w:customStyle="1" w:styleId="778">
    <w:name w:val="无间隔11"/>
    <w:qFormat/>
    <w:uiPriority w:val="1"/>
    <w:pPr>
      <w:jc w:val="center"/>
    </w:pPr>
    <w:rPr>
      <w:rFonts w:ascii="Times New Roman" w:hAnsi="Times New Roman" w:eastAsia="宋体" w:cs="Times New Roman"/>
      <w:sz w:val="21"/>
      <w:szCs w:val="24"/>
      <w:lang w:val="en-US" w:eastAsia="zh-CN" w:bidi="ar-SA"/>
    </w:rPr>
  </w:style>
  <w:style w:type="paragraph" w:customStyle="1" w:styleId="779">
    <w:name w:val="条题"/>
    <w:basedOn w:val="1"/>
    <w:uiPriority w:val="0"/>
    <w:pPr>
      <w:tabs>
        <w:tab w:val="left" w:pos="1640"/>
      </w:tabs>
      <w:spacing w:before="156" w:beforeLines="50" w:line="480" w:lineRule="exact"/>
      <w:ind w:firstLine="560"/>
    </w:pPr>
    <w:rPr>
      <w:color w:val="000000"/>
      <w:kern w:val="0"/>
      <w:sz w:val="24"/>
      <w:szCs w:val="20"/>
    </w:rPr>
  </w:style>
  <w:style w:type="paragraph" w:customStyle="1" w:styleId="780">
    <w:name w:val=" 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styleId="781">
    <w:name w:val="List Paragraph"/>
    <w:basedOn w:val="1"/>
    <w:qFormat/>
    <w:uiPriority w:val="34"/>
    <w:pPr>
      <w:ind w:firstLine="420" w:firstLineChars="200"/>
    </w:pPr>
    <w:rPr>
      <w:szCs w:val="22"/>
    </w:rPr>
  </w:style>
  <w:style w:type="paragraph" w:customStyle="1" w:styleId="782">
    <w:name w:val="表标题"/>
    <w:basedOn w:val="23"/>
    <w:qFormat/>
    <w:uiPriority w:val="0"/>
    <w:pPr>
      <w:topLinePunct/>
      <w:adjustRightInd w:val="0"/>
      <w:snapToGrid w:val="0"/>
      <w:spacing w:before="60" w:after="60"/>
      <w:ind w:firstLine="0" w:firstLineChars="0"/>
      <w:jc w:val="center"/>
    </w:pPr>
    <w:rPr>
      <w:rFonts w:eastAsia="仿宋_GB2312"/>
      <w:b/>
      <w:bCs/>
      <w:color w:val="000000"/>
      <w:szCs w:val="32"/>
    </w:rPr>
  </w:style>
  <w:style w:type="paragraph" w:customStyle="1" w:styleId="783">
    <w:name w:val="Body Text 21"/>
    <w:basedOn w:val="1"/>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784">
    <w:name w:val="_Style 783"/>
    <w:unhideWhenUsed/>
    <w:uiPriority w:val="99"/>
    <w:rPr>
      <w:rFonts w:ascii="Times New Roman" w:hAnsi="Times New Roman" w:eastAsia="宋体" w:cs="Times New Roman"/>
      <w:kern w:val="2"/>
      <w:sz w:val="21"/>
      <w:szCs w:val="22"/>
      <w:lang w:val="en-US" w:eastAsia="zh-CN" w:bidi="ar-SA"/>
    </w:rPr>
  </w:style>
  <w:style w:type="paragraph" w:customStyle="1" w:styleId="785">
    <w:name w:val="ZZY——正文标题1"/>
    <w:basedOn w:val="1"/>
    <w:uiPriority w:val="0"/>
    <w:pPr>
      <w:adjustRightInd w:val="0"/>
      <w:snapToGrid w:val="0"/>
      <w:spacing w:line="360" w:lineRule="auto"/>
    </w:pPr>
    <w:rPr>
      <w:rFonts w:eastAsia="黑体" w:cs="Garamond"/>
      <w:b/>
      <w:bCs/>
      <w:kern w:val="0"/>
      <w:sz w:val="28"/>
      <w:szCs w:val="20"/>
    </w:rPr>
  </w:style>
  <w:style w:type="paragraph" w:customStyle="1" w:styleId="786">
    <w:name w:val="样式 标题 2 + (中文) 宋体"/>
    <w:basedOn w:val="4"/>
    <w:uiPriority w:val="0"/>
    <w:pPr>
      <w:keepNext w:val="0"/>
      <w:keepLines w:val="0"/>
      <w:tabs>
        <w:tab w:val="left" w:pos="576"/>
        <w:tab w:val="left" w:pos="737"/>
      </w:tabs>
      <w:adjustRightInd w:val="0"/>
      <w:snapToGrid w:val="0"/>
      <w:spacing w:before="0" w:beforeLines="50" w:after="0" w:afterLines="50" w:line="360" w:lineRule="auto"/>
      <w:ind w:left="567" w:hanging="567"/>
    </w:pPr>
    <w:rPr>
      <w:rFonts w:ascii="Times New Roman" w:hAnsi="Times New Roman"/>
      <w:b w:val="0"/>
      <w:sz w:val="28"/>
      <w:szCs w:val="28"/>
    </w:rPr>
  </w:style>
  <w:style w:type="paragraph" w:customStyle="1" w:styleId="787">
    <w:name w:val="列出段落1"/>
    <w:basedOn w:val="1"/>
    <w:qFormat/>
    <w:uiPriority w:val="34"/>
    <w:pPr>
      <w:ind w:firstLine="420" w:firstLineChars="200"/>
    </w:pPr>
    <w:rPr>
      <w:szCs w:val="22"/>
    </w:rPr>
  </w:style>
  <w:style w:type="paragraph" w:customStyle="1" w:styleId="788">
    <w:name w:val="Char11"/>
    <w:basedOn w:val="1"/>
    <w:semiHidden/>
    <w:uiPriority w:val="0"/>
    <w:pPr>
      <w:ind w:left="510"/>
    </w:pPr>
    <w:rPr>
      <w:szCs w:val="21"/>
    </w:rPr>
  </w:style>
  <w:style w:type="paragraph" w:customStyle="1" w:styleId="789">
    <w:name w:val="自定义缩进"/>
    <w:basedOn w:val="1"/>
    <w:qFormat/>
    <w:uiPriority w:val="0"/>
    <w:pPr>
      <w:keepNext/>
      <w:spacing w:line="336" w:lineRule="auto"/>
      <w:ind w:firstLine="480" w:firstLineChars="200"/>
    </w:pPr>
    <w:rPr>
      <w:rFonts w:ascii="宋体" w:hAnsi="宋体"/>
      <w:color w:val="000000"/>
      <w:sz w:val="24"/>
    </w:rPr>
  </w:style>
  <w:style w:type="paragraph" w:customStyle="1" w:styleId="790">
    <w:name w:val="封面正文"/>
    <w:qFormat/>
    <w:uiPriority w:val="0"/>
    <w:pPr>
      <w:jc w:val="both"/>
    </w:pPr>
    <w:rPr>
      <w:rFonts w:ascii="Times New Roman" w:hAnsi="Times New Roman" w:eastAsia="宋体" w:cs="Times New Roman"/>
      <w:lang w:val="en-US" w:eastAsia="zh-CN" w:bidi="ar-SA"/>
    </w:rPr>
  </w:style>
  <w:style w:type="paragraph" w:customStyle="1" w:styleId="791">
    <w:name w:val="正文文本 21"/>
    <w:basedOn w:val="1"/>
    <w:uiPriority w:val="0"/>
    <w:pPr>
      <w:adjustRightInd w:val="0"/>
      <w:spacing w:after="120" w:line="360" w:lineRule="auto"/>
      <w:jc w:val="left"/>
      <w:textAlignment w:val="baseline"/>
    </w:pPr>
    <w:rPr>
      <w:rFonts w:ascii="宋体" w:hAnsi="宋体"/>
      <w:kern w:val="0"/>
      <w:sz w:val="24"/>
      <w:szCs w:val="20"/>
    </w:rPr>
  </w:style>
  <w:style w:type="paragraph" w:customStyle="1" w:styleId="792">
    <w:name w:val="xl52"/>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793">
    <w:name w:val="Char Char3 Char Char Char Char"/>
    <w:basedOn w:val="1"/>
    <w:uiPriority w:val="0"/>
    <w:pPr>
      <w:spacing w:line="360" w:lineRule="auto"/>
      <w:ind w:firstLine="200" w:firstLineChars="200"/>
    </w:pPr>
    <w:rPr>
      <w:rFonts w:ascii="宋体" w:hAnsi="宋体" w:cs="宋体"/>
      <w:sz w:val="24"/>
    </w:rPr>
  </w:style>
  <w:style w:type="paragraph" w:customStyle="1" w:styleId="794">
    <w:name w:val="Plain Text"/>
    <w:basedOn w:val="1"/>
    <w:uiPriority w:val="0"/>
    <w:pPr>
      <w:autoSpaceDE w:val="0"/>
      <w:autoSpaceDN w:val="0"/>
      <w:adjustRightInd w:val="0"/>
      <w:textAlignment w:val="baseline"/>
    </w:pPr>
    <w:rPr>
      <w:rFonts w:ascii="宋体"/>
      <w:szCs w:val="20"/>
    </w:rPr>
  </w:style>
  <w:style w:type="paragraph" w:customStyle="1" w:styleId="795">
    <w:name w:val="无间隔5"/>
    <w:uiPriority w:val="0"/>
    <w:pPr>
      <w:adjustRightInd w:val="0"/>
      <w:snapToGrid w:val="0"/>
      <w:spacing w:line="360" w:lineRule="auto"/>
    </w:pPr>
    <w:rPr>
      <w:rFonts w:ascii="Times New Roman" w:hAnsi="Times New Roman" w:eastAsia="黑体" w:cs="Times New Roman"/>
      <w:sz w:val="24"/>
      <w:lang w:val="en-US" w:eastAsia="zh-CN" w:bidi="ar-SA"/>
    </w:rPr>
  </w:style>
  <w:style w:type="paragraph" w:customStyle="1" w:styleId="796">
    <w:name w:val="xl40"/>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16"/>
      <w:szCs w:val="16"/>
    </w:rPr>
  </w:style>
  <w:style w:type="paragraph" w:customStyle="1" w:styleId="797">
    <w:name w:val="表格填充1"/>
    <w:basedOn w:val="1"/>
    <w:qFormat/>
    <w:uiPriority w:val="0"/>
    <w:pPr>
      <w:snapToGrid w:val="0"/>
      <w:jc w:val="center"/>
    </w:pPr>
    <w:rPr>
      <w:rFonts w:eastAsia="仿宋_GB2312"/>
      <w:color w:val="000000"/>
      <w:sz w:val="30"/>
      <w:szCs w:val="32"/>
    </w:rPr>
  </w:style>
  <w:style w:type="paragraph" w:customStyle="1" w:styleId="798">
    <w:name w:val="1、图名"/>
    <w:basedOn w:val="18"/>
    <w:qFormat/>
    <w:uiPriority w:val="0"/>
    <w:pPr>
      <w:spacing w:line="240" w:lineRule="auto"/>
      <w:ind w:firstLine="0" w:firstLineChars="0"/>
      <w:jc w:val="center"/>
    </w:pPr>
    <w:rPr>
      <w:rFonts w:ascii="Times" w:eastAsia="宋体"/>
      <w:b/>
      <w:kern w:val="2"/>
      <w:sz w:val="21"/>
      <w:szCs w:val="21"/>
    </w:rPr>
  </w:style>
  <w:style w:type="paragraph" w:customStyle="1" w:styleId="799">
    <w:name w:val="无间隔4"/>
    <w:qFormat/>
    <w:uiPriority w:val="0"/>
    <w:pPr>
      <w:adjustRightInd w:val="0"/>
      <w:snapToGrid w:val="0"/>
      <w:spacing w:line="360" w:lineRule="auto"/>
    </w:pPr>
    <w:rPr>
      <w:rFonts w:ascii="Times New Roman" w:hAnsi="Times New Roman" w:eastAsia="黑体" w:cs="Times New Roman"/>
      <w:sz w:val="24"/>
      <w:lang w:val="en-US" w:eastAsia="zh-CN" w:bidi="ar-SA"/>
    </w:rPr>
  </w:style>
  <w:style w:type="paragraph" w:customStyle="1" w:styleId="800">
    <w:name w:val="样式 标题 1 + 非加粗 两端对齐"/>
    <w:basedOn w:val="3"/>
    <w:uiPriority w:val="0"/>
    <w:pPr>
      <w:keepNext w:val="0"/>
      <w:tabs>
        <w:tab w:val="left" w:pos="0"/>
      </w:tabs>
      <w:overflowPunct/>
      <w:adjustRightInd w:val="0"/>
      <w:spacing w:before="0" w:after="0" w:line="260" w:lineRule="atLeast"/>
      <w:ind w:left="0" w:firstLine="0"/>
      <w:outlineLvl w:val="9"/>
    </w:pPr>
    <w:rPr>
      <w:rFonts w:eastAsia="宋体" w:cs="Garamond"/>
      <w:b w:val="0"/>
      <w:bCs w:val="0"/>
      <w:kern w:val="0"/>
      <w:sz w:val="18"/>
      <w:szCs w:val="24"/>
    </w:rPr>
  </w:style>
  <w:style w:type="paragraph" w:customStyle="1" w:styleId="801">
    <w:name w:val="样式 标题 3 + 黑色"/>
    <w:basedOn w:val="5"/>
    <w:uiPriority w:val="0"/>
    <w:pPr>
      <w:keepNext w:val="0"/>
      <w:keepLines w:val="0"/>
      <w:numPr>
        <w:ilvl w:val="2"/>
        <w:numId w:val="0"/>
      </w:numPr>
      <w:tabs>
        <w:tab w:val="left" w:pos="567"/>
      </w:tabs>
      <w:adjustRightInd w:val="0"/>
      <w:snapToGrid w:val="0"/>
      <w:spacing w:before="0" w:after="0" w:line="440" w:lineRule="atLeast"/>
      <w:ind w:firstLine="469" w:firstLineChars="200"/>
      <w:outlineLvl w:val="9"/>
    </w:pPr>
    <w:rPr>
      <w:b w:val="0"/>
      <w:sz w:val="24"/>
      <w:szCs w:val="20"/>
    </w:rPr>
  </w:style>
  <w:style w:type="paragraph" w:customStyle="1" w:styleId="802">
    <w:name w:val="五号表格"/>
    <w:next w:val="1"/>
    <w:uiPriority w:val="0"/>
    <w:pPr>
      <w:spacing w:after="200" w:line="276" w:lineRule="auto"/>
    </w:pPr>
    <w:rPr>
      <w:rFonts w:ascii="宋体" w:hAnsi="Times New Roman" w:eastAsia="宋体" w:cs="Times New Roman"/>
      <w:sz w:val="21"/>
      <w:szCs w:val="22"/>
      <w:lang w:val="en-US" w:eastAsia="zh-CN" w:bidi="ar-SA"/>
    </w:rPr>
  </w:style>
  <w:style w:type="paragraph" w:customStyle="1" w:styleId="803">
    <w:name w:val="表格式"/>
    <w:basedOn w:val="53"/>
    <w:qFormat/>
    <w:uiPriority w:val="0"/>
    <w:pPr>
      <w:spacing w:line="400" w:lineRule="exact"/>
      <w:ind w:left="0" w:firstLine="0" w:firstLineChars="0"/>
      <w:jc w:val="center"/>
    </w:pPr>
    <w:rPr>
      <w:rFonts w:ascii="宋体"/>
      <w:sz w:val="21"/>
    </w:rPr>
  </w:style>
  <w:style w:type="paragraph" w:customStyle="1" w:styleId="804">
    <w:name w:val="默认段落字体 Para Char"/>
    <w:basedOn w:val="1"/>
    <w:next w:val="1"/>
    <w:uiPriority w:val="0"/>
    <w:pPr>
      <w:widowControl/>
      <w:spacing w:after="200" w:line="360" w:lineRule="auto"/>
      <w:ind w:firstLine="200" w:firstLineChars="200"/>
      <w:jc w:val="left"/>
    </w:pPr>
    <w:rPr>
      <w:rFonts w:ascii="宋体" w:hAnsi="宋体" w:cs="宋体"/>
      <w:kern w:val="0"/>
      <w:sz w:val="24"/>
      <w:szCs w:val="22"/>
      <w:lang w:eastAsia="en-US" w:bidi="en-US"/>
    </w:rPr>
  </w:style>
  <w:style w:type="paragraph" w:customStyle="1" w:styleId="805">
    <w:name w:val="报告表格内容"/>
    <w:basedOn w:val="1"/>
    <w:next w:val="312"/>
    <w:qFormat/>
    <w:uiPriority w:val="0"/>
    <w:pPr>
      <w:autoSpaceDE w:val="0"/>
      <w:autoSpaceDN w:val="0"/>
      <w:jc w:val="center"/>
      <w:textAlignment w:val="bottom"/>
    </w:pPr>
    <w:rPr>
      <w:kern w:val="0"/>
      <w:szCs w:val="20"/>
    </w:rPr>
  </w:style>
  <w:style w:type="paragraph" w:customStyle="1" w:styleId="806">
    <w:name w:val="Char Char Char Char Char 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807">
    <w:name w:val="小四缩进2"/>
    <w:basedOn w:val="1"/>
    <w:qFormat/>
    <w:uiPriority w:val="0"/>
    <w:pPr>
      <w:adjustRightInd w:val="0"/>
      <w:snapToGrid w:val="0"/>
      <w:spacing w:line="360" w:lineRule="auto"/>
      <w:ind w:firstLine="480" w:firstLineChars="200"/>
    </w:pPr>
    <w:rPr>
      <w:sz w:val="30"/>
      <w:szCs w:val="22"/>
    </w:rPr>
  </w:style>
  <w:style w:type="paragraph" w:customStyle="1" w:styleId="808">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809">
    <w:name w:val="默认段落字体 Para Char Char Char Char"/>
    <w:basedOn w:val="1"/>
    <w:uiPriority w:val="0"/>
    <w:pPr>
      <w:spacing w:line="360" w:lineRule="auto"/>
      <w:ind w:firstLine="200" w:firstLineChars="200"/>
    </w:pPr>
    <w:rPr>
      <w:rFonts w:ascii="宋体" w:hAnsi="宋体" w:cs="宋体"/>
      <w:sz w:val="24"/>
    </w:rPr>
  </w:style>
  <w:style w:type="paragraph" w:customStyle="1" w:styleId="810">
    <w:name w:val="无间隔6"/>
    <w:uiPriority w:val="0"/>
    <w:pPr>
      <w:adjustRightInd w:val="0"/>
      <w:snapToGrid w:val="0"/>
      <w:spacing w:line="360" w:lineRule="auto"/>
    </w:pPr>
    <w:rPr>
      <w:rFonts w:ascii="Times New Roman" w:hAnsi="Times New Roman" w:eastAsia="黑体" w:cs="Times New Roman"/>
      <w:sz w:val="24"/>
      <w:lang w:val="en-US" w:eastAsia="zh-CN" w:bidi="ar-SA"/>
    </w:rPr>
  </w:style>
  <w:style w:type="paragraph" w:customStyle="1" w:styleId="811">
    <w:name w:val="章标题"/>
    <w:basedOn w:val="1"/>
    <w:qFormat/>
    <w:uiPriority w:val="0"/>
    <w:pPr>
      <w:jc w:val="center"/>
    </w:pPr>
    <w:rPr>
      <w:rFonts w:ascii="宋体" w:hAnsi="宋体" w:eastAsia="黑体"/>
      <w:b/>
      <w:sz w:val="36"/>
      <w:szCs w:val="20"/>
    </w:rPr>
  </w:style>
  <w:style w:type="paragraph" w:customStyle="1" w:styleId="812">
    <w:name w:val="列出段落2"/>
    <w:basedOn w:val="1"/>
    <w:qFormat/>
    <w:uiPriority w:val="0"/>
    <w:pPr>
      <w:ind w:firstLine="420" w:firstLineChars="200"/>
    </w:pPr>
    <w:rPr>
      <w:szCs w:val="22"/>
    </w:rPr>
  </w:style>
  <w:style w:type="paragraph" w:customStyle="1" w:styleId="813">
    <w:name w:val="reader-word-layer reader-word-s3-1"/>
    <w:basedOn w:val="1"/>
    <w:uiPriority w:val="0"/>
    <w:pPr>
      <w:widowControl/>
      <w:spacing w:before="100" w:beforeAutospacing="1" w:after="100" w:afterAutospacing="1"/>
      <w:jc w:val="left"/>
    </w:pPr>
    <w:rPr>
      <w:rFonts w:ascii="宋体" w:hAnsi="宋体" w:cs="宋体"/>
      <w:kern w:val="0"/>
      <w:sz w:val="24"/>
      <w:szCs w:val="20"/>
    </w:rPr>
  </w:style>
  <w:style w:type="paragraph" w:customStyle="1" w:styleId="814">
    <w:name w:val="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815">
    <w:name w:val="Normal"/>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816">
    <w:name w:val=" Char Char Char1 Char"/>
    <w:basedOn w:val="1"/>
    <w:uiPriority w:val="0"/>
    <w:pPr>
      <w:widowControl/>
      <w:spacing w:line="357" w:lineRule="atLeast"/>
      <w:textAlignment w:val="baseline"/>
    </w:pPr>
  </w:style>
  <w:style w:type="paragraph" w:customStyle="1" w:styleId="817">
    <w:name w:val="1、表内字"/>
    <w:basedOn w:val="1"/>
    <w:qFormat/>
    <w:uiPriority w:val="0"/>
    <w:pPr>
      <w:jc w:val="center"/>
    </w:pPr>
    <w:rPr>
      <w:color w:val="000000"/>
      <w:szCs w:val="21"/>
    </w:rPr>
  </w:style>
  <w:style w:type="paragraph" w:customStyle="1" w:styleId="818">
    <w:name w:val="0"/>
    <w:basedOn w:val="1"/>
    <w:uiPriority w:val="0"/>
    <w:pPr>
      <w:widowControl/>
      <w:spacing w:before="100" w:beforeAutospacing="1" w:after="100" w:afterAutospacing="1"/>
      <w:jc w:val="left"/>
    </w:pPr>
    <w:rPr>
      <w:rFonts w:ascii="宋体" w:hAnsi="宋体" w:cs="宋体"/>
      <w:kern w:val="0"/>
      <w:sz w:val="24"/>
    </w:rPr>
  </w:style>
  <w:style w:type="paragraph" w:customStyle="1" w:styleId="819">
    <w:name w:val=" Char"/>
    <w:basedOn w:val="1"/>
    <w:qFormat/>
    <w:uiPriority w:val="0"/>
    <w:pPr>
      <w:snapToGrid w:val="0"/>
      <w:spacing w:line="360" w:lineRule="auto"/>
      <w:ind w:firstLine="529" w:firstLineChars="200"/>
    </w:pPr>
    <w:rPr>
      <w:rFonts w:ascii="宋体" w:hAnsi="宋体"/>
      <w:b/>
    </w:rPr>
  </w:style>
  <w:style w:type="paragraph" w:customStyle="1" w:styleId="820">
    <w:name w:val="11"/>
    <w:basedOn w:val="1"/>
    <w:uiPriority w:val="0"/>
    <w:rPr>
      <w:rFonts w:eastAsia="Times New Roman"/>
      <w:kern w:val="0"/>
    </w:rPr>
  </w:style>
  <w:style w:type="paragraph" w:customStyle="1" w:styleId="821">
    <w:name w:val="注居中"/>
    <w:basedOn w:val="1"/>
    <w:qFormat/>
    <w:uiPriority w:val="0"/>
    <w:pPr>
      <w:spacing w:before="120" w:after="120" w:line="240" w:lineRule="exact"/>
      <w:jc w:val="center"/>
    </w:pPr>
    <w:rPr>
      <w:rFonts w:ascii="黑体" w:eastAsia="黑体"/>
      <w:color w:val="000000"/>
      <w:kern w:val="0"/>
      <w:szCs w:val="20"/>
    </w:rPr>
  </w:style>
  <w:style w:type="paragraph" w:customStyle="1" w:styleId="822">
    <w:name w:val="xl66"/>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 w:val="16"/>
      <w:szCs w:val="16"/>
    </w:rPr>
  </w:style>
  <w:style w:type="paragraph" w:customStyle="1" w:styleId="823">
    <w:name w:val="xl69"/>
    <w:basedOn w:val="1"/>
    <w:uiPriority w:val="0"/>
    <w:pPr>
      <w:widowControl/>
      <w:pBdr>
        <w:left w:val="single" w:color="auto" w:sz="4" w:space="0"/>
        <w:bottom w:val="single" w:color="auto" w:sz="8" w:space="0"/>
        <w:right w:val="single" w:color="auto" w:sz="4" w:space="0"/>
      </w:pBdr>
      <w:spacing w:before="100" w:beforeAutospacing="1" w:after="100" w:afterAutospacing="1"/>
      <w:jc w:val="left"/>
    </w:pPr>
    <w:rPr>
      <w:rFonts w:hint="eastAsia" w:ascii="宋体" w:hAnsi="宋体"/>
      <w:kern w:val="0"/>
      <w:sz w:val="32"/>
      <w:szCs w:val="32"/>
    </w:rPr>
  </w:style>
  <w:style w:type="paragraph" w:customStyle="1" w:styleId="824">
    <w:name w:val=" Char Char Char Char Char Char Char Char Char Char Char Char1 Char"/>
    <w:basedOn w:val="1"/>
    <w:uiPriority w:val="0"/>
    <w:rPr>
      <w:kern w:val="0"/>
      <w:sz w:val="24"/>
      <w:szCs w:val="20"/>
    </w:rPr>
  </w:style>
  <w:style w:type="character" w:customStyle="1" w:styleId="825">
    <w:name w:val="标题 字符2"/>
    <w:uiPriority w:val="0"/>
    <w:rPr>
      <w:rFonts w:ascii="等线 Light" w:hAnsi="等线 Light" w:cs="Times New Roman"/>
      <w:b/>
      <w:bCs/>
      <w:kern w:val="2"/>
      <w:sz w:val="32"/>
      <w:szCs w:val="32"/>
    </w:rPr>
  </w:style>
  <w:style w:type="paragraph" w:customStyle="1" w:styleId="826">
    <w:name w:val="样式 标题1（每章标题） + 首行缩进:  2 字符"/>
    <w:basedOn w:val="447"/>
    <w:uiPriority w:val="0"/>
    <w:pPr>
      <w:ind w:firstLine="502"/>
    </w:pPr>
    <w:rPr>
      <w:rFonts w:cs="宋体"/>
      <w:bCs/>
      <w:szCs w:val="20"/>
    </w:rPr>
  </w:style>
  <w:style w:type="character" w:customStyle="1" w:styleId="827">
    <w:name w:val="HTML 预设格式 字符2"/>
    <w:uiPriority w:val="0"/>
    <w:rPr>
      <w:rFonts w:ascii="Courier New" w:hAnsi="Courier New" w:cs="Courier New"/>
      <w:kern w:val="2"/>
    </w:rPr>
  </w:style>
  <w:style w:type="paragraph" w:customStyle="1" w:styleId="828">
    <w:name w:val="表格0000000"/>
    <w:basedOn w:val="1"/>
    <w:next w:val="1"/>
    <w:uiPriority w:val="0"/>
    <w:pPr>
      <w:snapToGrid w:val="0"/>
      <w:spacing w:line="240" w:lineRule="atLeast"/>
      <w:jc w:val="center"/>
    </w:pPr>
    <w:rPr>
      <w:rFonts w:ascii="宋体" w:hAnsi="宋体"/>
      <w:bCs/>
      <w:kern w:val="0"/>
      <w:sz w:val="20"/>
      <w:szCs w:val="28"/>
    </w:rPr>
  </w:style>
  <w:style w:type="paragraph" w:customStyle="1" w:styleId="829">
    <w:name w:val="Char1"/>
    <w:basedOn w:val="1"/>
    <w:uiPriority w:val="0"/>
    <w:pPr>
      <w:ind w:left="510"/>
    </w:pPr>
    <w:rPr>
      <w:szCs w:val="21"/>
    </w:rPr>
  </w:style>
  <w:style w:type="paragraph" w:customStyle="1" w:styleId="830">
    <w:name w:val="xl45"/>
    <w:basedOn w:val="1"/>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16"/>
      <w:szCs w:val="16"/>
    </w:rPr>
  </w:style>
  <w:style w:type="character" w:customStyle="1" w:styleId="831">
    <w:name w:val="正文文本缩进 3 字符1"/>
    <w:uiPriority w:val="0"/>
    <w:rPr>
      <w:kern w:val="2"/>
      <w:sz w:val="16"/>
      <w:szCs w:val="16"/>
    </w:rPr>
  </w:style>
  <w:style w:type="paragraph" w:customStyle="1" w:styleId="832">
    <w:name w:val="Body Text 2"/>
    <w:basedOn w:val="1"/>
    <w:uiPriority w:val="0"/>
    <w:pPr>
      <w:adjustRightInd w:val="0"/>
      <w:ind w:firstLine="480"/>
      <w:textAlignment w:val="baseline"/>
    </w:pPr>
    <w:rPr>
      <w:rFonts w:ascii="宋体"/>
      <w:kern w:val="0"/>
      <w:sz w:val="24"/>
      <w:szCs w:val="20"/>
    </w:rPr>
  </w:style>
  <w:style w:type="character" w:customStyle="1" w:styleId="833">
    <w:name w:val="脚注文本 字符1"/>
    <w:uiPriority w:val="0"/>
    <w:rPr>
      <w:kern w:val="2"/>
      <w:sz w:val="18"/>
      <w:szCs w:val="18"/>
    </w:rPr>
  </w:style>
  <w:style w:type="paragraph" w:customStyle="1" w:styleId="834">
    <w:name w:val="样式 标题 3小节标题条标题1.1.1 + 非加粗"/>
    <w:basedOn w:val="5"/>
    <w:uiPriority w:val="0"/>
    <w:pPr>
      <w:numPr>
        <w:ilvl w:val="2"/>
        <w:numId w:val="0"/>
      </w:numPr>
      <w:tabs>
        <w:tab w:val="left" w:pos="567"/>
      </w:tabs>
      <w:spacing w:before="0" w:after="0" w:line="480" w:lineRule="auto"/>
      <w:ind w:firstLine="560" w:firstLineChars="200"/>
    </w:pPr>
    <w:rPr>
      <w:bCs w:val="0"/>
      <w:color w:val="000000"/>
      <w:sz w:val="28"/>
      <w:szCs w:val="28"/>
    </w:rPr>
  </w:style>
  <w:style w:type="character" w:customStyle="1" w:styleId="835">
    <w:name w:val="副标题 字符2"/>
    <w:uiPriority w:val="0"/>
    <w:rPr>
      <w:rFonts w:ascii="等线 Light" w:hAnsi="等线 Light" w:cs="Times New Roman"/>
      <w:b/>
      <w:bCs/>
      <w:kern w:val="28"/>
      <w:sz w:val="32"/>
      <w:szCs w:val="32"/>
    </w:rPr>
  </w:style>
  <w:style w:type="paragraph" w:customStyle="1" w:styleId="836">
    <w:name w:val="表格下注"/>
    <w:uiPriority w:val="0"/>
    <w:pPr>
      <w:autoSpaceDE w:val="0"/>
      <w:autoSpaceDN w:val="0"/>
      <w:ind w:firstLine="200" w:firstLineChars="200"/>
      <w:jc w:val="both"/>
    </w:pPr>
    <w:rPr>
      <w:rFonts w:ascii="Times New Roman" w:hAnsi="Times New Roman" w:eastAsia="黑体" w:cs="Times New Roman"/>
      <w:sz w:val="21"/>
      <w:lang w:val="en-US" w:eastAsia="zh-CN" w:bidi="ar-SA"/>
    </w:rPr>
  </w:style>
  <w:style w:type="paragraph" w:customStyle="1" w:styleId="837">
    <w:name w:val="正文-欣欣"/>
    <w:basedOn w:val="1"/>
    <w:qFormat/>
    <w:uiPriority w:val="0"/>
    <w:pPr>
      <w:spacing w:line="360" w:lineRule="auto"/>
      <w:ind w:firstLine="200" w:firstLineChars="200"/>
    </w:pPr>
    <w:rPr>
      <w:sz w:val="24"/>
      <w:szCs w:val="30"/>
    </w:rPr>
  </w:style>
  <w:style w:type="character" w:customStyle="1" w:styleId="838">
    <w:name w:val="正文文本首行缩进 2 字符1"/>
    <w:uiPriority w:val="0"/>
    <w:rPr>
      <w:rFonts w:ascii="Times New Roman" w:hAnsi="Times New Roman" w:eastAsia="宋体"/>
      <w:kern w:val="2"/>
      <w:sz w:val="21"/>
      <w:szCs w:val="24"/>
    </w:rPr>
  </w:style>
  <w:style w:type="character" w:customStyle="1" w:styleId="839">
    <w:name w:val="尾注文本 字符2"/>
    <w:uiPriority w:val="0"/>
    <w:rPr>
      <w:kern w:val="2"/>
      <w:sz w:val="21"/>
      <w:szCs w:val="24"/>
    </w:rPr>
  </w:style>
  <w:style w:type="character" w:customStyle="1" w:styleId="840">
    <w:name w:val="正文文本缩进 2 字符1"/>
    <w:uiPriority w:val="0"/>
    <w:rPr>
      <w:kern w:val="2"/>
      <w:sz w:val="21"/>
      <w:szCs w:val="24"/>
    </w:rPr>
  </w:style>
  <w:style w:type="character" w:customStyle="1" w:styleId="841">
    <w:name w:val="纯文本 字符2"/>
    <w:uiPriority w:val="0"/>
    <w:rPr>
      <w:rFonts w:ascii="宋体" w:hAnsi="Courier New" w:cs="Courier New"/>
      <w:kern w:val="2"/>
      <w:sz w:val="21"/>
      <w:szCs w:val="21"/>
    </w:rPr>
  </w:style>
  <w:style w:type="paragraph" w:customStyle="1" w:styleId="842">
    <w:name w:val="Char"/>
    <w:basedOn w:val="1"/>
    <w:qFormat/>
    <w:uiPriority w:val="0"/>
    <w:pPr>
      <w:snapToGrid w:val="0"/>
      <w:spacing w:line="360" w:lineRule="auto"/>
      <w:ind w:firstLine="529" w:firstLineChars="200"/>
    </w:pPr>
    <w:rPr>
      <w:rFonts w:ascii="宋体" w:hAnsi="宋体"/>
      <w:b/>
    </w:rPr>
  </w:style>
  <w:style w:type="paragraph" w:customStyle="1" w:styleId="843">
    <w:name w:val="文本框"/>
    <w:basedOn w:val="1"/>
    <w:uiPriority w:val="0"/>
    <w:pPr>
      <w:jc w:val="center"/>
    </w:pPr>
    <w:rPr>
      <w:kern w:val="0"/>
      <w:sz w:val="24"/>
      <w:szCs w:val="20"/>
    </w:rPr>
  </w:style>
  <w:style w:type="character" w:customStyle="1" w:styleId="844">
    <w:name w:val="结束语 字符2"/>
    <w:uiPriority w:val="0"/>
    <w:rPr>
      <w:kern w:val="2"/>
      <w:sz w:val="21"/>
      <w:szCs w:val="24"/>
    </w:rPr>
  </w:style>
  <w:style w:type="character" w:customStyle="1" w:styleId="845">
    <w:name w:val="正文文本 3 字符2"/>
    <w:uiPriority w:val="0"/>
    <w:rPr>
      <w:kern w:val="2"/>
      <w:sz w:val="16"/>
      <w:szCs w:val="16"/>
    </w:rPr>
  </w:style>
  <w:style w:type="character" w:customStyle="1" w:styleId="846">
    <w:name w:val="称呼 字符1"/>
    <w:uiPriority w:val="0"/>
    <w:rPr>
      <w:kern w:val="2"/>
      <w:sz w:val="21"/>
      <w:szCs w:val="24"/>
    </w:rPr>
  </w:style>
  <w:style w:type="paragraph" w:customStyle="1" w:styleId="847">
    <w:name w:val="圖標題"/>
    <w:basedOn w:val="1"/>
    <w:uiPriority w:val="0"/>
    <w:pPr>
      <w:topLinePunct/>
      <w:adjustRightInd w:val="0"/>
      <w:spacing w:line="384" w:lineRule="exact"/>
      <w:jc w:val="center"/>
      <w:textAlignment w:val="baseline"/>
    </w:pPr>
    <w:rPr>
      <w:rFonts w:ascii="Arial" w:hAnsi="Arial" w:eastAsia="華康粗黑體" w:cs="Arial"/>
      <w:kern w:val="20"/>
      <w:sz w:val="24"/>
      <w:szCs w:val="20"/>
      <w:lang w:eastAsia="zh-TW"/>
    </w:rPr>
  </w:style>
  <w:style w:type="paragraph" w:customStyle="1" w:styleId="848">
    <w:name w:val="样式 正文文本缩进正文文字缩进正文文字缩进1 + 首行缩进:  0.98 厘米 Char"/>
    <w:basedOn w:val="34"/>
    <w:qFormat/>
    <w:uiPriority w:val="0"/>
    <w:pPr>
      <w:autoSpaceDE w:val="0"/>
      <w:autoSpaceDN w:val="0"/>
      <w:adjustRightInd w:val="0"/>
      <w:snapToGrid w:val="0"/>
      <w:spacing w:after="0" w:line="360" w:lineRule="auto"/>
      <w:ind w:left="0" w:leftChars="0" w:firstLine="480" w:firstLineChars="200"/>
      <w:jc w:val="center"/>
    </w:pPr>
    <w:rPr>
      <w:b/>
      <w:color w:val="000000"/>
      <w:szCs w:val="24"/>
    </w:rPr>
  </w:style>
  <w:style w:type="paragraph" w:customStyle="1" w:styleId="849">
    <w:name w:val="Bullet_Indent"/>
    <w:basedOn w:val="1"/>
    <w:uiPriority w:val="0"/>
    <w:pPr>
      <w:widowControl/>
      <w:adjustRightInd w:val="0"/>
      <w:snapToGrid w:val="0"/>
      <w:spacing w:after="240" w:line="360" w:lineRule="auto"/>
      <w:ind w:left="1440" w:hanging="720"/>
      <w:jc w:val="left"/>
    </w:pPr>
    <w:rPr>
      <w:kern w:val="0"/>
      <w:sz w:val="24"/>
      <w:szCs w:val="20"/>
    </w:rPr>
  </w:style>
  <w:style w:type="character" w:customStyle="1" w:styleId="850">
    <w:name w:val="文档结构图 字符1"/>
    <w:uiPriority w:val="0"/>
    <w:rPr>
      <w:rFonts w:ascii="Microsoft YaHei UI" w:eastAsia="Microsoft YaHei UI"/>
      <w:kern w:val="2"/>
      <w:sz w:val="18"/>
      <w:szCs w:val="18"/>
    </w:rPr>
  </w:style>
  <w:style w:type="character" w:customStyle="1" w:styleId="851">
    <w:name w:val="正文文本 2 字符2"/>
    <w:uiPriority w:val="0"/>
    <w:rPr>
      <w:kern w:val="2"/>
      <w:sz w:val="21"/>
      <w:szCs w:val="24"/>
    </w:rPr>
  </w:style>
  <w:style w:type="paragraph" w:customStyle="1" w:styleId="852">
    <w:name w:val="表1"/>
    <w:basedOn w:val="1"/>
    <w:uiPriority w:val="0"/>
    <w:pPr>
      <w:adjustRightInd w:val="0"/>
      <w:snapToGrid w:val="0"/>
      <w:jc w:val="center"/>
    </w:pPr>
    <w:rPr>
      <w:rFonts w:hAnsi="宋体"/>
      <w:snapToGrid w:val="0"/>
      <w:kern w:val="0"/>
      <w:sz w:val="20"/>
      <w:szCs w:val="21"/>
    </w:rPr>
  </w:style>
  <w:style w:type="paragraph" w:customStyle="1" w:styleId="853">
    <w:name w:val="正文样式2"/>
    <w:basedOn w:val="18"/>
    <w:uiPriority w:val="0"/>
    <w:pPr>
      <w:adjustRightInd w:val="0"/>
      <w:spacing w:line="360" w:lineRule="auto"/>
      <w:ind w:firstLine="0" w:firstLineChars="0"/>
      <w:textAlignment w:val="baseline"/>
    </w:pPr>
    <w:rPr>
      <w:rFonts w:ascii="Times New Roman" w:eastAsia="宋体"/>
      <w:color w:val="auto"/>
      <w:sz w:val="28"/>
      <w:szCs w:val="28"/>
    </w:rPr>
  </w:style>
  <w:style w:type="character" w:customStyle="1" w:styleId="854">
    <w:name w:val="注释标题 字符1"/>
    <w:uiPriority w:val="0"/>
    <w:rPr>
      <w:kern w:val="2"/>
      <w:sz w:val="21"/>
      <w:szCs w:val="24"/>
    </w:rPr>
  </w:style>
  <w:style w:type="paragraph" w:customStyle="1" w:styleId="855">
    <w:name w:val="Char2"/>
    <w:basedOn w:val="1"/>
    <w:uiPriority w:val="0"/>
    <w:pPr>
      <w:ind w:firstLine="200" w:firstLineChars="200"/>
    </w:pPr>
    <w:rPr>
      <w:kern w:val="0"/>
      <w:sz w:val="24"/>
      <w:szCs w:val="20"/>
    </w:rPr>
  </w:style>
  <w:style w:type="character" w:customStyle="1" w:styleId="856">
    <w:name w:val="正文文本首行缩进 字符2"/>
    <w:uiPriority w:val="0"/>
    <w:rPr>
      <w:kern w:val="2"/>
      <w:sz w:val="21"/>
      <w:szCs w:val="24"/>
    </w:rPr>
  </w:style>
  <w:style w:type="paragraph" w:customStyle="1" w:styleId="857">
    <w:name w:val="xl72"/>
    <w:basedOn w:val="1"/>
    <w:uiPriority w:val="0"/>
    <w:pPr>
      <w:widowControl/>
      <w:pBdr>
        <w:left w:val="single" w:color="auto" w:sz="4" w:space="0"/>
        <w:right w:val="single" w:color="auto" w:sz="4" w:space="0"/>
      </w:pBdr>
      <w:spacing w:before="100" w:beforeAutospacing="1" w:after="100" w:afterAutospacing="1"/>
      <w:jc w:val="center"/>
    </w:pPr>
    <w:rPr>
      <w:rFonts w:eastAsia="Arial Unicode MS"/>
      <w:color w:val="000000"/>
      <w:kern w:val="0"/>
      <w:sz w:val="20"/>
      <w:szCs w:val="21"/>
    </w:rPr>
  </w:style>
  <w:style w:type="paragraph" w:customStyle="1" w:styleId="858">
    <w:name w:val="xl29"/>
    <w:basedOn w:val="1"/>
    <w:uiPriority w:val="0"/>
    <w:pPr>
      <w:widowControl/>
      <w:pBdr>
        <w:bottom w:val="single" w:color="auto" w:sz="4" w:space="0"/>
        <w:right w:val="single" w:color="auto" w:sz="4" w:space="0"/>
      </w:pBdr>
      <w:spacing w:before="100" w:beforeAutospacing="1" w:after="100" w:afterAutospacing="1"/>
      <w:jc w:val="center"/>
    </w:pPr>
    <w:rPr>
      <w:rFonts w:eastAsia="Arial Unicode MS"/>
      <w:kern w:val="0"/>
      <w:sz w:val="20"/>
      <w:szCs w:val="21"/>
    </w:rPr>
  </w:style>
  <w:style w:type="paragraph" w:customStyle="1" w:styleId="859">
    <w:name w:val="标题5"/>
    <w:basedOn w:val="7"/>
    <w:uiPriority w:val="0"/>
    <w:pPr>
      <w:numPr>
        <w:ilvl w:val="0"/>
        <w:numId w:val="0"/>
      </w:numPr>
      <w:tabs>
        <w:tab w:val="left" w:pos="360"/>
      </w:tabs>
      <w:adjustRightInd/>
      <w:spacing w:before="200" w:after="40" w:line="376" w:lineRule="auto"/>
      <w:ind w:left="360" w:hanging="360" w:firstLineChars="200"/>
      <w:jc w:val="both"/>
      <w:textAlignment w:val="auto"/>
    </w:pPr>
    <w:rPr>
      <w:rFonts w:hAnsi="Arial" w:eastAsia="黑体"/>
      <w:bCs/>
      <w:kern w:val="2"/>
      <w:sz w:val="24"/>
    </w:rPr>
  </w:style>
  <w:style w:type="table" w:customStyle="1" w:styleId="860">
    <w:name w:val="表格样式1"/>
    <w:basedOn w:val="70"/>
    <w:uiPriority w:val="0"/>
    <w:tblPr/>
  </w:style>
  <w:style w:type="table" w:customStyle="1" w:styleId="861">
    <w:name w:val="Table Normal"/>
    <w:unhideWhenUsed/>
    <w:qFormat/>
    <w:uiPriority w:val="0"/>
    <w:pPr>
      <w:widowControl w:val="0"/>
    </w:pPr>
    <w:rPr>
      <w:rFonts w:ascii="Calibri" w:hAnsi="Calibri"/>
      <w:sz w:val="22"/>
      <w:szCs w:val="22"/>
      <w:lang w:val="en-US" w:eastAsia="en-US" w:bidi="ar-SA"/>
    </w:rPr>
    <w:tblPr>
      <w:tblCellMar>
        <w:top w:w="0" w:type="dxa"/>
        <w:left w:w="0" w:type="dxa"/>
        <w:bottom w:w="0" w:type="dxa"/>
        <w:right w:w="0" w:type="dxa"/>
      </w:tblCellMar>
    </w:tblPr>
  </w:style>
  <w:style w:type="table" w:customStyle="1" w:styleId="862">
    <w:name w:val="刘文自定义表格"/>
    <w:basedOn w:val="72"/>
    <w:uiPriority w:val="0"/>
    <w:pPr>
      <w:jc w:val="center"/>
    </w:pPr>
    <w:tblPr>
      <w:tblBorders>
        <w:top w:val="single" w:color="auto" w:sz="12" w:space="0"/>
        <w:bottom w:val="single" w:color="auto" w:sz="12" w:space="0"/>
        <w:insideH w:val="single" w:color="auto" w:sz="4" w:space="0"/>
        <w:insideV w:val="single" w:color="auto" w:sz="4" w:space="0"/>
      </w:tblBorders>
    </w:tblPr>
    <w:trPr>
      <w:tblHeader/>
    </w:trPr>
    <w:tcPr>
      <w:tcMar>
        <w:left w:w="28" w:type="dxa"/>
        <w:right w:w="28" w:type="dxa"/>
      </w:tcMar>
      <w:vAlign w:val="center"/>
    </w:tcPr>
  </w:style>
  <w:style w:type="table" w:customStyle="1" w:styleId="863">
    <w:name w:val="三线表格"/>
    <w:basedOn w:val="70"/>
    <w:uiPriority w:val="0"/>
    <w:pPr>
      <w:jc w:val="center"/>
    </w:pPr>
    <w:rPr>
      <w:sz w:val="21"/>
      <w:szCs w:val="21"/>
    </w:rPr>
    <w:tblPr>
      <w:tblBorders>
        <w:top w:val="single" w:color="auto" w:sz="12" w:space="0"/>
        <w:bottom w:val="single" w:color="auto" w:sz="12" w:space="0"/>
        <w:insideH w:val="single" w:color="auto" w:sz="6" w:space="0"/>
        <w:insideV w:val="single" w:color="auto" w:sz="6" w:space="0"/>
      </w:tblBorders>
    </w:tblPr>
    <w:tcPr>
      <w:shd w:val="clear" w:color="auto" w:fill="auto"/>
      <w:vAlign w:val="center"/>
    </w:tcPr>
    <w:tblStylePr w:type="firstRow">
      <w:tblPr/>
      <w:tcPr>
        <w:shd w:val="clear" w:color="auto" w:fill="CCFFFF"/>
      </w:tcPr>
    </w:tblStylePr>
  </w:style>
  <w:style w:type="paragraph" w:customStyle="1" w:styleId="864">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865">
    <w:name w:val="A-正文"/>
    <w:basedOn w:val="1"/>
    <w:qFormat/>
    <w:uiPriority w:val="0"/>
    <w:pPr>
      <w:widowControl/>
      <w:adjustRightInd w:val="0"/>
      <w:snapToGrid w:val="0"/>
      <w:spacing w:line="360" w:lineRule="auto"/>
      <w:ind w:firstLine="480" w:firstLineChars="200"/>
    </w:pPr>
    <w:rPr>
      <w:color w:val="00B050"/>
      <w:sz w:val="24"/>
    </w:rPr>
  </w:style>
  <w:style w:type="paragraph" w:customStyle="1" w:styleId="866">
    <w:name w:val="表格内容-龙池"/>
    <w:basedOn w:val="1"/>
    <w:qFormat/>
    <w:uiPriority w:val="0"/>
    <w:pPr>
      <w:autoSpaceDE w:val="0"/>
      <w:autoSpaceDN w:val="0"/>
      <w:adjustRightInd w:val="0"/>
      <w:contextualSpacing/>
      <w:jc w:val="center"/>
    </w:pPr>
    <w:rPr>
      <w:kern w:val="0"/>
      <w:szCs w:val="21"/>
    </w:rPr>
  </w:style>
  <w:style w:type="character" w:customStyle="1" w:styleId="867">
    <w:name w:val="题注 字符1"/>
    <w:qFormat/>
    <w:uiPriority w:val="0"/>
    <w:rPr>
      <w:rFonts w:ascii="Arial" w:hAnsi="Arial" w:eastAsia="黑体" w:cs="Arial"/>
    </w:rPr>
  </w:style>
  <w:style w:type="paragraph" w:customStyle="1" w:styleId="868">
    <w:name w:val="y表名"/>
    <w:next w:val="1"/>
    <w:qFormat/>
    <w:uiPriority w:val="99"/>
    <w:pPr>
      <w:jc w:val="center"/>
    </w:pPr>
    <w:rPr>
      <w:rFonts w:ascii="Times New Roman" w:hAnsi="Times New Roman" w:eastAsia="宋体" w:cs="Times New Roman"/>
      <w:b/>
      <w:kern w:val="2"/>
      <w:sz w:val="21"/>
      <w:szCs w:val="32"/>
      <w:lang w:val="en-US" w:eastAsia="zh-CN" w:bidi="ar-SA"/>
    </w:rPr>
  </w:style>
  <w:style w:type="paragraph" w:customStyle="1" w:styleId="869">
    <w:name w:val="文本块1"/>
    <w:basedOn w:val="1"/>
    <w:qFormat/>
    <w:uiPriority w:val="0"/>
    <w:pPr>
      <w:adjustRightInd w:val="0"/>
      <w:spacing w:line="500" w:lineRule="exact"/>
      <w:ind w:left="57" w:right="57" w:firstLine="570"/>
      <w:textAlignment w:val="baseline"/>
    </w:pPr>
    <w:rPr>
      <w:kern w:val="0"/>
      <w:sz w:val="28"/>
    </w:rPr>
  </w:style>
  <w:style w:type="paragraph" w:customStyle="1" w:styleId="870">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871">
    <w:name w:val="表格后正文"/>
    <w:basedOn w:val="872"/>
    <w:qFormat/>
    <w:uiPriority w:val="0"/>
    <w:pPr>
      <w:tabs>
        <w:tab w:val="left" w:pos="567"/>
      </w:tabs>
    </w:pPr>
  </w:style>
  <w:style w:type="paragraph" w:customStyle="1" w:styleId="872">
    <w:name w:val="新正文样式"/>
    <w:basedOn w:val="1"/>
    <w:qFormat/>
    <w:uiPriority w:val="0"/>
    <w:pPr>
      <w:tabs>
        <w:tab w:val="left" w:pos="567"/>
      </w:tabs>
      <w:spacing w:line="360" w:lineRule="auto"/>
      <w:ind w:firstLine="560"/>
    </w:pPr>
    <w:rPr>
      <w:rFonts w:eastAsia="华文中宋"/>
      <w:spacing w:val="20"/>
      <w:sz w:val="24"/>
      <w:szCs w:val="20"/>
    </w:rPr>
  </w:style>
  <w:style w:type="paragraph" w:customStyle="1" w:styleId="873">
    <w:name w:val="正文文本缩进1"/>
    <w:basedOn w:val="1"/>
    <w:qFormat/>
    <w:uiPriority w:val="0"/>
    <w:pPr>
      <w:spacing w:line="360" w:lineRule="auto"/>
      <w:ind w:firstLine="480"/>
    </w:pPr>
    <w:rPr>
      <w:rFonts w:ascii="宋体"/>
      <w:sz w:val="24"/>
    </w:rPr>
  </w:style>
  <w:style w:type="paragraph" w:customStyle="1" w:styleId="874">
    <w:name w:val="正文缩进2"/>
    <w:basedOn w:val="1"/>
    <w:qFormat/>
    <w:uiPriority w:val="0"/>
    <w:pPr>
      <w:spacing w:line="360" w:lineRule="auto"/>
      <w:ind w:firstLine="480" w:firstLineChars="200"/>
    </w:pPr>
    <w:rPr>
      <w:color w:val="000000"/>
      <w:sz w:val="18"/>
      <w:szCs w:val="20"/>
    </w:rPr>
  </w:style>
  <w:style w:type="paragraph" w:customStyle="1" w:styleId="875">
    <w:name w:val="样式 行距: 1.5 倍行距"/>
    <w:qFormat/>
    <w:uiPriority w:val="0"/>
    <w:pPr>
      <w:widowControl w:val="0"/>
      <w:spacing w:line="360" w:lineRule="auto"/>
      <w:ind w:firstLine="560" w:firstLineChars="200"/>
      <w:jc w:val="both"/>
    </w:pPr>
    <w:rPr>
      <w:rFonts w:ascii="Times New Roman" w:hAnsi="Times New Roman" w:eastAsia="宋体" w:cs="宋体"/>
      <w:kern w:val="2"/>
      <w:sz w:val="28"/>
      <w:lang w:val="en-US" w:eastAsia="zh-CN" w:bidi="ar-SA"/>
    </w:rPr>
  </w:style>
  <w:style w:type="paragraph" w:customStyle="1" w:styleId="876">
    <w:name w:val="表标题1"/>
    <w:basedOn w:val="4"/>
    <w:next w:val="126"/>
    <w:qFormat/>
    <w:uiPriority w:val="0"/>
    <w:pPr>
      <w:keepLines w:val="0"/>
      <w:adjustRightInd w:val="0"/>
      <w:snapToGrid w:val="0"/>
      <w:spacing w:before="0" w:beforeLines="50" w:after="0" w:afterLines="50" w:line="240" w:lineRule="auto"/>
      <w:jc w:val="center"/>
      <w:outlineLvl w:val="9"/>
    </w:pPr>
    <w:rPr>
      <w:rFonts w:ascii="Times New Roman" w:hAnsi="Times New Roman" w:eastAsia="宋体" w:cs="Times New Roman"/>
      <w:bCs w:val="0"/>
      <w:kern w:val="24"/>
      <w:sz w:val="21"/>
      <w:szCs w:val="20"/>
    </w:rPr>
  </w:style>
  <w:style w:type="character" w:customStyle="1" w:styleId="877">
    <w:name w:val="我的正文 Char"/>
    <w:link w:val="878"/>
    <w:locked/>
    <w:uiPriority w:val="0"/>
    <w:rPr>
      <w:rFonts w:ascii="宋体" w:hAnsi="宋体" w:cs="宋体"/>
      <w:sz w:val="24"/>
      <w:szCs w:val="24"/>
    </w:rPr>
  </w:style>
  <w:style w:type="paragraph" w:customStyle="1" w:styleId="878">
    <w:name w:val="我的正文"/>
    <w:basedOn w:val="1"/>
    <w:link w:val="877"/>
    <w:qFormat/>
    <w:uiPriority w:val="0"/>
    <w:pPr>
      <w:widowControl/>
      <w:spacing w:line="360" w:lineRule="auto"/>
      <w:ind w:firstLine="200" w:firstLineChars="200"/>
      <w:jc w:val="left"/>
    </w:pPr>
    <w:rPr>
      <w:rFonts w:ascii="宋体" w:hAnsi="宋体" w:cs="宋体"/>
      <w:kern w:val="0"/>
      <w:sz w:val="24"/>
    </w:rPr>
  </w:style>
  <w:style w:type="paragraph" w:customStyle="1" w:styleId="879">
    <w:name w:val="正文（标准）"/>
    <w:basedOn w:val="1"/>
    <w:qFormat/>
    <w:uiPriority w:val="0"/>
    <w:pPr>
      <w:adjustRightInd w:val="0"/>
      <w:spacing w:line="360" w:lineRule="auto"/>
      <w:ind w:firstLine="200" w:firstLineChars="200"/>
    </w:pPr>
    <w:rPr>
      <w:sz w:val="24"/>
      <w:szCs w:val="30"/>
    </w:rPr>
  </w:style>
  <w:style w:type="paragraph" w:customStyle="1" w:styleId="88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881">
    <w:name w:val="show-img-bd"/>
    <w:uiPriority w:val="0"/>
  </w:style>
  <w:style w:type="paragraph" w:customStyle="1" w:styleId="882">
    <w:name w:val="Normal_0"/>
    <w:basedOn w:val="1"/>
    <w:qFormat/>
    <w:uiPriority w:val="0"/>
    <w:pPr>
      <w:spacing w:line="360" w:lineRule="auto"/>
      <w:ind w:firstLine="200" w:firstLineChars="200"/>
    </w:pPr>
    <w:rPr>
      <w:rFonts w:eastAsia="仿宋"/>
      <w:sz w:val="28"/>
      <w:szCs w:val="21"/>
    </w:rPr>
  </w:style>
  <w:style w:type="table" w:customStyle="1" w:styleId="883">
    <w:name w:val="Table Grid_0"/>
    <w:basedOn w:val="70"/>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84">
    <w:name w:val="_Style 886"/>
    <w:basedOn w:val="24"/>
    <w:next w:val="23"/>
    <w:uiPriority w:val="0"/>
    <w:pPr>
      <w:widowControl w:val="0"/>
      <w:snapToGrid/>
      <w:spacing w:before="0" w:after="120" w:line="240" w:lineRule="auto"/>
      <w:ind w:right="0" w:firstLine="420" w:firstLineChars="100"/>
    </w:pPr>
    <w:rPr>
      <w:kern w:val="2"/>
      <w:sz w:val="21"/>
      <w:szCs w:val="24"/>
    </w:rPr>
  </w:style>
  <w:style w:type="paragraph" w:customStyle="1" w:styleId="885">
    <w:name w:val="样式 楷体_GB2312 四号 黑色 行距: 1.5 倍行距"/>
    <w:basedOn w:val="1"/>
    <w:qFormat/>
    <w:uiPriority w:val="0"/>
    <w:pPr>
      <w:autoSpaceDE w:val="0"/>
      <w:autoSpaceDN w:val="0"/>
      <w:adjustRightInd w:val="0"/>
      <w:spacing w:line="360" w:lineRule="auto"/>
      <w:ind w:firstLine="560" w:firstLineChars="200"/>
      <w:jc w:val="left"/>
    </w:pPr>
    <w:rPr>
      <w:rFonts w:ascii="楷体_GB2312" w:cs="宋体"/>
      <w:color w:val="000000"/>
      <w:kern w:val="0"/>
      <w:sz w:val="28"/>
      <w:szCs w:val="20"/>
    </w:rPr>
  </w:style>
  <w:style w:type="character" w:customStyle="1" w:styleId="886">
    <w:name w:val="bhq正文 Char"/>
    <w:link w:val="887"/>
    <w:qFormat/>
    <w:uiPriority w:val="0"/>
    <w:rPr>
      <w:rFonts w:ascii="宋体" w:hAnsi="宋体"/>
      <w:kern w:val="2"/>
      <w:sz w:val="28"/>
    </w:rPr>
  </w:style>
  <w:style w:type="paragraph" w:customStyle="1" w:styleId="887">
    <w:name w:val="bhq正文"/>
    <w:basedOn w:val="1"/>
    <w:link w:val="886"/>
    <w:qFormat/>
    <w:uiPriority w:val="0"/>
    <w:pPr>
      <w:adjustRightInd w:val="0"/>
      <w:snapToGrid w:val="0"/>
      <w:spacing w:line="360" w:lineRule="auto"/>
      <w:ind w:firstLine="567"/>
    </w:pPr>
    <w:rPr>
      <w:rFonts w:ascii="宋体" w:hAnsi="宋体"/>
      <w:sz w:val="28"/>
      <w:szCs w:val="20"/>
    </w:rPr>
  </w:style>
  <w:style w:type="character" w:customStyle="1" w:styleId="888">
    <w:name w:val="LRY正文 字符"/>
    <w:link w:val="889"/>
    <w:qFormat/>
    <w:uiPriority w:val="0"/>
    <w:rPr>
      <w:bCs/>
      <w:sz w:val="24"/>
      <w:szCs w:val="24"/>
    </w:rPr>
  </w:style>
  <w:style w:type="paragraph" w:customStyle="1" w:styleId="889">
    <w:name w:val="LRY正文"/>
    <w:basedOn w:val="69"/>
    <w:link w:val="888"/>
    <w:qFormat/>
    <w:uiPriority w:val="0"/>
    <w:pPr>
      <w:adjustRightInd w:val="0"/>
      <w:snapToGrid w:val="0"/>
      <w:ind w:firstLine="200"/>
      <w:jc w:val="both"/>
    </w:pPr>
    <w:rPr>
      <w:bCs/>
      <w:spacing w:val="0"/>
      <w:sz w:val="24"/>
      <w:szCs w:val="24"/>
    </w:rPr>
  </w:style>
  <w:style w:type="paragraph" w:customStyle="1" w:styleId="890">
    <w:name w:val="1、L表名、图名"/>
    <w:basedOn w:val="1"/>
    <w:qFormat/>
    <w:uiPriority w:val="0"/>
    <w:pPr>
      <w:adjustRightInd w:val="0"/>
      <w:snapToGrid w:val="0"/>
      <w:jc w:val="center"/>
    </w:pPr>
    <w:rPr>
      <w:b/>
      <w:bCs/>
      <w:szCs w:val="18"/>
    </w:rPr>
  </w:style>
  <w:style w:type="paragraph" w:customStyle="1" w:styleId="891">
    <w:name w:val="1、L表内字"/>
    <w:basedOn w:val="1"/>
    <w:qFormat/>
    <w:uiPriority w:val="0"/>
    <w:pPr>
      <w:adjustRightInd w:val="0"/>
      <w:snapToGrid w:val="0"/>
      <w:jc w:val="center"/>
    </w:pPr>
    <w:rPr>
      <w:color w:val="000000"/>
      <w:szCs w:val="21"/>
    </w:rPr>
  </w:style>
  <w:style w:type="character" w:customStyle="1" w:styleId="892">
    <w:name w:val="NormalCharacter"/>
    <w:semiHidden/>
    <w:uiPriority w:val="0"/>
  </w:style>
  <w:style w:type="character" w:customStyle="1" w:styleId="893">
    <w:name w:val="样式 纯文本 + Times New Roman 四号 左 行距: 1.5 倍行距 Char Char"/>
    <w:link w:val="894"/>
    <w:uiPriority w:val="0"/>
    <w:rPr>
      <w:rFonts w:ascii="宋体" w:hAnsi="宋体"/>
      <w:kern w:val="2"/>
      <w:sz w:val="28"/>
    </w:rPr>
  </w:style>
  <w:style w:type="paragraph" w:customStyle="1" w:styleId="894">
    <w:name w:val="样式 纯文本 + Times New Roman 四号 左 行距: 1.5 倍行距"/>
    <w:basedOn w:val="40"/>
    <w:link w:val="893"/>
    <w:uiPriority w:val="0"/>
    <w:pPr>
      <w:spacing w:line="360" w:lineRule="auto"/>
      <w:ind w:firstLine="560" w:firstLineChars="200"/>
      <w:jc w:val="left"/>
    </w:pPr>
    <w:rPr>
      <w:rFonts w:hAnsi="宋体"/>
      <w:kern w:val="2"/>
      <w:sz w:val="28"/>
      <w:szCs w:val="20"/>
    </w:rPr>
  </w:style>
  <w:style w:type="paragraph" w:customStyle="1" w:styleId="895">
    <w:name w:val="样式 小四 首行缩进:  0.85 厘米 行距: 1.5 倍行距"/>
    <w:basedOn w:val="1"/>
    <w:qFormat/>
    <w:uiPriority w:val="0"/>
    <w:pPr>
      <w:autoSpaceDE w:val="0"/>
      <w:autoSpaceDN w:val="0"/>
      <w:adjustRightInd w:val="0"/>
      <w:spacing w:line="360" w:lineRule="auto"/>
      <w:ind w:firstLine="480"/>
      <w:jc w:val="left"/>
    </w:pPr>
    <w:rPr>
      <w:rFonts w:cs="宋体"/>
      <w:kern w:val="0"/>
      <w:sz w:val="28"/>
      <w:szCs w:val="20"/>
    </w:rPr>
  </w:style>
  <w:style w:type="character" w:customStyle="1" w:styleId="896">
    <w:name w:val="rpt_表项 Char"/>
    <w:link w:val="897"/>
    <w:uiPriority w:val="0"/>
    <w:rPr>
      <w:rFonts w:cs="宋体"/>
      <w:kern w:val="2"/>
      <w:sz w:val="22"/>
    </w:rPr>
  </w:style>
  <w:style w:type="paragraph" w:customStyle="1" w:styleId="897">
    <w:name w:val="rpt_表项"/>
    <w:basedOn w:val="1"/>
    <w:link w:val="896"/>
    <w:qFormat/>
    <w:uiPriority w:val="0"/>
    <w:pPr>
      <w:spacing w:before="60" w:after="60"/>
      <w:jc w:val="center"/>
    </w:pPr>
    <w:rPr>
      <w:rFonts w:cs="宋体"/>
      <w:sz w:val="22"/>
      <w:szCs w:val="20"/>
    </w:rPr>
  </w:style>
  <w:style w:type="paragraph" w:customStyle="1" w:styleId="898">
    <w:name w:val="rpt_盖章-监测"/>
    <w:basedOn w:val="1"/>
    <w:uiPriority w:val="0"/>
    <w:pPr>
      <w:jc w:val="center"/>
    </w:pPr>
    <w:rPr>
      <w:rFonts w:ascii="黑体" w:hAnsi="黑体" w:eastAsia="黑体" w:cs="宋体"/>
      <w:sz w:val="28"/>
      <w:szCs w:val="20"/>
    </w:rPr>
  </w:style>
  <w:style w:type="paragraph" w:customStyle="1" w:styleId="899">
    <w:name w:val="_Style 26"/>
    <w:basedOn w:val="1"/>
    <w:qFormat/>
    <w:uiPriority w:val="0"/>
    <w:pPr>
      <w:widowControl/>
      <w:spacing w:after="160" w:line="240" w:lineRule="exact"/>
      <w:jc w:val="left"/>
    </w:pPr>
    <w:rPr>
      <w:sz w:val="24"/>
      <w:szCs w:val="28"/>
    </w:rPr>
  </w:style>
  <w:style w:type="paragraph" w:customStyle="1" w:styleId="900">
    <w:name w:val="_Style 902"/>
    <w:basedOn w:val="34"/>
    <w:next w:val="69"/>
    <w:link w:val="901"/>
    <w:uiPriority w:val="0"/>
    <w:pPr>
      <w:ind w:firstLine="420" w:firstLineChars="200"/>
    </w:pPr>
    <w:rPr>
      <w:kern w:val="2"/>
      <w:sz w:val="21"/>
      <w:szCs w:val="24"/>
    </w:rPr>
  </w:style>
  <w:style w:type="character" w:customStyle="1" w:styleId="901">
    <w:name w:val="正文首行缩进 2 Char"/>
    <w:link w:val="900"/>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emf"/><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106</Pages>
  <Words>11870</Words>
  <Characters>67661</Characters>
  <Lines>563</Lines>
  <Paragraphs>158</Paragraphs>
  <TotalTime>18</TotalTime>
  <ScaleCrop>false</ScaleCrop>
  <LinksUpToDate>false</LinksUpToDate>
  <CharactersWithSpaces>79373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2023-08-22T08:50:00Z</dcterms:created>
  <dc:creator>lhj</dc:creator>
  <cp:lastModifiedBy>idiot</cp:lastModifiedBy>
  <cp:lastPrinted>2023-08-24T01:10:00Z</cp:lastPrinted>
  <dcterms:modified xsi:type="dcterms:W3CDTF">2023-09-18T06:34:22Z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158489EEE4164E32AADB9ABD1145750C_13</vt:lpwstr>
  </property>
</Properties>
</file>